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beforeLines="0" w:after="0" w:afterLines="0" w:line="360" w:lineRule="auto"/>
        <w:ind w:left="0" w:leftChars="0" w:right="0" w:rightChars="0" w:firstLine="0" w:firstLineChars="0"/>
        <w:jc w:val="center"/>
        <w:rPr>
          <w:rFonts w:hint="eastAsia" w:ascii="仿宋" w:hAnsi="仿宋" w:eastAsia="仿宋" w:cs="仿宋"/>
          <w:sz w:val="28"/>
          <w:szCs w:val="28"/>
        </w:rPr>
      </w:pPr>
      <w:bookmarkStart w:id="0" w:name="_Toc28826_WPSOffice_Level1"/>
      <w:r>
        <w:rPr>
          <w:rFonts w:hint="eastAsia" w:ascii="仿宋" w:hAnsi="仿宋" w:eastAsia="仿宋" w:cs="仿宋"/>
          <w:sz w:val="28"/>
          <w:szCs w:val="28"/>
        </w:rPr>
        <w:t>目录</w:t>
      </w:r>
    </w:p>
    <w:p>
      <w:pPr>
        <w:pStyle w:val="49"/>
        <w:tabs>
          <w:tab w:val="right" w:leader="dot" w:pos="8640"/>
        </w:tabs>
        <w:spacing w:line="360" w:lineRule="auto"/>
        <w:rPr>
          <w:rFonts w:hint="eastAsia" w:ascii="仿宋" w:hAnsi="仿宋" w:eastAsia="仿宋" w:cs="仿宋"/>
          <w:b/>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TOC \o "1-2" \h \u </w:instrText>
      </w:r>
      <w:r>
        <w:rPr>
          <w:rFonts w:hint="eastAsia" w:ascii="仿宋" w:hAnsi="仿宋" w:eastAsia="仿宋" w:cs="仿宋"/>
          <w:sz w:val="28"/>
          <w:szCs w:val="28"/>
        </w:rPr>
        <w:fldChar w:fldCharType="separate"/>
      </w: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HYPERLINK \l _Toc30466 </w:instrText>
      </w:r>
      <w:r>
        <w:rPr>
          <w:rFonts w:hint="eastAsia" w:ascii="仿宋" w:hAnsi="仿宋" w:eastAsia="仿宋" w:cs="仿宋"/>
          <w:b/>
          <w:sz w:val="28"/>
          <w:szCs w:val="28"/>
        </w:rPr>
        <w:fldChar w:fldCharType="separate"/>
      </w:r>
      <w:r>
        <w:rPr>
          <w:rFonts w:hint="eastAsia" w:ascii="仿宋" w:hAnsi="仿宋" w:eastAsia="仿宋" w:cs="仿宋"/>
          <w:b/>
          <w:bCs/>
          <w:sz w:val="28"/>
          <w:szCs w:val="28"/>
        </w:rPr>
        <w:t>1.总则</w:t>
      </w:r>
      <w:r>
        <w:rPr>
          <w:rFonts w:hint="eastAsia" w:ascii="仿宋" w:hAnsi="仿宋" w:eastAsia="仿宋" w:cs="仿宋"/>
          <w:b/>
          <w:sz w:val="28"/>
          <w:szCs w:val="28"/>
        </w:rPr>
        <w:tab/>
      </w: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PAGEREF _Toc30466 \h </w:instrText>
      </w:r>
      <w:r>
        <w:rPr>
          <w:rFonts w:hint="eastAsia" w:ascii="仿宋" w:hAnsi="仿宋" w:eastAsia="仿宋" w:cs="仿宋"/>
          <w:b/>
          <w:sz w:val="28"/>
          <w:szCs w:val="28"/>
        </w:rPr>
        <w:fldChar w:fldCharType="separate"/>
      </w:r>
      <w:r>
        <w:rPr>
          <w:rFonts w:hint="eastAsia" w:ascii="仿宋" w:hAnsi="仿宋" w:eastAsia="仿宋" w:cs="仿宋"/>
          <w:b/>
          <w:sz w:val="28"/>
          <w:szCs w:val="28"/>
        </w:rPr>
        <w:t>1</w:t>
      </w:r>
      <w:r>
        <w:rPr>
          <w:rFonts w:hint="eastAsia" w:ascii="仿宋" w:hAnsi="仿宋" w:eastAsia="仿宋" w:cs="仿宋"/>
          <w:b/>
          <w:sz w:val="28"/>
          <w:szCs w:val="28"/>
        </w:rPr>
        <w:fldChar w:fldCharType="end"/>
      </w:r>
      <w:r>
        <w:rPr>
          <w:rFonts w:hint="eastAsia" w:ascii="仿宋" w:hAnsi="仿宋" w:eastAsia="仿宋" w:cs="仿宋"/>
          <w:b/>
          <w:sz w:val="28"/>
          <w:szCs w:val="28"/>
        </w:rPr>
        <w:fldChar w:fldCharType="end"/>
      </w:r>
    </w:p>
    <w:p>
      <w:pPr>
        <w:pStyle w:val="163"/>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_Toc13364 </w:instrText>
      </w:r>
      <w:r>
        <w:rPr>
          <w:rFonts w:hint="eastAsia" w:ascii="仿宋" w:hAnsi="仿宋" w:eastAsia="仿宋" w:cs="仿宋"/>
          <w:sz w:val="28"/>
          <w:szCs w:val="28"/>
        </w:rPr>
        <w:fldChar w:fldCharType="separate"/>
      </w:r>
      <w:r>
        <w:rPr>
          <w:rFonts w:hint="eastAsia" w:ascii="仿宋" w:hAnsi="仿宋" w:eastAsia="仿宋" w:cs="仿宋"/>
          <w:bCs/>
          <w:sz w:val="28"/>
          <w:szCs w:val="28"/>
        </w:rPr>
        <w:t>1.1编制目的</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_Toc13364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3"/>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_Toc30536 </w:instrText>
      </w:r>
      <w:r>
        <w:rPr>
          <w:rFonts w:hint="eastAsia" w:ascii="仿宋" w:hAnsi="仿宋" w:eastAsia="仿宋" w:cs="仿宋"/>
          <w:sz w:val="28"/>
          <w:szCs w:val="28"/>
        </w:rPr>
        <w:fldChar w:fldCharType="separate"/>
      </w:r>
      <w:r>
        <w:rPr>
          <w:rFonts w:hint="eastAsia" w:ascii="仿宋" w:hAnsi="仿宋" w:eastAsia="仿宋" w:cs="仿宋"/>
          <w:bCs/>
          <w:sz w:val="28"/>
          <w:szCs w:val="28"/>
        </w:rPr>
        <w:t>1.2编制依据</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_Toc30536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3"/>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_Toc26113 </w:instrText>
      </w:r>
      <w:r>
        <w:rPr>
          <w:rFonts w:hint="eastAsia" w:ascii="仿宋" w:hAnsi="仿宋" w:eastAsia="仿宋" w:cs="仿宋"/>
          <w:sz w:val="28"/>
          <w:szCs w:val="28"/>
        </w:rPr>
        <w:fldChar w:fldCharType="separate"/>
      </w:r>
      <w:r>
        <w:rPr>
          <w:rFonts w:hint="eastAsia" w:ascii="仿宋" w:hAnsi="仿宋" w:eastAsia="仿宋" w:cs="仿宋"/>
          <w:bCs/>
          <w:sz w:val="28"/>
          <w:szCs w:val="28"/>
        </w:rPr>
        <w:t>1.3适用范围</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_Toc26113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3"/>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_Toc14891 </w:instrText>
      </w:r>
      <w:r>
        <w:rPr>
          <w:rFonts w:hint="eastAsia" w:ascii="仿宋" w:hAnsi="仿宋" w:eastAsia="仿宋" w:cs="仿宋"/>
          <w:sz w:val="28"/>
          <w:szCs w:val="28"/>
        </w:rPr>
        <w:fldChar w:fldCharType="separate"/>
      </w:r>
      <w:r>
        <w:rPr>
          <w:rFonts w:hint="eastAsia" w:ascii="仿宋" w:hAnsi="仿宋" w:eastAsia="仿宋" w:cs="仿宋"/>
          <w:bCs/>
          <w:sz w:val="28"/>
          <w:szCs w:val="28"/>
        </w:rPr>
        <w:t>1.4工作原则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_Toc14891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3"/>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_Toc17443 </w:instrText>
      </w:r>
      <w:r>
        <w:rPr>
          <w:rFonts w:hint="eastAsia" w:ascii="仿宋" w:hAnsi="仿宋" w:eastAsia="仿宋" w:cs="仿宋"/>
          <w:sz w:val="28"/>
          <w:szCs w:val="28"/>
        </w:rPr>
        <w:fldChar w:fldCharType="separate"/>
      </w:r>
      <w:r>
        <w:rPr>
          <w:rFonts w:hint="eastAsia" w:ascii="仿宋" w:hAnsi="仿宋" w:eastAsia="仿宋" w:cs="仿宋"/>
          <w:bCs/>
          <w:sz w:val="28"/>
          <w:szCs w:val="28"/>
        </w:rPr>
        <w:t>1.5应急预案体系</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_Toc17443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49"/>
        <w:tabs>
          <w:tab w:val="right" w:leader="dot" w:pos="8640"/>
        </w:tabs>
        <w:spacing w:line="360" w:lineRule="auto"/>
        <w:rPr>
          <w:rFonts w:hint="eastAsia" w:ascii="仿宋" w:hAnsi="仿宋" w:eastAsia="仿宋" w:cs="仿宋"/>
          <w:b/>
          <w:sz w:val="28"/>
          <w:szCs w:val="28"/>
        </w:rPr>
      </w:pP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HYPERLINK \l _Toc7301 </w:instrText>
      </w:r>
      <w:r>
        <w:rPr>
          <w:rFonts w:hint="eastAsia" w:ascii="仿宋" w:hAnsi="仿宋" w:eastAsia="仿宋" w:cs="仿宋"/>
          <w:b/>
          <w:sz w:val="28"/>
          <w:szCs w:val="28"/>
        </w:rPr>
        <w:fldChar w:fldCharType="separate"/>
      </w:r>
      <w:r>
        <w:rPr>
          <w:rFonts w:hint="eastAsia" w:ascii="仿宋" w:hAnsi="仿宋" w:eastAsia="仿宋" w:cs="仿宋"/>
          <w:b/>
          <w:bCs/>
          <w:sz w:val="28"/>
          <w:szCs w:val="28"/>
        </w:rPr>
        <w:t>2.企业基本情况</w:t>
      </w:r>
      <w:r>
        <w:rPr>
          <w:rFonts w:hint="eastAsia" w:ascii="仿宋" w:hAnsi="仿宋" w:eastAsia="仿宋" w:cs="仿宋"/>
          <w:b/>
          <w:sz w:val="28"/>
          <w:szCs w:val="28"/>
        </w:rPr>
        <w:tab/>
      </w: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PAGEREF _Toc7301 \h </w:instrText>
      </w:r>
      <w:r>
        <w:rPr>
          <w:rFonts w:hint="eastAsia" w:ascii="仿宋" w:hAnsi="仿宋" w:eastAsia="仿宋" w:cs="仿宋"/>
          <w:b/>
          <w:sz w:val="28"/>
          <w:szCs w:val="28"/>
        </w:rPr>
        <w:fldChar w:fldCharType="separate"/>
      </w:r>
      <w:r>
        <w:rPr>
          <w:rFonts w:hint="eastAsia" w:ascii="仿宋" w:hAnsi="仿宋" w:eastAsia="仿宋" w:cs="仿宋"/>
          <w:b/>
          <w:sz w:val="28"/>
          <w:szCs w:val="28"/>
        </w:rPr>
        <w:t>5</w:t>
      </w:r>
      <w:r>
        <w:rPr>
          <w:rFonts w:hint="eastAsia" w:ascii="仿宋" w:hAnsi="仿宋" w:eastAsia="仿宋" w:cs="仿宋"/>
          <w:b/>
          <w:sz w:val="28"/>
          <w:szCs w:val="28"/>
        </w:rPr>
        <w:fldChar w:fldCharType="end"/>
      </w:r>
      <w:r>
        <w:rPr>
          <w:rFonts w:hint="eastAsia" w:ascii="仿宋" w:hAnsi="仿宋" w:eastAsia="仿宋" w:cs="仿宋"/>
          <w:b/>
          <w:sz w:val="28"/>
          <w:szCs w:val="28"/>
        </w:rPr>
        <w:fldChar w:fldCharType="end"/>
      </w:r>
    </w:p>
    <w:p>
      <w:pPr>
        <w:pStyle w:val="163"/>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_Toc21356 </w:instrText>
      </w:r>
      <w:r>
        <w:rPr>
          <w:rFonts w:hint="eastAsia" w:ascii="仿宋" w:hAnsi="仿宋" w:eastAsia="仿宋" w:cs="仿宋"/>
          <w:sz w:val="28"/>
          <w:szCs w:val="28"/>
        </w:rPr>
        <w:fldChar w:fldCharType="separate"/>
      </w:r>
      <w:r>
        <w:rPr>
          <w:rFonts w:hint="eastAsia" w:ascii="仿宋" w:hAnsi="仿宋" w:eastAsia="仿宋" w:cs="仿宋"/>
          <w:bCs/>
          <w:sz w:val="28"/>
          <w:szCs w:val="28"/>
        </w:rPr>
        <w:t>2.1基本信息</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_Toc21356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3"/>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_Toc17858 </w:instrText>
      </w:r>
      <w:r>
        <w:rPr>
          <w:rFonts w:hint="eastAsia" w:ascii="仿宋" w:hAnsi="仿宋" w:eastAsia="仿宋" w:cs="仿宋"/>
          <w:sz w:val="28"/>
          <w:szCs w:val="28"/>
        </w:rPr>
        <w:fldChar w:fldCharType="separate"/>
      </w:r>
      <w:r>
        <w:rPr>
          <w:rFonts w:hint="eastAsia" w:ascii="仿宋" w:hAnsi="仿宋" w:eastAsia="仿宋" w:cs="仿宋"/>
          <w:bCs/>
          <w:sz w:val="28"/>
          <w:szCs w:val="28"/>
        </w:rPr>
        <w:t>2.2平面布局</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_Toc17858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49"/>
        <w:tabs>
          <w:tab w:val="right" w:leader="dot" w:pos="8640"/>
        </w:tabs>
        <w:spacing w:line="360" w:lineRule="auto"/>
        <w:rPr>
          <w:rFonts w:hint="eastAsia" w:ascii="仿宋" w:hAnsi="仿宋" w:eastAsia="仿宋" w:cs="仿宋"/>
          <w:b/>
          <w:sz w:val="28"/>
          <w:szCs w:val="28"/>
        </w:rPr>
      </w:pP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HYPERLINK \l _Toc25612 </w:instrText>
      </w:r>
      <w:r>
        <w:rPr>
          <w:rFonts w:hint="eastAsia" w:ascii="仿宋" w:hAnsi="仿宋" w:eastAsia="仿宋" w:cs="仿宋"/>
          <w:b/>
          <w:sz w:val="28"/>
          <w:szCs w:val="28"/>
        </w:rPr>
        <w:fldChar w:fldCharType="separate"/>
      </w:r>
      <w:r>
        <w:rPr>
          <w:rFonts w:hint="eastAsia" w:ascii="仿宋" w:hAnsi="仿宋" w:eastAsia="仿宋" w:cs="仿宋"/>
          <w:b/>
          <w:bCs/>
          <w:sz w:val="28"/>
          <w:szCs w:val="28"/>
        </w:rPr>
        <w:t>3.环境风险源辨识与风险评估</w:t>
      </w:r>
      <w:r>
        <w:rPr>
          <w:rFonts w:hint="eastAsia" w:ascii="仿宋" w:hAnsi="仿宋" w:eastAsia="仿宋" w:cs="仿宋"/>
          <w:b/>
          <w:sz w:val="28"/>
          <w:szCs w:val="28"/>
        </w:rPr>
        <w:tab/>
      </w: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PAGEREF _Toc25612 \h </w:instrText>
      </w:r>
      <w:r>
        <w:rPr>
          <w:rFonts w:hint="eastAsia" w:ascii="仿宋" w:hAnsi="仿宋" w:eastAsia="仿宋" w:cs="仿宋"/>
          <w:b/>
          <w:sz w:val="28"/>
          <w:szCs w:val="28"/>
        </w:rPr>
        <w:fldChar w:fldCharType="separate"/>
      </w:r>
      <w:r>
        <w:rPr>
          <w:rFonts w:hint="eastAsia" w:ascii="仿宋" w:hAnsi="仿宋" w:eastAsia="仿宋" w:cs="仿宋"/>
          <w:b/>
          <w:sz w:val="28"/>
          <w:szCs w:val="28"/>
        </w:rPr>
        <w:t>15</w:t>
      </w:r>
      <w:r>
        <w:rPr>
          <w:rFonts w:hint="eastAsia" w:ascii="仿宋" w:hAnsi="仿宋" w:eastAsia="仿宋" w:cs="仿宋"/>
          <w:b/>
          <w:sz w:val="28"/>
          <w:szCs w:val="28"/>
        </w:rPr>
        <w:fldChar w:fldCharType="end"/>
      </w:r>
      <w:r>
        <w:rPr>
          <w:rFonts w:hint="eastAsia" w:ascii="仿宋" w:hAnsi="仿宋" w:eastAsia="仿宋" w:cs="仿宋"/>
          <w:b/>
          <w:sz w:val="28"/>
          <w:szCs w:val="28"/>
        </w:rPr>
        <w:fldChar w:fldCharType="end"/>
      </w:r>
    </w:p>
    <w:p>
      <w:pPr>
        <w:pStyle w:val="163"/>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_Toc14841 </w:instrText>
      </w:r>
      <w:r>
        <w:rPr>
          <w:rFonts w:hint="eastAsia" w:ascii="仿宋" w:hAnsi="仿宋" w:eastAsia="仿宋" w:cs="仿宋"/>
          <w:sz w:val="28"/>
          <w:szCs w:val="28"/>
        </w:rPr>
        <w:fldChar w:fldCharType="separate"/>
      </w:r>
      <w:r>
        <w:rPr>
          <w:rFonts w:hint="eastAsia" w:ascii="仿宋" w:hAnsi="仿宋" w:eastAsia="仿宋" w:cs="仿宋"/>
          <w:bCs/>
          <w:sz w:val="28"/>
          <w:szCs w:val="28"/>
        </w:rPr>
        <w:t>3.1环境风险源辨识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_Toc14841 \h </w:instrText>
      </w:r>
      <w:r>
        <w:rPr>
          <w:rFonts w:hint="eastAsia" w:ascii="仿宋" w:hAnsi="仿宋" w:eastAsia="仿宋" w:cs="仿宋"/>
          <w:sz w:val="28"/>
          <w:szCs w:val="28"/>
        </w:rPr>
        <w:fldChar w:fldCharType="separate"/>
      </w:r>
      <w:r>
        <w:rPr>
          <w:rFonts w:hint="eastAsia" w:ascii="仿宋" w:hAnsi="仿宋" w:eastAsia="仿宋" w:cs="仿宋"/>
          <w:sz w:val="28"/>
          <w:szCs w:val="28"/>
        </w:rPr>
        <w:t>15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3"/>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_Toc13250 </w:instrText>
      </w:r>
      <w:r>
        <w:rPr>
          <w:rFonts w:hint="eastAsia" w:ascii="仿宋" w:hAnsi="仿宋" w:eastAsia="仿宋" w:cs="仿宋"/>
          <w:sz w:val="28"/>
          <w:szCs w:val="28"/>
        </w:rPr>
        <w:fldChar w:fldCharType="separate"/>
      </w:r>
      <w:r>
        <w:rPr>
          <w:rFonts w:hint="eastAsia" w:ascii="仿宋" w:hAnsi="仿宋" w:eastAsia="仿宋" w:cs="仿宋"/>
          <w:bCs/>
          <w:sz w:val="28"/>
          <w:szCs w:val="28"/>
        </w:rPr>
        <w:t>3.2环境风险评估</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_Toc13250 \h </w:instrText>
      </w:r>
      <w:r>
        <w:rPr>
          <w:rFonts w:hint="eastAsia" w:ascii="仿宋" w:hAnsi="仿宋" w:eastAsia="仿宋" w:cs="仿宋"/>
          <w:sz w:val="28"/>
          <w:szCs w:val="28"/>
        </w:rPr>
        <w:fldChar w:fldCharType="separate"/>
      </w:r>
      <w:r>
        <w:rPr>
          <w:rFonts w:hint="eastAsia" w:ascii="仿宋" w:hAnsi="仿宋" w:eastAsia="仿宋" w:cs="仿宋"/>
          <w:sz w:val="28"/>
          <w:szCs w:val="28"/>
        </w:rPr>
        <w:t>15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49"/>
        <w:tabs>
          <w:tab w:val="right" w:leader="dot" w:pos="8640"/>
        </w:tabs>
        <w:spacing w:line="360" w:lineRule="auto"/>
        <w:rPr>
          <w:rFonts w:hint="eastAsia" w:ascii="仿宋" w:hAnsi="仿宋" w:eastAsia="仿宋" w:cs="仿宋"/>
          <w:b/>
          <w:sz w:val="28"/>
          <w:szCs w:val="28"/>
        </w:rPr>
      </w:pP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HYPERLINK \l _Toc27113 </w:instrText>
      </w:r>
      <w:r>
        <w:rPr>
          <w:rFonts w:hint="eastAsia" w:ascii="仿宋" w:hAnsi="仿宋" w:eastAsia="仿宋" w:cs="仿宋"/>
          <w:b/>
          <w:sz w:val="28"/>
          <w:szCs w:val="28"/>
        </w:rPr>
        <w:fldChar w:fldCharType="separate"/>
      </w:r>
      <w:r>
        <w:rPr>
          <w:rFonts w:hint="eastAsia" w:ascii="仿宋" w:hAnsi="仿宋" w:eastAsia="仿宋" w:cs="仿宋"/>
          <w:b/>
          <w:bCs/>
          <w:sz w:val="28"/>
          <w:szCs w:val="28"/>
        </w:rPr>
        <w:t>4.组织指挥机制</w:t>
      </w:r>
      <w:r>
        <w:rPr>
          <w:rFonts w:hint="eastAsia" w:ascii="仿宋" w:hAnsi="仿宋" w:eastAsia="仿宋" w:cs="仿宋"/>
          <w:b/>
          <w:sz w:val="28"/>
          <w:szCs w:val="28"/>
        </w:rPr>
        <w:tab/>
      </w: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PAGEREF _Toc27113 \h </w:instrText>
      </w:r>
      <w:r>
        <w:rPr>
          <w:rFonts w:hint="eastAsia" w:ascii="仿宋" w:hAnsi="仿宋" w:eastAsia="仿宋" w:cs="仿宋"/>
          <w:b/>
          <w:sz w:val="28"/>
          <w:szCs w:val="28"/>
        </w:rPr>
        <w:fldChar w:fldCharType="separate"/>
      </w:r>
      <w:r>
        <w:rPr>
          <w:rFonts w:hint="eastAsia" w:ascii="仿宋" w:hAnsi="仿宋" w:eastAsia="仿宋" w:cs="仿宋"/>
          <w:b/>
          <w:sz w:val="28"/>
          <w:szCs w:val="28"/>
        </w:rPr>
        <w:t>17</w:t>
      </w:r>
      <w:r>
        <w:rPr>
          <w:rFonts w:hint="eastAsia" w:ascii="仿宋" w:hAnsi="仿宋" w:eastAsia="仿宋" w:cs="仿宋"/>
          <w:b/>
          <w:sz w:val="28"/>
          <w:szCs w:val="28"/>
        </w:rPr>
        <w:fldChar w:fldCharType="end"/>
      </w:r>
      <w:r>
        <w:rPr>
          <w:rFonts w:hint="eastAsia" w:ascii="仿宋" w:hAnsi="仿宋" w:eastAsia="仿宋" w:cs="仿宋"/>
          <w:b/>
          <w:sz w:val="28"/>
          <w:szCs w:val="28"/>
        </w:rPr>
        <w:fldChar w:fldCharType="end"/>
      </w:r>
    </w:p>
    <w:p>
      <w:pPr>
        <w:pStyle w:val="163"/>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_Toc23136 </w:instrText>
      </w:r>
      <w:r>
        <w:rPr>
          <w:rFonts w:hint="eastAsia" w:ascii="仿宋" w:hAnsi="仿宋" w:eastAsia="仿宋" w:cs="仿宋"/>
          <w:sz w:val="28"/>
          <w:szCs w:val="28"/>
        </w:rPr>
        <w:fldChar w:fldCharType="separate"/>
      </w:r>
      <w:r>
        <w:rPr>
          <w:rFonts w:hint="eastAsia" w:ascii="仿宋" w:hAnsi="仿宋" w:eastAsia="仿宋" w:cs="仿宋"/>
          <w:bCs/>
          <w:sz w:val="28"/>
          <w:szCs w:val="28"/>
        </w:rPr>
        <w:t>4.1指挥机构组成</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_Toc23136 \h </w:instrText>
      </w:r>
      <w:r>
        <w:rPr>
          <w:rFonts w:hint="eastAsia" w:ascii="仿宋" w:hAnsi="仿宋" w:eastAsia="仿宋" w:cs="仿宋"/>
          <w:sz w:val="28"/>
          <w:szCs w:val="28"/>
        </w:rPr>
        <w:fldChar w:fldCharType="separate"/>
      </w:r>
      <w:r>
        <w:rPr>
          <w:rFonts w:hint="eastAsia" w:ascii="仿宋" w:hAnsi="仿宋" w:eastAsia="仿宋" w:cs="仿宋"/>
          <w:sz w:val="28"/>
          <w:szCs w:val="28"/>
        </w:rPr>
        <w:t>17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3"/>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_Toc6113 </w:instrText>
      </w:r>
      <w:r>
        <w:rPr>
          <w:rFonts w:hint="eastAsia" w:ascii="仿宋" w:hAnsi="仿宋" w:eastAsia="仿宋" w:cs="仿宋"/>
          <w:sz w:val="28"/>
          <w:szCs w:val="28"/>
        </w:rPr>
        <w:fldChar w:fldCharType="separate"/>
      </w:r>
      <w:r>
        <w:rPr>
          <w:rFonts w:hint="eastAsia" w:ascii="仿宋" w:hAnsi="仿宋" w:eastAsia="仿宋" w:cs="仿宋"/>
          <w:bCs/>
          <w:sz w:val="28"/>
          <w:szCs w:val="28"/>
        </w:rPr>
        <w:t>4.2应急成员名单及联系方式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_Toc6113 \h </w:instrText>
      </w:r>
      <w:r>
        <w:rPr>
          <w:rFonts w:hint="eastAsia" w:ascii="仿宋" w:hAnsi="仿宋" w:eastAsia="仿宋" w:cs="仿宋"/>
          <w:sz w:val="28"/>
          <w:szCs w:val="28"/>
        </w:rPr>
        <w:fldChar w:fldCharType="separate"/>
      </w:r>
      <w:r>
        <w:rPr>
          <w:rFonts w:hint="eastAsia" w:ascii="仿宋" w:hAnsi="仿宋" w:eastAsia="仿宋" w:cs="仿宋"/>
          <w:sz w:val="28"/>
          <w:szCs w:val="28"/>
        </w:rPr>
        <w:t>19</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3"/>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_Toc7072 </w:instrText>
      </w:r>
      <w:r>
        <w:rPr>
          <w:rFonts w:hint="eastAsia" w:ascii="仿宋" w:hAnsi="仿宋" w:eastAsia="仿宋" w:cs="仿宋"/>
          <w:sz w:val="28"/>
          <w:szCs w:val="28"/>
        </w:rPr>
        <w:fldChar w:fldCharType="separate"/>
      </w:r>
      <w:r>
        <w:rPr>
          <w:rFonts w:hint="eastAsia" w:ascii="仿宋" w:hAnsi="仿宋" w:eastAsia="仿宋" w:cs="仿宋"/>
          <w:bCs/>
          <w:sz w:val="28"/>
          <w:szCs w:val="28"/>
        </w:rPr>
        <w:t>4.3分级响应机制</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_Toc7072 \h </w:instrText>
      </w:r>
      <w:r>
        <w:rPr>
          <w:rFonts w:hint="eastAsia" w:ascii="仿宋" w:hAnsi="仿宋" w:eastAsia="仿宋" w:cs="仿宋"/>
          <w:sz w:val="28"/>
          <w:szCs w:val="28"/>
        </w:rPr>
        <w:fldChar w:fldCharType="separate"/>
      </w:r>
      <w:r>
        <w:rPr>
          <w:rFonts w:hint="eastAsia" w:ascii="仿宋" w:hAnsi="仿宋" w:eastAsia="仿宋" w:cs="仿宋"/>
          <w:sz w:val="28"/>
          <w:szCs w:val="28"/>
        </w:rPr>
        <w:t>19</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3"/>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_Toc24787 </w:instrText>
      </w:r>
      <w:r>
        <w:rPr>
          <w:rFonts w:hint="eastAsia" w:ascii="仿宋" w:hAnsi="仿宋" w:eastAsia="仿宋" w:cs="仿宋"/>
          <w:sz w:val="28"/>
          <w:szCs w:val="28"/>
        </w:rPr>
        <w:fldChar w:fldCharType="separate"/>
      </w:r>
      <w:r>
        <w:rPr>
          <w:rFonts w:hint="eastAsia" w:ascii="仿宋" w:hAnsi="仿宋" w:eastAsia="仿宋" w:cs="仿宋"/>
          <w:bCs/>
          <w:sz w:val="28"/>
          <w:szCs w:val="28"/>
        </w:rPr>
        <w:t>4.4应急响应流程</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_Toc24787 \h </w:instrText>
      </w:r>
      <w:r>
        <w:rPr>
          <w:rFonts w:hint="eastAsia" w:ascii="仿宋" w:hAnsi="仿宋" w:eastAsia="仿宋" w:cs="仿宋"/>
          <w:sz w:val="28"/>
          <w:szCs w:val="28"/>
        </w:rPr>
        <w:fldChar w:fldCharType="separate"/>
      </w:r>
      <w:r>
        <w:rPr>
          <w:rFonts w:hint="eastAsia" w:ascii="仿宋" w:hAnsi="仿宋" w:eastAsia="仿宋" w:cs="仿宋"/>
          <w:sz w:val="28"/>
          <w:szCs w:val="28"/>
        </w:rPr>
        <w:t>22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49"/>
        <w:tabs>
          <w:tab w:val="right" w:leader="dot" w:pos="8640"/>
        </w:tabs>
        <w:spacing w:line="360" w:lineRule="auto"/>
        <w:rPr>
          <w:rFonts w:hint="eastAsia" w:ascii="仿宋" w:hAnsi="仿宋" w:eastAsia="仿宋" w:cs="仿宋"/>
          <w:b/>
          <w:sz w:val="28"/>
          <w:szCs w:val="28"/>
        </w:rPr>
      </w:pP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HYPERLINK \l _Toc20565 </w:instrText>
      </w:r>
      <w:r>
        <w:rPr>
          <w:rFonts w:hint="eastAsia" w:ascii="仿宋" w:hAnsi="仿宋" w:eastAsia="仿宋" w:cs="仿宋"/>
          <w:b/>
          <w:sz w:val="28"/>
          <w:szCs w:val="28"/>
        </w:rPr>
        <w:fldChar w:fldCharType="separate"/>
      </w:r>
      <w:r>
        <w:rPr>
          <w:rFonts w:hint="eastAsia" w:ascii="仿宋" w:hAnsi="仿宋" w:eastAsia="仿宋" w:cs="仿宋"/>
          <w:b/>
          <w:bCs/>
          <w:sz w:val="28"/>
          <w:szCs w:val="28"/>
        </w:rPr>
        <w:t>5.监测预警</w:t>
      </w:r>
      <w:r>
        <w:rPr>
          <w:rFonts w:hint="eastAsia" w:ascii="仿宋" w:hAnsi="仿宋" w:eastAsia="仿宋" w:cs="仿宋"/>
          <w:b/>
          <w:sz w:val="28"/>
          <w:szCs w:val="28"/>
        </w:rPr>
        <w:tab/>
      </w: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PAGEREF _Toc20565 \h </w:instrText>
      </w:r>
      <w:r>
        <w:rPr>
          <w:rFonts w:hint="eastAsia" w:ascii="仿宋" w:hAnsi="仿宋" w:eastAsia="仿宋" w:cs="仿宋"/>
          <w:b/>
          <w:sz w:val="28"/>
          <w:szCs w:val="28"/>
        </w:rPr>
        <w:fldChar w:fldCharType="separate"/>
      </w:r>
      <w:r>
        <w:rPr>
          <w:rFonts w:hint="eastAsia" w:ascii="仿宋" w:hAnsi="仿宋" w:eastAsia="仿宋" w:cs="仿宋"/>
          <w:b/>
          <w:sz w:val="28"/>
          <w:szCs w:val="28"/>
        </w:rPr>
        <w:t>24</w:t>
      </w:r>
      <w:r>
        <w:rPr>
          <w:rFonts w:hint="eastAsia" w:ascii="仿宋" w:hAnsi="仿宋" w:eastAsia="仿宋" w:cs="仿宋"/>
          <w:b/>
          <w:sz w:val="28"/>
          <w:szCs w:val="28"/>
        </w:rPr>
        <w:fldChar w:fldCharType="end"/>
      </w:r>
      <w:r>
        <w:rPr>
          <w:rFonts w:hint="eastAsia" w:ascii="仿宋" w:hAnsi="仿宋" w:eastAsia="仿宋" w:cs="仿宋"/>
          <w:b/>
          <w:sz w:val="28"/>
          <w:szCs w:val="28"/>
        </w:rPr>
        <w:fldChar w:fldCharType="end"/>
      </w:r>
    </w:p>
    <w:p>
      <w:pPr>
        <w:pStyle w:val="163"/>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_Toc29484 </w:instrText>
      </w:r>
      <w:r>
        <w:rPr>
          <w:rFonts w:hint="eastAsia" w:ascii="仿宋" w:hAnsi="仿宋" w:eastAsia="仿宋" w:cs="仿宋"/>
          <w:sz w:val="28"/>
          <w:szCs w:val="28"/>
        </w:rPr>
        <w:fldChar w:fldCharType="separate"/>
      </w:r>
      <w:r>
        <w:rPr>
          <w:rFonts w:hint="eastAsia" w:ascii="仿宋" w:hAnsi="仿宋" w:eastAsia="仿宋" w:cs="仿宋"/>
          <w:bCs/>
          <w:sz w:val="28"/>
          <w:szCs w:val="28"/>
        </w:rPr>
        <w:t>5.1预警条件</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_Toc29484 \h </w:instrText>
      </w:r>
      <w:r>
        <w:rPr>
          <w:rFonts w:hint="eastAsia" w:ascii="仿宋" w:hAnsi="仿宋" w:eastAsia="仿宋" w:cs="仿宋"/>
          <w:sz w:val="28"/>
          <w:szCs w:val="28"/>
        </w:rPr>
        <w:fldChar w:fldCharType="separate"/>
      </w:r>
      <w:r>
        <w:rPr>
          <w:rFonts w:hint="eastAsia" w:ascii="仿宋" w:hAnsi="仿宋" w:eastAsia="仿宋" w:cs="仿宋"/>
          <w:sz w:val="28"/>
          <w:szCs w:val="28"/>
        </w:rPr>
        <w:t>24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3"/>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_Toc27267 </w:instrText>
      </w:r>
      <w:r>
        <w:rPr>
          <w:rFonts w:hint="eastAsia" w:ascii="仿宋" w:hAnsi="仿宋" w:eastAsia="仿宋" w:cs="仿宋"/>
          <w:sz w:val="28"/>
          <w:szCs w:val="28"/>
        </w:rPr>
        <w:fldChar w:fldCharType="separate"/>
      </w:r>
      <w:r>
        <w:rPr>
          <w:rFonts w:hint="eastAsia" w:ascii="仿宋" w:hAnsi="仿宋" w:eastAsia="仿宋" w:cs="仿宋"/>
          <w:bCs/>
          <w:sz w:val="28"/>
          <w:szCs w:val="28"/>
        </w:rPr>
        <w:t>5.2预警流程</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_Toc27267 \h </w:instrText>
      </w:r>
      <w:r>
        <w:rPr>
          <w:rFonts w:hint="eastAsia" w:ascii="仿宋" w:hAnsi="仿宋" w:eastAsia="仿宋" w:cs="仿宋"/>
          <w:sz w:val="28"/>
          <w:szCs w:val="28"/>
        </w:rPr>
        <w:fldChar w:fldCharType="separate"/>
      </w:r>
      <w:r>
        <w:rPr>
          <w:rFonts w:hint="eastAsia" w:ascii="仿宋" w:hAnsi="仿宋" w:eastAsia="仿宋" w:cs="仿宋"/>
          <w:sz w:val="28"/>
          <w:szCs w:val="28"/>
        </w:rPr>
        <w:t>24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3"/>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_Toc2332 </w:instrText>
      </w:r>
      <w:r>
        <w:rPr>
          <w:rFonts w:hint="eastAsia" w:ascii="仿宋" w:hAnsi="仿宋" w:eastAsia="仿宋" w:cs="仿宋"/>
          <w:sz w:val="28"/>
          <w:szCs w:val="28"/>
        </w:rPr>
        <w:fldChar w:fldCharType="separate"/>
      </w:r>
      <w:r>
        <w:rPr>
          <w:rFonts w:hint="eastAsia" w:ascii="仿宋" w:hAnsi="仿宋" w:eastAsia="仿宋" w:cs="仿宋"/>
          <w:bCs/>
          <w:sz w:val="28"/>
          <w:szCs w:val="28"/>
        </w:rPr>
        <w:t>5.3预警方案</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_Toc2332 \h </w:instrText>
      </w:r>
      <w:r>
        <w:rPr>
          <w:rFonts w:hint="eastAsia" w:ascii="仿宋" w:hAnsi="仿宋" w:eastAsia="仿宋" w:cs="仿宋"/>
          <w:sz w:val="28"/>
          <w:szCs w:val="28"/>
        </w:rPr>
        <w:fldChar w:fldCharType="separate"/>
      </w:r>
      <w:r>
        <w:rPr>
          <w:rFonts w:hint="eastAsia" w:ascii="仿宋" w:hAnsi="仿宋" w:eastAsia="仿宋" w:cs="仿宋"/>
          <w:sz w:val="28"/>
          <w:szCs w:val="28"/>
        </w:rPr>
        <w:t>25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49"/>
        <w:tabs>
          <w:tab w:val="right" w:leader="dot" w:pos="8640"/>
        </w:tabs>
        <w:spacing w:line="360" w:lineRule="auto"/>
        <w:rPr>
          <w:rFonts w:hint="eastAsia" w:ascii="仿宋" w:hAnsi="仿宋" w:eastAsia="仿宋" w:cs="仿宋"/>
          <w:b/>
          <w:sz w:val="28"/>
          <w:szCs w:val="28"/>
        </w:rPr>
      </w:pP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HYPERLINK \l _Toc29414 </w:instrText>
      </w:r>
      <w:r>
        <w:rPr>
          <w:rFonts w:hint="eastAsia" w:ascii="仿宋" w:hAnsi="仿宋" w:eastAsia="仿宋" w:cs="仿宋"/>
          <w:b/>
          <w:sz w:val="28"/>
          <w:szCs w:val="28"/>
        </w:rPr>
        <w:fldChar w:fldCharType="separate"/>
      </w:r>
      <w:r>
        <w:rPr>
          <w:rFonts w:hint="eastAsia" w:ascii="仿宋" w:hAnsi="仿宋" w:eastAsia="仿宋" w:cs="仿宋"/>
          <w:b/>
          <w:bCs/>
          <w:sz w:val="28"/>
          <w:szCs w:val="28"/>
        </w:rPr>
        <w:t>6.信息报告</w:t>
      </w:r>
      <w:r>
        <w:rPr>
          <w:rFonts w:hint="eastAsia" w:ascii="仿宋" w:hAnsi="仿宋" w:eastAsia="仿宋" w:cs="仿宋"/>
          <w:b/>
          <w:sz w:val="28"/>
          <w:szCs w:val="28"/>
        </w:rPr>
        <w:tab/>
      </w: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PAGEREF _Toc29414 \h </w:instrText>
      </w:r>
      <w:r>
        <w:rPr>
          <w:rFonts w:hint="eastAsia" w:ascii="仿宋" w:hAnsi="仿宋" w:eastAsia="仿宋" w:cs="仿宋"/>
          <w:b/>
          <w:sz w:val="28"/>
          <w:szCs w:val="28"/>
        </w:rPr>
        <w:fldChar w:fldCharType="separate"/>
      </w:r>
      <w:r>
        <w:rPr>
          <w:rFonts w:hint="eastAsia" w:ascii="仿宋" w:hAnsi="仿宋" w:eastAsia="仿宋" w:cs="仿宋"/>
          <w:b/>
          <w:sz w:val="28"/>
          <w:szCs w:val="28"/>
        </w:rPr>
        <w:t>26</w:t>
      </w:r>
      <w:r>
        <w:rPr>
          <w:rFonts w:hint="eastAsia" w:ascii="仿宋" w:hAnsi="仿宋" w:eastAsia="仿宋" w:cs="仿宋"/>
          <w:b/>
          <w:sz w:val="28"/>
          <w:szCs w:val="28"/>
        </w:rPr>
        <w:fldChar w:fldCharType="end"/>
      </w:r>
      <w:r>
        <w:rPr>
          <w:rFonts w:hint="eastAsia" w:ascii="仿宋" w:hAnsi="仿宋" w:eastAsia="仿宋" w:cs="仿宋"/>
          <w:b/>
          <w:sz w:val="28"/>
          <w:szCs w:val="28"/>
        </w:rPr>
        <w:fldChar w:fldCharType="end"/>
      </w:r>
    </w:p>
    <w:p>
      <w:pPr>
        <w:pStyle w:val="163"/>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_Toc10871 </w:instrText>
      </w:r>
      <w:r>
        <w:rPr>
          <w:rFonts w:hint="eastAsia" w:ascii="仿宋" w:hAnsi="仿宋" w:eastAsia="仿宋" w:cs="仿宋"/>
          <w:sz w:val="28"/>
          <w:szCs w:val="28"/>
        </w:rPr>
        <w:fldChar w:fldCharType="separate"/>
      </w:r>
      <w:r>
        <w:rPr>
          <w:rFonts w:hint="eastAsia" w:ascii="仿宋" w:hAnsi="仿宋" w:eastAsia="仿宋" w:cs="仿宋"/>
          <w:bCs/>
          <w:sz w:val="28"/>
          <w:szCs w:val="28"/>
        </w:rPr>
        <w:t>6.1报警方式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_Toc10871 \h </w:instrText>
      </w:r>
      <w:r>
        <w:rPr>
          <w:rFonts w:hint="eastAsia" w:ascii="仿宋" w:hAnsi="仿宋" w:eastAsia="仿宋" w:cs="仿宋"/>
          <w:sz w:val="28"/>
          <w:szCs w:val="28"/>
        </w:rPr>
        <w:fldChar w:fldCharType="separate"/>
      </w:r>
      <w:r>
        <w:rPr>
          <w:rFonts w:hint="eastAsia" w:ascii="仿宋" w:hAnsi="仿宋" w:eastAsia="仿宋" w:cs="仿宋"/>
          <w:sz w:val="28"/>
          <w:szCs w:val="28"/>
        </w:rPr>
        <w:t>26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3"/>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_Toc5096 </w:instrText>
      </w:r>
      <w:r>
        <w:rPr>
          <w:rFonts w:hint="eastAsia" w:ascii="仿宋" w:hAnsi="仿宋" w:eastAsia="仿宋" w:cs="仿宋"/>
          <w:sz w:val="28"/>
          <w:szCs w:val="28"/>
        </w:rPr>
        <w:fldChar w:fldCharType="separate"/>
      </w:r>
      <w:r>
        <w:rPr>
          <w:rFonts w:hint="eastAsia" w:ascii="仿宋" w:hAnsi="仿宋" w:eastAsia="仿宋" w:cs="仿宋"/>
          <w:bCs/>
          <w:sz w:val="28"/>
          <w:szCs w:val="28"/>
        </w:rPr>
        <w:t>6.2信息报告与处置</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_Toc5096 \h </w:instrText>
      </w:r>
      <w:r>
        <w:rPr>
          <w:rFonts w:hint="eastAsia" w:ascii="仿宋" w:hAnsi="仿宋" w:eastAsia="仿宋" w:cs="仿宋"/>
          <w:sz w:val="28"/>
          <w:szCs w:val="28"/>
        </w:rPr>
        <w:fldChar w:fldCharType="separate"/>
      </w:r>
      <w:r>
        <w:rPr>
          <w:rFonts w:hint="eastAsia" w:ascii="仿宋" w:hAnsi="仿宋" w:eastAsia="仿宋" w:cs="仿宋"/>
          <w:sz w:val="28"/>
          <w:szCs w:val="28"/>
        </w:rPr>
        <w:t>26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49"/>
        <w:tabs>
          <w:tab w:val="right" w:leader="dot" w:pos="8640"/>
        </w:tabs>
        <w:spacing w:line="360" w:lineRule="auto"/>
        <w:rPr>
          <w:rFonts w:hint="eastAsia" w:ascii="仿宋" w:hAnsi="仿宋" w:eastAsia="仿宋" w:cs="仿宋"/>
          <w:b/>
          <w:sz w:val="28"/>
          <w:szCs w:val="28"/>
        </w:rPr>
      </w:pP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HYPERLINK \l _Toc6748 </w:instrText>
      </w:r>
      <w:r>
        <w:rPr>
          <w:rFonts w:hint="eastAsia" w:ascii="仿宋" w:hAnsi="仿宋" w:eastAsia="仿宋" w:cs="仿宋"/>
          <w:b/>
          <w:sz w:val="28"/>
          <w:szCs w:val="28"/>
        </w:rPr>
        <w:fldChar w:fldCharType="separate"/>
      </w:r>
      <w:r>
        <w:rPr>
          <w:rFonts w:hint="eastAsia" w:ascii="仿宋" w:hAnsi="仿宋" w:eastAsia="仿宋" w:cs="仿宋"/>
          <w:b/>
          <w:bCs/>
          <w:sz w:val="28"/>
          <w:szCs w:val="28"/>
          <w:lang w:val="en-US" w:eastAsia="zh-CN"/>
        </w:rPr>
        <w:t>7</w:t>
      </w:r>
      <w:r>
        <w:rPr>
          <w:rFonts w:hint="eastAsia" w:ascii="仿宋" w:hAnsi="仿宋" w:eastAsia="仿宋" w:cs="仿宋"/>
          <w:b/>
          <w:bCs/>
          <w:sz w:val="28"/>
          <w:szCs w:val="28"/>
        </w:rPr>
        <w:t>.应对流程和措施</w:t>
      </w:r>
      <w:r>
        <w:rPr>
          <w:rFonts w:hint="eastAsia" w:ascii="仿宋" w:hAnsi="仿宋" w:eastAsia="仿宋" w:cs="仿宋"/>
          <w:b/>
          <w:sz w:val="28"/>
          <w:szCs w:val="28"/>
        </w:rPr>
        <w:tab/>
      </w: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PAGEREF _Toc6748 \h </w:instrText>
      </w:r>
      <w:r>
        <w:rPr>
          <w:rFonts w:hint="eastAsia" w:ascii="仿宋" w:hAnsi="仿宋" w:eastAsia="仿宋" w:cs="仿宋"/>
          <w:b/>
          <w:sz w:val="28"/>
          <w:szCs w:val="28"/>
        </w:rPr>
        <w:fldChar w:fldCharType="separate"/>
      </w:r>
      <w:r>
        <w:rPr>
          <w:rFonts w:hint="eastAsia" w:ascii="仿宋" w:hAnsi="仿宋" w:eastAsia="仿宋" w:cs="仿宋"/>
          <w:b/>
          <w:sz w:val="28"/>
          <w:szCs w:val="28"/>
        </w:rPr>
        <w:t>28</w:t>
      </w:r>
      <w:r>
        <w:rPr>
          <w:rFonts w:hint="eastAsia" w:ascii="仿宋" w:hAnsi="仿宋" w:eastAsia="仿宋" w:cs="仿宋"/>
          <w:b/>
          <w:sz w:val="28"/>
          <w:szCs w:val="28"/>
        </w:rPr>
        <w:fldChar w:fldCharType="end"/>
      </w:r>
      <w:r>
        <w:rPr>
          <w:rFonts w:hint="eastAsia" w:ascii="仿宋" w:hAnsi="仿宋" w:eastAsia="仿宋" w:cs="仿宋"/>
          <w:b/>
          <w:sz w:val="28"/>
          <w:szCs w:val="28"/>
        </w:rPr>
        <w:fldChar w:fldCharType="end"/>
      </w:r>
    </w:p>
    <w:p>
      <w:pPr>
        <w:pStyle w:val="163"/>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_Toc9499 </w:instrText>
      </w:r>
      <w:r>
        <w:rPr>
          <w:rFonts w:hint="eastAsia" w:ascii="仿宋" w:hAnsi="仿宋" w:eastAsia="仿宋" w:cs="仿宋"/>
          <w:sz w:val="28"/>
          <w:szCs w:val="28"/>
        </w:rPr>
        <w:fldChar w:fldCharType="separate"/>
      </w:r>
      <w:r>
        <w:rPr>
          <w:rFonts w:hint="eastAsia" w:ascii="仿宋" w:hAnsi="仿宋" w:eastAsia="仿宋" w:cs="仿宋"/>
          <w:bCs/>
          <w:sz w:val="28"/>
          <w:szCs w:val="28"/>
          <w:lang w:val="en-US" w:eastAsia="zh-CN"/>
        </w:rPr>
        <w:t>7</w:t>
      </w:r>
      <w:r>
        <w:rPr>
          <w:rFonts w:hint="eastAsia" w:ascii="仿宋" w:hAnsi="仿宋" w:eastAsia="仿宋" w:cs="仿宋"/>
          <w:bCs/>
          <w:sz w:val="28"/>
          <w:szCs w:val="28"/>
        </w:rPr>
        <w:t>.1应急处置流程</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_Toc9499 \h </w:instrText>
      </w:r>
      <w:r>
        <w:rPr>
          <w:rFonts w:hint="eastAsia" w:ascii="仿宋" w:hAnsi="仿宋" w:eastAsia="仿宋" w:cs="仿宋"/>
          <w:sz w:val="28"/>
          <w:szCs w:val="28"/>
        </w:rPr>
        <w:fldChar w:fldCharType="separate"/>
      </w:r>
      <w:r>
        <w:rPr>
          <w:rFonts w:hint="eastAsia" w:ascii="仿宋" w:hAnsi="仿宋" w:eastAsia="仿宋" w:cs="仿宋"/>
          <w:sz w:val="28"/>
          <w:szCs w:val="28"/>
        </w:rPr>
        <w:t>28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3"/>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_Toc14139 </w:instrText>
      </w:r>
      <w:r>
        <w:rPr>
          <w:rFonts w:hint="eastAsia" w:ascii="仿宋" w:hAnsi="仿宋" w:eastAsia="仿宋" w:cs="仿宋"/>
          <w:sz w:val="28"/>
          <w:szCs w:val="28"/>
        </w:rPr>
        <w:fldChar w:fldCharType="separate"/>
      </w:r>
      <w:r>
        <w:rPr>
          <w:rFonts w:hint="eastAsia" w:ascii="仿宋" w:hAnsi="仿宋" w:eastAsia="仿宋" w:cs="仿宋"/>
          <w:bCs/>
          <w:sz w:val="28"/>
          <w:szCs w:val="28"/>
          <w:lang w:val="en-US" w:eastAsia="zh-CN"/>
        </w:rPr>
        <w:t>7</w:t>
      </w:r>
      <w:r>
        <w:rPr>
          <w:rFonts w:hint="eastAsia" w:ascii="仿宋" w:hAnsi="仿宋" w:eastAsia="仿宋" w:cs="仿宋"/>
          <w:bCs/>
          <w:sz w:val="28"/>
          <w:szCs w:val="28"/>
        </w:rPr>
        <w:t>.2关键岗位应急处置卡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_Toc14139 \h </w:instrText>
      </w:r>
      <w:r>
        <w:rPr>
          <w:rFonts w:hint="eastAsia" w:ascii="仿宋" w:hAnsi="仿宋" w:eastAsia="仿宋" w:cs="仿宋"/>
          <w:sz w:val="28"/>
          <w:szCs w:val="28"/>
        </w:rPr>
        <w:fldChar w:fldCharType="separate"/>
      </w:r>
      <w:r>
        <w:rPr>
          <w:rFonts w:hint="eastAsia" w:ascii="仿宋" w:hAnsi="仿宋" w:eastAsia="仿宋" w:cs="仿宋"/>
          <w:sz w:val="28"/>
          <w:szCs w:val="28"/>
        </w:rPr>
        <w:t>29</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3"/>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_Toc945 </w:instrText>
      </w:r>
      <w:r>
        <w:rPr>
          <w:rFonts w:hint="eastAsia" w:ascii="仿宋" w:hAnsi="仿宋" w:eastAsia="仿宋" w:cs="仿宋"/>
          <w:sz w:val="28"/>
          <w:szCs w:val="28"/>
        </w:rPr>
        <w:fldChar w:fldCharType="separate"/>
      </w:r>
      <w:r>
        <w:rPr>
          <w:rFonts w:hint="eastAsia" w:ascii="仿宋" w:hAnsi="仿宋" w:eastAsia="仿宋" w:cs="仿宋"/>
          <w:bCs/>
          <w:sz w:val="28"/>
          <w:szCs w:val="28"/>
          <w:lang w:val="en-US" w:eastAsia="zh-CN"/>
        </w:rPr>
        <w:t>7</w:t>
      </w:r>
      <w:r>
        <w:rPr>
          <w:rFonts w:hint="eastAsia" w:ascii="仿宋" w:hAnsi="仿宋" w:eastAsia="仿宋" w:cs="仿宋"/>
          <w:bCs/>
          <w:sz w:val="28"/>
          <w:szCs w:val="28"/>
        </w:rPr>
        <w:t>.3应急设施（备）及应急物资的启用程序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_Toc945 \h </w:instrText>
      </w:r>
      <w:r>
        <w:rPr>
          <w:rFonts w:hint="eastAsia" w:ascii="仿宋" w:hAnsi="仿宋" w:eastAsia="仿宋" w:cs="仿宋"/>
          <w:sz w:val="28"/>
          <w:szCs w:val="28"/>
        </w:rPr>
        <w:fldChar w:fldCharType="separate"/>
      </w:r>
      <w:r>
        <w:rPr>
          <w:rFonts w:hint="eastAsia" w:ascii="仿宋" w:hAnsi="仿宋" w:eastAsia="仿宋" w:cs="仿宋"/>
          <w:sz w:val="28"/>
          <w:szCs w:val="28"/>
        </w:rPr>
        <w:t>30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3"/>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_Toc2043 </w:instrText>
      </w:r>
      <w:r>
        <w:rPr>
          <w:rFonts w:hint="eastAsia" w:ascii="仿宋" w:hAnsi="仿宋" w:eastAsia="仿宋" w:cs="仿宋"/>
          <w:sz w:val="28"/>
          <w:szCs w:val="28"/>
        </w:rPr>
        <w:fldChar w:fldCharType="separate"/>
      </w:r>
      <w:r>
        <w:rPr>
          <w:rFonts w:hint="eastAsia" w:ascii="仿宋" w:hAnsi="仿宋" w:eastAsia="仿宋" w:cs="仿宋"/>
          <w:bCs/>
          <w:sz w:val="28"/>
          <w:szCs w:val="28"/>
          <w:lang w:val="en-US" w:eastAsia="zh-CN"/>
        </w:rPr>
        <w:t>7</w:t>
      </w:r>
      <w:r>
        <w:rPr>
          <w:rFonts w:hint="eastAsia" w:ascii="仿宋" w:hAnsi="仿宋" w:eastAsia="仿宋" w:cs="仿宋"/>
          <w:bCs/>
          <w:sz w:val="28"/>
          <w:szCs w:val="28"/>
        </w:rPr>
        <w:t>.4人员紧急撤离和疏散</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_Toc2043 \h </w:instrText>
      </w:r>
      <w:r>
        <w:rPr>
          <w:rFonts w:hint="eastAsia" w:ascii="仿宋" w:hAnsi="仿宋" w:eastAsia="仿宋" w:cs="仿宋"/>
          <w:sz w:val="28"/>
          <w:szCs w:val="28"/>
        </w:rPr>
        <w:fldChar w:fldCharType="separate"/>
      </w:r>
      <w:r>
        <w:rPr>
          <w:rFonts w:hint="eastAsia" w:ascii="仿宋" w:hAnsi="仿宋" w:eastAsia="仿宋" w:cs="仿宋"/>
          <w:sz w:val="28"/>
          <w:szCs w:val="28"/>
        </w:rPr>
        <w:t>30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49"/>
        <w:tabs>
          <w:tab w:val="right" w:leader="dot" w:pos="8640"/>
        </w:tabs>
        <w:spacing w:line="360" w:lineRule="auto"/>
        <w:rPr>
          <w:rFonts w:hint="eastAsia" w:ascii="仿宋" w:hAnsi="仿宋" w:eastAsia="仿宋" w:cs="仿宋"/>
          <w:b/>
          <w:sz w:val="28"/>
          <w:szCs w:val="28"/>
        </w:rPr>
      </w:pP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HYPERLINK \l _Toc10122 </w:instrText>
      </w:r>
      <w:r>
        <w:rPr>
          <w:rFonts w:hint="eastAsia" w:ascii="仿宋" w:hAnsi="仿宋" w:eastAsia="仿宋" w:cs="仿宋"/>
          <w:b/>
          <w:sz w:val="28"/>
          <w:szCs w:val="28"/>
        </w:rPr>
        <w:fldChar w:fldCharType="separate"/>
      </w:r>
      <w:r>
        <w:rPr>
          <w:rFonts w:hint="eastAsia" w:ascii="仿宋" w:hAnsi="仿宋" w:eastAsia="仿宋" w:cs="仿宋"/>
          <w:b/>
          <w:bCs/>
          <w:sz w:val="28"/>
          <w:szCs w:val="28"/>
          <w:lang w:val="en-US" w:eastAsia="zh-CN"/>
        </w:rPr>
        <w:t>8</w:t>
      </w:r>
      <w:r>
        <w:rPr>
          <w:rFonts w:hint="eastAsia" w:ascii="仿宋" w:hAnsi="仿宋" w:eastAsia="仿宋" w:cs="仿宋"/>
          <w:b/>
          <w:bCs/>
          <w:sz w:val="28"/>
          <w:szCs w:val="28"/>
        </w:rPr>
        <w:t>.应急监测</w:t>
      </w:r>
      <w:r>
        <w:rPr>
          <w:rFonts w:hint="eastAsia" w:ascii="仿宋" w:hAnsi="仿宋" w:eastAsia="仿宋" w:cs="仿宋"/>
          <w:b/>
          <w:sz w:val="28"/>
          <w:szCs w:val="28"/>
        </w:rPr>
        <w:tab/>
      </w: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PAGEREF _Toc10122 \h </w:instrText>
      </w:r>
      <w:r>
        <w:rPr>
          <w:rFonts w:hint="eastAsia" w:ascii="仿宋" w:hAnsi="仿宋" w:eastAsia="仿宋" w:cs="仿宋"/>
          <w:b/>
          <w:sz w:val="28"/>
          <w:szCs w:val="28"/>
        </w:rPr>
        <w:fldChar w:fldCharType="separate"/>
      </w:r>
      <w:r>
        <w:rPr>
          <w:rFonts w:hint="eastAsia" w:ascii="仿宋" w:hAnsi="仿宋" w:eastAsia="仿宋" w:cs="仿宋"/>
          <w:b/>
          <w:sz w:val="28"/>
          <w:szCs w:val="28"/>
        </w:rPr>
        <w:t>31</w:t>
      </w:r>
      <w:r>
        <w:rPr>
          <w:rFonts w:hint="eastAsia" w:ascii="仿宋" w:hAnsi="仿宋" w:eastAsia="仿宋" w:cs="仿宋"/>
          <w:b/>
          <w:sz w:val="28"/>
          <w:szCs w:val="28"/>
        </w:rPr>
        <w:fldChar w:fldCharType="end"/>
      </w:r>
      <w:r>
        <w:rPr>
          <w:rFonts w:hint="eastAsia" w:ascii="仿宋" w:hAnsi="仿宋" w:eastAsia="仿宋" w:cs="仿宋"/>
          <w:b/>
          <w:sz w:val="28"/>
          <w:szCs w:val="28"/>
        </w:rPr>
        <w:fldChar w:fldCharType="end"/>
      </w:r>
    </w:p>
    <w:p>
      <w:pPr>
        <w:pStyle w:val="163"/>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_Toc18245 </w:instrText>
      </w:r>
      <w:r>
        <w:rPr>
          <w:rFonts w:hint="eastAsia" w:ascii="仿宋" w:hAnsi="仿宋" w:eastAsia="仿宋" w:cs="仿宋"/>
          <w:sz w:val="28"/>
          <w:szCs w:val="28"/>
        </w:rPr>
        <w:fldChar w:fldCharType="separate"/>
      </w:r>
      <w:r>
        <w:rPr>
          <w:rFonts w:hint="eastAsia" w:ascii="仿宋" w:hAnsi="仿宋" w:eastAsia="仿宋" w:cs="仿宋"/>
          <w:bCs/>
          <w:sz w:val="28"/>
          <w:szCs w:val="28"/>
          <w:lang w:val="en-US" w:eastAsia="zh-CN"/>
        </w:rPr>
        <w:t>8</w:t>
      </w:r>
      <w:r>
        <w:rPr>
          <w:rFonts w:hint="eastAsia" w:ascii="仿宋" w:hAnsi="仿宋" w:eastAsia="仿宋" w:cs="仿宋"/>
          <w:bCs/>
          <w:sz w:val="28"/>
          <w:szCs w:val="28"/>
        </w:rPr>
        <w:t>.1大气环境监测方案</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_Toc18245 \h </w:instrText>
      </w:r>
      <w:r>
        <w:rPr>
          <w:rFonts w:hint="eastAsia" w:ascii="仿宋" w:hAnsi="仿宋" w:eastAsia="仿宋" w:cs="仿宋"/>
          <w:sz w:val="28"/>
          <w:szCs w:val="28"/>
        </w:rPr>
        <w:fldChar w:fldCharType="separate"/>
      </w:r>
      <w:r>
        <w:rPr>
          <w:rFonts w:hint="eastAsia" w:ascii="仿宋" w:hAnsi="仿宋" w:eastAsia="仿宋" w:cs="仿宋"/>
          <w:sz w:val="28"/>
          <w:szCs w:val="28"/>
        </w:rPr>
        <w:t>31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3"/>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_Toc8651 </w:instrText>
      </w:r>
      <w:r>
        <w:rPr>
          <w:rFonts w:hint="eastAsia" w:ascii="仿宋" w:hAnsi="仿宋" w:eastAsia="仿宋" w:cs="仿宋"/>
          <w:sz w:val="28"/>
          <w:szCs w:val="28"/>
        </w:rPr>
        <w:fldChar w:fldCharType="separate"/>
      </w:r>
      <w:r>
        <w:rPr>
          <w:rFonts w:hint="eastAsia" w:ascii="仿宋" w:hAnsi="仿宋" w:eastAsia="仿宋" w:cs="仿宋"/>
          <w:bCs/>
          <w:sz w:val="28"/>
          <w:szCs w:val="28"/>
          <w:lang w:val="en-US" w:eastAsia="zh-CN"/>
        </w:rPr>
        <w:t>8</w:t>
      </w:r>
      <w:r>
        <w:rPr>
          <w:rFonts w:hint="eastAsia" w:ascii="仿宋" w:hAnsi="仿宋" w:eastAsia="仿宋" w:cs="仿宋"/>
          <w:bCs/>
          <w:sz w:val="28"/>
          <w:szCs w:val="28"/>
        </w:rPr>
        <w:t>.2水环境监测方案</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_Toc8651 \h </w:instrText>
      </w:r>
      <w:r>
        <w:rPr>
          <w:rFonts w:hint="eastAsia" w:ascii="仿宋" w:hAnsi="仿宋" w:eastAsia="仿宋" w:cs="仿宋"/>
          <w:sz w:val="28"/>
          <w:szCs w:val="28"/>
        </w:rPr>
        <w:fldChar w:fldCharType="separate"/>
      </w:r>
      <w:r>
        <w:rPr>
          <w:rFonts w:hint="eastAsia" w:ascii="仿宋" w:hAnsi="仿宋" w:eastAsia="仿宋" w:cs="仿宋"/>
          <w:sz w:val="28"/>
          <w:szCs w:val="28"/>
        </w:rPr>
        <w:t>31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49"/>
        <w:tabs>
          <w:tab w:val="right" w:leader="dot" w:pos="8640"/>
        </w:tabs>
        <w:spacing w:line="360" w:lineRule="auto"/>
        <w:rPr>
          <w:rFonts w:hint="eastAsia" w:ascii="仿宋" w:hAnsi="仿宋" w:eastAsia="仿宋" w:cs="仿宋"/>
          <w:b/>
          <w:sz w:val="28"/>
          <w:szCs w:val="28"/>
        </w:rPr>
      </w:pP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HYPERLINK \l _Toc1607 </w:instrText>
      </w:r>
      <w:r>
        <w:rPr>
          <w:rFonts w:hint="eastAsia" w:ascii="仿宋" w:hAnsi="仿宋" w:eastAsia="仿宋" w:cs="仿宋"/>
          <w:b/>
          <w:sz w:val="28"/>
          <w:szCs w:val="28"/>
        </w:rPr>
        <w:fldChar w:fldCharType="separate"/>
      </w:r>
      <w:r>
        <w:rPr>
          <w:rFonts w:hint="eastAsia" w:ascii="仿宋" w:hAnsi="仿宋" w:eastAsia="仿宋" w:cs="仿宋"/>
          <w:b/>
          <w:bCs/>
          <w:sz w:val="28"/>
          <w:szCs w:val="28"/>
        </w:rPr>
        <w:t>9.应急终止</w:t>
      </w:r>
      <w:r>
        <w:rPr>
          <w:rFonts w:hint="eastAsia" w:ascii="仿宋" w:hAnsi="仿宋" w:eastAsia="仿宋" w:cs="仿宋"/>
          <w:b/>
          <w:sz w:val="28"/>
          <w:szCs w:val="28"/>
        </w:rPr>
        <w:tab/>
      </w: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PAGEREF _Toc1607 \h </w:instrText>
      </w:r>
      <w:r>
        <w:rPr>
          <w:rFonts w:hint="eastAsia" w:ascii="仿宋" w:hAnsi="仿宋" w:eastAsia="仿宋" w:cs="仿宋"/>
          <w:b/>
          <w:sz w:val="28"/>
          <w:szCs w:val="28"/>
        </w:rPr>
        <w:fldChar w:fldCharType="separate"/>
      </w:r>
      <w:r>
        <w:rPr>
          <w:rFonts w:hint="eastAsia" w:ascii="仿宋" w:hAnsi="仿宋" w:eastAsia="仿宋" w:cs="仿宋"/>
          <w:b/>
          <w:sz w:val="28"/>
          <w:szCs w:val="28"/>
        </w:rPr>
        <w:t>33</w:t>
      </w:r>
      <w:r>
        <w:rPr>
          <w:rFonts w:hint="eastAsia" w:ascii="仿宋" w:hAnsi="仿宋" w:eastAsia="仿宋" w:cs="仿宋"/>
          <w:b/>
          <w:sz w:val="28"/>
          <w:szCs w:val="28"/>
        </w:rPr>
        <w:fldChar w:fldCharType="end"/>
      </w:r>
      <w:r>
        <w:rPr>
          <w:rFonts w:hint="eastAsia" w:ascii="仿宋" w:hAnsi="仿宋" w:eastAsia="仿宋" w:cs="仿宋"/>
          <w:b/>
          <w:sz w:val="28"/>
          <w:szCs w:val="28"/>
        </w:rPr>
        <w:fldChar w:fldCharType="end"/>
      </w:r>
    </w:p>
    <w:p>
      <w:pPr>
        <w:pStyle w:val="163"/>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_Toc22814 </w:instrText>
      </w:r>
      <w:r>
        <w:rPr>
          <w:rFonts w:hint="eastAsia" w:ascii="仿宋" w:hAnsi="仿宋" w:eastAsia="仿宋" w:cs="仿宋"/>
          <w:sz w:val="28"/>
          <w:szCs w:val="28"/>
        </w:rPr>
        <w:fldChar w:fldCharType="separate"/>
      </w:r>
      <w:r>
        <w:rPr>
          <w:rFonts w:hint="eastAsia" w:ascii="仿宋" w:hAnsi="仿宋" w:eastAsia="仿宋" w:cs="仿宋"/>
          <w:bCs/>
          <w:sz w:val="28"/>
          <w:szCs w:val="28"/>
        </w:rPr>
        <w:t>9.1应急终止的条件</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_Toc22814 \h </w:instrText>
      </w:r>
      <w:r>
        <w:rPr>
          <w:rFonts w:hint="eastAsia" w:ascii="仿宋" w:hAnsi="仿宋" w:eastAsia="仿宋" w:cs="仿宋"/>
          <w:sz w:val="28"/>
          <w:szCs w:val="28"/>
        </w:rPr>
        <w:fldChar w:fldCharType="separate"/>
      </w:r>
      <w:r>
        <w:rPr>
          <w:rFonts w:hint="eastAsia" w:ascii="仿宋" w:hAnsi="仿宋" w:eastAsia="仿宋" w:cs="仿宋"/>
          <w:sz w:val="28"/>
          <w:szCs w:val="28"/>
        </w:rPr>
        <w:t>33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3"/>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_Toc2663 </w:instrText>
      </w:r>
      <w:r>
        <w:rPr>
          <w:rFonts w:hint="eastAsia" w:ascii="仿宋" w:hAnsi="仿宋" w:eastAsia="仿宋" w:cs="仿宋"/>
          <w:sz w:val="28"/>
          <w:szCs w:val="28"/>
        </w:rPr>
        <w:fldChar w:fldCharType="separate"/>
      </w:r>
      <w:r>
        <w:rPr>
          <w:rFonts w:hint="eastAsia" w:ascii="仿宋" w:hAnsi="仿宋" w:eastAsia="仿宋" w:cs="仿宋"/>
          <w:bCs/>
          <w:sz w:val="28"/>
          <w:szCs w:val="28"/>
        </w:rPr>
        <w:t>9.2应急终止</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_Toc2663 \h </w:instrText>
      </w:r>
      <w:r>
        <w:rPr>
          <w:rFonts w:hint="eastAsia" w:ascii="仿宋" w:hAnsi="仿宋" w:eastAsia="仿宋" w:cs="仿宋"/>
          <w:sz w:val="28"/>
          <w:szCs w:val="28"/>
        </w:rPr>
        <w:fldChar w:fldCharType="separate"/>
      </w:r>
      <w:r>
        <w:rPr>
          <w:rFonts w:hint="eastAsia" w:ascii="仿宋" w:hAnsi="仿宋" w:eastAsia="仿宋" w:cs="仿宋"/>
          <w:sz w:val="28"/>
          <w:szCs w:val="28"/>
        </w:rPr>
        <w:t>33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49"/>
        <w:tabs>
          <w:tab w:val="right" w:leader="dot" w:pos="8640"/>
        </w:tabs>
        <w:spacing w:line="360" w:lineRule="auto"/>
        <w:rPr>
          <w:rFonts w:hint="eastAsia" w:ascii="仿宋" w:hAnsi="仿宋" w:eastAsia="仿宋" w:cs="仿宋"/>
          <w:b/>
          <w:sz w:val="28"/>
          <w:szCs w:val="28"/>
        </w:rPr>
      </w:pP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HYPERLINK \l _Toc14606 </w:instrText>
      </w:r>
      <w:r>
        <w:rPr>
          <w:rFonts w:hint="eastAsia" w:ascii="仿宋" w:hAnsi="仿宋" w:eastAsia="仿宋" w:cs="仿宋"/>
          <w:b/>
          <w:sz w:val="28"/>
          <w:szCs w:val="28"/>
        </w:rPr>
        <w:fldChar w:fldCharType="separate"/>
      </w:r>
      <w:r>
        <w:rPr>
          <w:rFonts w:hint="eastAsia" w:ascii="仿宋" w:hAnsi="仿宋" w:eastAsia="仿宋" w:cs="仿宋"/>
          <w:b/>
          <w:bCs/>
          <w:sz w:val="28"/>
          <w:szCs w:val="28"/>
        </w:rPr>
        <w:t>10.后期处置</w:t>
      </w:r>
      <w:r>
        <w:rPr>
          <w:rFonts w:hint="eastAsia" w:ascii="仿宋" w:hAnsi="仿宋" w:eastAsia="仿宋" w:cs="仿宋"/>
          <w:b/>
          <w:sz w:val="28"/>
          <w:szCs w:val="28"/>
        </w:rPr>
        <w:tab/>
      </w: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PAGEREF _Toc14606 \h </w:instrText>
      </w:r>
      <w:r>
        <w:rPr>
          <w:rFonts w:hint="eastAsia" w:ascii="仿宋" w:hAnsi="仿宋" w:eastAsia="仿宋" w:cs="仿宋"/>
          <w:b/>
          <w:sz w:val="28"/>
          <w:szCs w:val="28"/>
        </w:rPr>
        <w:fldChar w:fldCharType="separate"/>
      </w:r>
      <w:r>
        <w:rPr>
          <w:rFonts w:hint="eastAsia" w:ascii="仿宋" w:hAnsi="仿宋" w:eastAsia="仿宋" w:cs="仿宋"/>
          <w:b/>
          <w:sz w:val="28"/>
          <w:szCs w:val="28"/>
        </w:rPr>
        <w:t>34</w:t>
      </w:r>
      <w:r>
        <w:rPr>
          <w:rFonts w:hint="eastAsia" w:ascii="仿宋" w:hAnsi="仿宋" w:eastAsia="仿宋" w:cs="仿宋"/>
          <w:b/>
          <w:sz w:val="28"/>
          <w:szCs w:val="28"/>
        </w:rPr>
        <w:fldChar w:fldCharType="end"/>
      </w:r>
      <w:r>
        <w:rPr>
          <w:rFonts w:hint="eastAsia" w:ascii="仿宋" w:hAnsi="仿宋" w:eastAsia="仿宋" w:cs="仿宋"/>
          <w:b/>
          <w:sz w:val="28"/>
          <w:szCs w:val="28"/>
        </w:rPr>
        <w:fldChar w:fldCharType="end"/>
      </w:r>
    </w:p>
    <w:p>
      <w:pPr>
        <w:pStyle w:val="163"/>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_Toc26051 </w:instrText>
      </w:r>
      <w:r>
        <w:rPr>
          <w:rFonts w:hint="eastAsia" w:ascii="仿宋" w:hAnsi="仿宋" w:eastAsia="仿宋" w:cs="仿宋"/>
          <w:sz w:val="28"/>
          <w:szCs w:val="28"/>
        </w:rPr>
        <w:fldChar w:fldCharType="separate"/>
      </w:r>
      <w:r>
        <w:rPr>
          <w:rFonts w:hint="eastAsia" w:ascii="仿宋" w:hAnsi="仿宋" w:eastAsia="仿宋" w:cs="仿宋"/>
          <w:bCs/>
          <w:sz w:val="28"/>
          <w:szCs w:val="28"/>
        </w:rPr>
        <w:t>10.1现场恢复</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_Toc26051 \h </w:instrText>
      </w:r>
      <w:r>
        <w:rPr>
          <w:rFonts w:hint="eastAsia" w:ascii="仿宋" w:hAnsi="仿宋" w:eastAsia="仿宋" w:cs="仿宋"/>
          <w:sz w:val="28"/>
          <w:szCs w:val="28"/>
        </w:rPr>
        <w:fldChar w:fldCharType="separate"/>
      </w:r>
      <w:r>
        <w:rPr>
          <w:rFonts w:hint="eastAsia" w:ascii="仿宋" w:hAnsi="仿宋" w:eastAsia="仿宋" w:cs="仿宋"/>
          <w:sz w:val="28"/>
          <w:szCs w:val="28"/>
        </w:rPr>
        <w:t>34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3"/>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_Toc29975 </w:instrText>
      </w:r>
      <w:r>
        <w:rPr>
          <w:rFonts w:hint="eastAsia" w:ascii="仿宋" w:hAnsi="仿宋" w:eastAsia="仿宋" w:cs="仿宋"/>
          <w:sz w:val="28"/>
          <w:szCs w:val="28"/>
        </w:rPr>
        <w:fldChar w:fldCharType="separate"/>
      </w:r>
      <w:r>
        <w:rPr>
          <w:rFonts w:hint="eastAsia" w:ascii="仿宋" w:hAnsi="仿宋" w:eastAsia="仿宋" w:cs="仿宋"/>
          <w:bCs/>
          <w:sz w:val="28"/>
          <w:szCs w:val="28"/>
        </w:rPr>
        <w:t>10.2环境恢复</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_Toc29975 \h </w:instrText>
      </w:r>
      <w:r>
        <w:rPr>
          <w:rFonts w:hint="eastAsia" w:ascii="仿宋" w:hAnsi="仿宋" w:eastAsia="仿宋" w:cs="仿宋"/>
          <w:sz w:val="28"/>
          <w:szCs w:val="28"/>
        </w:rPr>
        <w:fldChar w:fldCharType="separate"/>
      </w:r>
      <w:r>
        <w:rPr>
          <w:rFonts w:hint="eastAsia" w:ascii="仿宋" w:hAnsi="仿宋" w:eastAsia="仿宋" w:cs="仿宋"/>
          <w:sz w:val="28"/>
          <w:szCs w:val="28"/>
        </w:rPr>
        <w:t>34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3"/>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_Toc2158 </w:instrText>
      </w:r>
      <w:r>
        <w:rPr>
          <w:rFonts w:hint="eastAsia" w:ascii="仿宋" w:hAnsi="仿宋" w:eastAsia="仿宋" w:cs="仿宋"/>
          <w:sz w:val="28"/>
          <w:szCs w:val="28"/>
        </w:rPr>
        <w:fldChar w:fldCharType="separate"/>
      </w:r>
      <w:r>
        <w:rPr>
          <w:rFonts w:hint="eastAsia" w:ascii="仿宋" w:hAnsi="仿宋" w:eastAsia="仿宋" w:cs="仿宋"/>
          <w:bCs/>
          <w:sz w:val="28"/>
          <w:szCs w:val="28"/>
        </w:rPr>
        <w:t>10.3善后赔偿</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_Toc2158 \h </w:instrText>
      </w:r>
      <w:r>
        <w:rPr>
          <w:rFonts w:hint="eastAsia" w:ascii="仿宋" w:hAnsi="仿宋" w:eastAsia="仿宋" w:cs="仿宋"/>
          <w:sz w:val="28"/>
          <w:szCs w:val="28"/>
        </w:rPr>
        <w:fldChar w:fldCharType="separate"/>
      </w:r>
      <w:r>
        <w:rPr>
          <w:rFonts w:hint="eastAsia" w:ascii="仿宋" w:hAnsi="仿宋" w:eastAsia="仿宋" w:cs="仿宋"/>
          <w:sz w:val="28"/>
          <w:szCs w:val="28"/>
        </w:rPr>
        <w:t>34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3"/>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_Toc17764 </w:instrText>
      </w:r>
      <w:r>
        <w:rPr>
          <w:rFonts w:hint="eastAsia" w:ascii="仿宋" w:hAnsi="仿宋" w:eastAsia="仿宋" w:cs="仿宋"/>
          <w:sz w:val="28"/>
          <w:szCs w:val="28"/>
        </w:rPr>
        <w:fldChar w:fldCharType="separate"/>
      </w:r>
      <w:r>
        <w:rPr>
          <w:rFonts w:hint="eastAsia" w:ascii="仿宋" w:hAnsi="仿宋" w:eastAsia="仿宋" w:cs="仿宋"/>
          <w:bCs/>
          <w:sz w:val="28"/>
          <w:szCs w:val="28"/>
        </w:rPr>
        <w:t>10.4调查与评估</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_Toc17764 \h </w:instrText>
      </w:r>
      <w:r>
        <w:rPr>
          <w:rFonts w:hint="eastAsia" w:ascii="仿宋" w:hAnsi="仿宋" w:eastAsia="仿宋" w:cs="仿宋"/>
          <w:sz w:val="28"/>
          <w:szCs w:val="28"/>
        </w:rPr>
        <w:fldChar w:fldCharType="separate"/>
      </w:r>
      <w:r>
        <w:rPr>
          <w:rFonts w:hint="eastAsia" w:ascii="仿宋" w:hAnsi="仿宋" w:eastAsia="仿宋" w:cs="仿宋"/>
          <w:sz w:val="28"/>
          <w:szCs w:val="28"/>
        </w:rPr>
        <w:t>34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49"/>
        <w:tabs>
          <w:tab w:val="right" w:leader="dot" w:pos="8640"/>
        </w:tabs>
        <w:spacing w:line="360" w:lineRule="auto"/>
        <w:rPr>
          <w:rFonts w:hint="eastAsia" w:ascii="仿宋" w:hAnsi="仿宋" w:eastAsia="仿宋" w:cs="仿宋"/>
          <w:b/>
          <w:sz w:val="28"/>
          <w:szCs w:val="28"/>
        </w:rPr>
      </w:pP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HYPERLINK \l _Toc14530 </w:instrText>
      </w:r>
      <w:r>
        <w:rPr>
          <w:rFonts w:hint="eastAsia" w:ascii="仿宋" w:hAnsi="仿宋" w:eastAsia="仿宋" w:cs="仿宋"/>
          <w:b/>
          <w:sz w:val="28"/>
          <w:szCs w:val="28"/>
        </w:rPr>
        <w:fldChar w:fldCharType="separate"/>
      </w:r>
      <w:r>
        <w:rPr>
          <w:rFonts w:hint="eastAsia" w:ascii="仿宋" w:hAnsi="仿宋" w:eastAsia="仿宋" w:cs="仿宋"/>
          <w:b/>
          <w:bCs/>
          <w:sz w:val="28"/>
          <w:szCs w:val="28"/>
        </w:rPr>
        <w:t>11.保障措施</w:t>
      </w:r>
      <w:r>
        <w:rPr>
          <w:rFonts w:hint="eastAsia" w:ascii="仿宋" w:hAnsi="仿宋" w:eastAsia="仿宋" w:cs="仿宋"/>
          <w:b/>
          <w:sz w:val="28"/>
          <w:szCs w:val="28"/>
        </w:rPr>
        <w:tab/>
      </w: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PAGEREF _Toc14530 \h </w:instrText>
      </w:r>
      <w:r>
        <w:rPr>
          <w:rFonts w:hint="eastAsia" w:ascii="仿宋" w:hAnsi="仿宋" w:eastAsia="仿宋" w:cs="仿宋"/>
          <w:b/>
          <w:sz w:val="28"/>
          <w:szCs w:val="28"/>
        </w:rPr>
        <w:fldChar w:fldCharType="separate"/>
      </w:r>
      <w:r>
        <w:rPr>
          <w:rFonts w:hint="eastAsia" w:ascii="仿宋" w:hAnsi="仿宋" w:eastAsia="仿宋" w:cs="仿宋"/>
          <w:b/>
          <w:sz w:val="28"/>
          <w:szCs w:val="28"/>
        </w:rPr>
        <w:t>35</w:t>
      </w:r>
      <w:r>
        <w:rPr>
          <w:rFonts w:hint="eastAsia" w:ascii="仿宋" w:hAnsi="仿宋" w:eastAsia="仿宋" w:cs="仿宋"/>
          <w:b/>
          <w:sz w:val="28"/>
          <w:szCs w:val="28"/>
        </w:rPr>
        <w:fldChar w:fldCharType="end"/>
      </w:r>
      <w:r>
        <w:rPr>
          <w:rFonts w:hint="eastAsia" w:ascii="仿宋" w:hAnsi="仿宋" w:eastAsia="仿宋" w:cs="仿宋"/>
          <w:b/>
          <w:sz w:val="28"/>
          <w:szCs w:val="28"/>
        </w:rPr>
        <w:fldChar w:fldCharType="end"/>
      </w:r>
    </w:p>
    <w:p>
      <w:pPr>
        <w:pStyle w:val="163"/>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_Toc29266 </w:instrText>
      </w:r>
      <w:r>
        <w:rPr>
          <w:rFonts w:hint="eastAsia" w:ascii="仿宋" w:hAnsi="仿宋" w:eastAsia="仿宋" w:cs="仿宋"/>
          <w:sz w:val="28"/>
          <w:szCs w:val="28"/>
        </w:rPr>
        <w:fldChar w:fldCharType="separate"/>
      </w:r>
      <w:r>
        <w:rPr>
          <w:rFonts w:hint="eastAsia" w:ascii="仿宋" w:hAnsi="仿宋" w:eastAsia="仿宋" w:cs="仿宋"/>
          <w:bCs/>
          <w:sz w:val="28"/>
          <w:szCs w:val="28"/>
        </w:rPr>
        <w:t>11.1通信与信息保障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_Toc29266 \h </w:instrText>
      </w:r>
      <w:r>
        <w:rPr>
          <w:rFonts w:hint="eastAsia" w:ascii="仿宋" w:hAnsi="仿宋" w:eastAsia="仿宋" w:cs="仿宋"/>
          <w:sz w:val="28"/>
          <w:szCs w:val="28"/>
        </w:rPr>
        <w:fldChar w:fldCharType="separate"/>
      </w:r>
      <w:r>
        <w:rPr>
          <w:rFonts w:hint="eastAsia" w:ascii="仿宋" w:hAnsi="仿宋" w:eastAsia="仿宋" w:cs="仿宋"/>
          <w:sz w:val="28"/>
          <w:szCs w:val="28"/>
        </w:rPr>
        <w:t>35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3"/>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_Toc4947 </w:instrText>
      </w:r>
      <w:r>
        <w:rPr>
          <w:rFonts w:hint="eastAsia" w:ascii="仿宋" w:hAnsi="仿宋" w:eastAsia="仿宋" w:cs="仿宋"/>
          <w:sz w:val="28"/>
          <w:szCs w:val="28"/>
        </w:rPr>
        <w:fldChar w:fldCharType="separate"/>
      </w:r>
      <w:r>
        <w:rPr>
          <w:rFonts w:hint="eastAsia" w:ascii="仿宋" w:hAnsi="仿宋" w:eastAsia="仿宋" w:cs="仿宋"/>
          <w:bCs/>
          <w:sz w:val="28"/>
          <w:szCs w:val="28"/>
        </w:rPr>
        <w:t>11.2应急队伍保障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_Toc4947 \h </w:instrText>
      </w:r>
      <w:r>
        <w:rPr>
          <w:rFonts w:hint="eastAsia" w:ascii="仿宋" w:hAnsi="仿宋" w:eastAsia="仿宋" w:cs="仿宋"/>
          <w:sz w:val="28"/>
          <w:szCs w:val="28"/>
        </w:rPr>
        <w:fldChar w:fldCharType="separate"/>
      </w:r>
      <w:r>
        <w:rPr>
          <w:rFonts w:hint="eastAsia" w:ascii="仿宋" w:hAnsi="仿宋" w:eastAsia="仿宋" w:cs="仿宋"/>
          <w:sz w:val="28"/>
          <w:szCs w:val="28"/>
        </w:rPr>
        <w:t>35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3"/>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_Toc27950 </w:instrText>
      </w:r>
      <w:r>
        <w:rPr>
          <w:rFonts w:hint="eastAsia" w:ascii="仿宋" w:hAnsi="仿宋" w:eastAsia="仿宋" w:cs="仿宋"/>
          <w:sz w:val="28"/>
          <w:szCs w:val="28"/>
        </w:rPr>
        <w:fldChar w:fldCharType="separate"/>
      </w:r>
      <w:r>
        <w:rPr>
          <w:rFonts w:hint="eastAsia" w:ascii="仿宋" w:hAnsi="仿宋" w:eastAsia="仿宋" w:cs="仿宋"/>
          <w:bCs/>
          <w:sz w:val="28"/>
          <w:szCs w:val="28"/>
        </w:rPr>
        <w:t>11.3应急物资装备保障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_Toc27950 \h </w:instrText>
      </w:r>
      <w:r>
        <w:rPr>
          <w:rFonts w:hint="eastAsia" w:ascii="仿宋" w:hAnsi="仿宋" w:eastAsia="仿宋" w:cs="仿宋"/>
          <w:sz w:val="28"/>
          <w:szCs w:val="28"/>
        </w:rPr>
        <w:fldChar w:fldCharType="separate"/>
      </w:r>
      <w:r>
        <w:rPr>
          <w:rFonts w:hint="eastAsia" w:ascii="仿宋" w:hAnsi="仿宋" w:eastAsia="仿宋" w:cs="仿宋"/>
          <w:sz w:val="28"/>
          <w:szCs w:val="28"/>
        </w:rPr>
        <w:t>35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3"/>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_Toc30517 </w:instrText>
      </w:r>
      <w:r>
        <w:rPr>
          <w:rFonts w:hint="eastAsia" w:ascii="仿宋" w:hAnsi="仿宋" w:eastAsia="仿宋" w:cs="仿宋"/>
          <w:sz w:val="28"/>
          <w:szCs w:val="28"/>
        </w:rPr>
        <w:fldChar w:fldCharType="separate"/>
      </w:r>
      <w:r>
        <w:rPr>
          <w:rFonts w:hint="eastAsia" w:ascii="仿宋" w:hAnsi="仿宋" w:eastAsia="仿宋" w:cs="仿宋"/>
          <w:bCs/>
          <w:sz w:val="28"/>
          <w:szCs w:val="28"/>
        </w:rPr>
        <w:t>11.4经费保障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_Toc30517 \h </w:instrText>
      </w:r>
      <w:r>
        <w:rPr>
          <w:rFonts w:hint="eastAsia" w:ascii="仿宋" w:hAnsi="仿宋" w:eastAsia="仿宋" w:cs="仿宋"/>
          <w:sz w:val="28"/>
          <w:szCs w:val="28"/>
        </w:rPr>
        <w:fldChar w:fldCharType="separate"/>
      </w:r>
      <w:r>
        <w:rPr>
          <w:rFonts w:hint="eastAsia" w:ascii="仿宋" w:hAnsi="仿宋" w:eastAsia="仿宋" w:cs="仿宋"/>
          <w:sz w:val="28"/>
          <w:szCs w:val="28"/>
        </w:rPr>
        <w:t>35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3"/>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_Toc26571 </w:instrText>
      </w:r>
      <w:r>
        <w:rPr>
          <w:rFonts w:hint="eastAsia" w:ascii="仿宋" w:hAnsi="仿宋" w:eastAsia="仿宋" w:cs="仿宋"/>
          <w:sz w:val="28"/>
          <w:szCs w:val="28"/>
        </w:rPr>
        <w:fldChar w:fldCharType="separate"/>
      </w:r>
      <w:r>
        <w:rPr>
          <w:rFonts w:hint="eastAsia" w:ascii="仿宋" w:hAnsi="仿宋" w:eastAsia="仿宋" w:cs="仿宋"/>
          <w:bCs/>
          <w:sz w:val="28"/>
          <w:szCs w:val="28"/>
        </w:rPr>
        <w:t>11.5其他保障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_Toc26571 \h </w:instrText>
      </w:r>
      <w:r>
        <w:rPr>
          <w:rFonts w:hint="eastAsia" w:ascii="仿宋" w:hAnsi="仿宋" w:eastAsia="仿宋" w:cs="仿宋"/>
          <w:sz w:val="28"/>
          <w:szCs w:val="28"/>
        </w:rPr>
        <w:fldChar w:fldCharType="separate"/>
      </w:r>
      <w:r>
        <w:rPr>
          <w:rFonts w:hint="eastAsia" w:ascii="仿宋" w:hAnsi="仿宋" w:eastAsia="仿宋" w:cs="仿宋"/>
          <w:sz w:val="28"/>
          <w:szCs w:val="28"/>
        </w:rPr>
        <w:t>35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49"/>
        <w:tabs>
          <w:tab w:val="right" w:leader="dot" w:pos="8640"/>
        </w:tabs>
        <w:spacing w:line="360" w:lineRule="auto"/>
        <w:rPr>
          <w:rFonts w:hint="eastAsia" w:ascii="仿宋" w:hAnsi="仿宋" w:eastAsia="仿宋" w:cs="仿宋"/>
          <w:b/>
          <w:sz w:val="28"/>
          <w:szCs w:val="28"/>
        </w:rPr>
      </w:pP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HYPERLINK \l _Toc10678 </w:instrText>
      </w:r>
      <w:r>
        <w:rPr>
          <w:rFonts w:hint="eastAsia" w:ascii="仿宋" w:hAnsi="仿宋" w:eastAsia="仿宋" w:cs="仿宋"/>
          <w:b/>
          <w:sz w:val="28"/>
          <w:szCs w:val="28"/>
        </w:rPr>
        <w:fldChar w:fldCharType="separate"/>
      </w:r>
      <w:r>
        <w:rPr>
          <w:rFonts w:hint="eastAsia" w:ascii="仿宋" w:hAnsi="仿宋" w:eastAsia="仿宋" w:cs="仿宋"/>
          <w:b/>
          <w:bCs/>
          <w:sz w:val="28"/>
          <w:szCs w:val="28"/>
        </w:rPr>
        <w:t>12.培训与演练</w:t>
      </w:r>
      <w:r>
        <w:rPr>
          <w:rFonts w:hint="eastAsia" w:ascii="仿宋" w:hAnsi="仿宋" w:eastAsia="仿宋" w:cs="仿宋"/>
          <w:b/>
          <w:sz w:val="28"/>
          <w:szCs w:val="28"/>
        </w:rPr>
        <w:tab/>
      </w: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PAGEREF _Toc10678 \h </w:instrText>
      </w:r>
      <w:r>
        <w:rPr>
          <w:rFonts w:hint="eastAsia" w:ascii="仿宋" w:hAnsi="仿宋" w:eastAsia="仿宋" w:cs="仿宋"/>
          <w:b/>
          <w:sz w:val="28"/>
          <w:szCs w:val="28"/>
        </w:rPr>
        <w:fldChar w:fldCharType="separate"/>
      </w:r>
      <w:r>
        <w:rPr>
          <w:rFonts w:hint="eastAsia" w:ascii="仿宋" w:hAnsi="仿宋" w:eastAsia="仿宋" w:cs="仿宋"/>
          <w:b/>
          <w:sz w:val="28"/>
          <w:szCs w:val="28"/>
        </w:rPr>
        <w:t>36</w:t>
      </w:r>
      <w:r>
        <w:rPr>
          <w:rFonts w:hint="eastAsia" w:ascii="仿宋" w:hAnsi="仿宋" w:eastAsia="仿宋" w:cs="仿宋"/>
          <w:b/>
          <w:sz w:val="28"/>
          <w:szCs w:val="28"/>
        </w:rPr>
        <w:fldChar w:fldCharType="end"/>
      </w:r>
      <w:r>
        <w:rPr>
          <w:rFonts w:hint="eastAsia" w:ascii="仿宋" w:hAnsi="仿宋" w:eastAsia="仿宋" w:cs="仿宋"/>
          <w:b/>
          <w:sz w:val="28"/>
          <w:szCs w:val="28"/>
        </w:rPr>
        <w:fldChar w:fldCharType="end"/>
      </w:r>
    </w:p>
    <w:p>
      <w:pPr>
        <w:pStyle w:val="163"/>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_Toc10723 </w:instrText>
      </w:r>
      <w:r>
        <w:rPr>
          <w:rFonts w:hint="eastAsia" w:ascii="仿宋" w:hAnsi="仿宋" w:eastAsia="仿宋" w:cs="仿宋"/>
          <w:sz w:val="28"/>
          <w:szCs w:val="28"/>
        </w:rPr>
        <w:fldChar w:fldCharType="separate"/>
      </w:r>
      <w:r>
        <w:rPr>
          <w:rFonts w:hint="eastAsia" w:ascii="仿宋" w:hAnsi="仿宋" w:eastAsia="仿宋" w:cs="仿宋"/>
          <w:bCs/>
          <w:sz w:val="28"/>
          <w:szCs w:val="28"/>
        </w:rPr>
        <w:t>12.1培训</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_Toc10723 \h </w:instrText>
      </w:r>
      <w:r>
        <w:rPr>
          <w:rFonts w:hint="eastAsia" w:ascii="仿宋" w:hAnsi="仿宋" w:eastAsia="仿宋" w:cs="仿宋"/>
          <w:sz w:val="28"/>
          <w:szCs w:val="28"/>
        </w:rPr>
        <w:fldChar w:fldCharType="separate"/>
      </w:r>
      <w:r>
        <w:rPr>
          <w:rFonts w:hint="eastAsia" w:ascii="仿宋" w:hAnsi="仿宋" w:eastAsia="仿宋" w:cs="仿宋"/>
          <w:sz w:val="28"/>
          <w:szCs w:val="28"/>
        </w:rPr>
        <w:t>36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3"/>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_Toc5314 </w:instrText>
      </w:r>
      <w:r>
        <w:rPr>
          <w:rFonts w:hint="eastAsia" w:ascii="仿宋" w:hAnsi="仿宋" w:eastAsia="仿宋" w:cs="仿宋"/>
          <w:sz w:val="28"/>
          <w:szCs w:val="28"/>
        </w:rPr>
        <w:fldChar w:fldCharType="separate"/>
      </w:r>
      <w:r>
        <w:rPr>
          <w:rFonts w:hint="eastAsia" w:ascii="仿宋" w:hAnsi="仿宋" w:eastAsia="仿宋" w:cs="仿宋"/>
          <w:bCs/>
          <w:sz w:val="28"/>
          <w:szCs w:val="28"/>
        </w:rPr>
        <w:t>12.2演练</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_Toc5314 \h </w:instrText>
      </w:r>
      <w:r>
        <w:rPr>
          <w:rFonts w:hint="eastAsia" w:ascii="仿宋" w:hAnsi="仿宋" w:eastAsia="仿宋" w:cs="仿宋"/>
          <w:sz w:val="28"/>
          <w:szCs w:val="28"/>
        </w:rPr>
        <w:fldChar w:fldCharType="separate"/>
      </w:r>
      <w:r>
        <w:rPr>
          <w:rFonts w:hint="eastAsia" w:ascii="仿宋" w:hAnsi="仿宋" w:eastAsia="仿宋" w:cs="仿宋"/>
          <w:sz w:val="28"/>
          <w:szCs w:val="28"/>
        </w:rPr>
        <w:t>36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49"/>
        <w:tabs>
          <w:tab w:val="right" w:leader="dot" w:pos="8640"/>
        </w:tabs>
        <w:spacing w:line="360" w:lineRule="auto"/>
        <w:rPr>
          <w:rFonts w:hint="eastAsia" w:ascii="仿宋" w:hAnsi="仿宋" w:eastAsia="仿宋" w:cs="仿宋"/>
          <w:b/>
          <w:sz w:val="28"/>
          <w:szCs w:val="28"/>
        </w:rPr>
      </w:pP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HYPERLINK \l _Toc6752 </w:instrText>
      </w:r>
      <w:r>
        <w:rPr>
          <w:rFonts w:hint="eastAsia" w:ascii="仿宋" w:hAnsi="仿宋" w:eastAsia="仿宋" w:cs="仿宋"/>
          <w:b/>
          <w:sz w:val="28"/>
          <w:szCs w:val="28"/>
        </w:rPr>
        <w:fldChar w:fldCharType="separate"/>
      </w:r>
      <w:r>
        <w:rPr>
          <w:rFonts w:hint="eastAsia" w:ascii="仿宋" w:hAnsi="仿宋" w:eastAsia="仿宋" w:cs="仿宋"/>
          <w:b/>
          <w:bCs/>
          <w:sz w:val="28"/>
          <w:szCs w:val="28"/>
        </w:rPr>
        <w:t>13.奖惩</w:t>
      </w:r>
      <w:r>
        <w:rPr>
          <w:rFonts w:hint="eastAsia" w:ascii="仿宋" w:hAnsi="仿宋" w:eastAsia="仿宋" w:cs="仿宋"/>
          <w:b/>
          <w:sz w:val="28"/>
          <w:szCs w:val="28"/>
        </w:rPr>
        <w:tab/>
      </w: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PAGEREF _Toc6752 \h </w:instrText>
      </w:r>
      <w:r>
        <w:rPr>
          <w:rFonts w:hint="eastAsia" w:ascii="仿宋" w:hAnsi="仿宋" w:eastAsia="仿宋" w:cs="仿宋"/>
          <w:b/>
          <w:sz w:val="28"/>
          <w:szCs w:val="28"/>
        </w:rPr>
        <w:fldChar w:fldCharType="separate"/>
      </w:r>
      <w:r>
        <w:rPr>
          <w:rFonts w:hint="eastAsia" w:ascii="仿宋" w:hAnsi="仿宋" w:eastAsia="仿宋" w:cs="仿宋"/>
          <w:b/>
          <w:sz w:val="28"/>
          <w:szCs w:val="28"/>
        </w:rPr>
        <w:t>38</w:t>
      </w:r>
      <w:r>
        <w:rPr>
          <w:rFonts w:hint="eastAsia" w:ascii="仿宋" w:hAnsi="仿宋" w:eastAsia="仿宋" w:cs="仿宋"/>
          <w:b/>
          <w:sz w:val="28"/>
          <w:szCs w:val="28"/>
        </w:rPr>
        <w:fldChar w:fldCharType="end"/>
      </w:r>
      <w:r>
        <w:rPr>
          <w:rFonts w:hint="eastAsia" w:ascii="仿宋" w:hAnsi="仿宋" w:eastAsia="仿宋" w:cs="仿宋"/>
          <w:b/>
          <w:sz w:val="28"/>
          <w:szCs w:val="28"/>
        </w:rPr>
        <w:fldChar w:fldCharType="end"/>
      </w:r>
    </w:p>
    <w:p>
      <w:pPr>
        <w:pStyle w:val="49"/>
        <w:tabs>
          <w:tab w:val="right" w:leader="dot" w:pos="8640"/>
        </w:tabs>
        <w:spacing w:line="360" w:lineRule="auto"/>
        <w:rPr>
          <w:rFonts w:hint="eastAsia" w:ascii="仿宋" w:hAnsi="仿宋" w:eastAsia="仿宋" w:cs="仿宋"/>
          <w:b/>
          <w:sz w:val="28"/>
          <w:szCs w:val="28"/>
        </w:rPr>
      </w:pP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HYPERLINK \l _Toc23943 </w:instrText>
      </w:r>
      <w:r>
        <w:rPr>
          <w:rFonts w:hint="eastAsia" w:ascii="仿宋" w:hAnsi="仿宋" w:eastAsia="仿宋" w:cs="仿宋"/>
          <w:b/>
          <w:sz w:val="28"/>
          <w:szCs w:val="28"/>
        </w:rPr>
        <w:fldChar w:fldCharType="separate"/>
      </w:r>
      <w:r>
        <w:rPr>
          <w:rFonts w:hint="eastAsia" w:ascii="仿宋" w:hAnsi="仿宋" w:eastAsia="仿宋" w:cs="仿宋"/>
          <w:b/>
          <w:bCs/>
          <w:sz w:val="28"/>
          <w:szCs w:val="28"/>
        </w:rPr>
        <w:t>14.预案的评审、发布和更新</w:t>
      </w:r>
      <w:r>
        <w:rPr>
          <w:rFonts w:hint="eastAsia" w:ascii="仿宋" w:hAnsi="仿宋" w:eastAsia="仿宋" w:cs="仿宋"/>
          <w:b/>
          <w:sz w:val="28"/>
          <w:szCs w:val="28"/>
        </w:rPr>
        <w:tab/>
      </w: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PAGEREF _Toc23943 \h </w:instrText>
      </w:r>
      <w:r>
        <w:rPr>
          <w:rFonts w:hint="eastAsia" w:ascii="仿宋" w:hAnsi="仿宋" w:eastAsia="仿宋" w:cs="仿宋"/>
          <w:b/>
          <w:sz w:val="28"/>
          <w:szCs w:val="28"/>
        </w:rPr>
        <w:fldChar w:fldCharType="separate"/>
      </w:r>
      <w:r>
        <w:rPr>
          <w:rFonts w:hint="eastAsia" w:ascii="仿宋" w:hAnsi="仿宋" w:eastAsia="仿宋" w:cs="仿宋"/>
          <w:b/>
          <w:sz w:val="28"/>
          <w:szCs w:val="28"/>
        </w:rPr>
        <w:t>39</w:t>
      </w:r>
      <w:r>
        <w:rPr>
          <w:rFonts w:hint="eastAsia" w:ascii="仿宋" w:hAnsi="仿宋" w:eastAsia="仿宋" w:cs="仿宋"/>
          <w:b/>
          <w:sz w:val="28"/>
          <w:szCs w:val="28"/>
        </w:rPr>
        <w:fldChar w:fldCharType="end"/>
      </w:r>
      <w:r>
        <w:rPr>
          <w:rFonts w:hint="eastAsia" w:ascii="仿宋" w:hAnsi="仿宋" w:eastAsia="仿宋" w:cs="仿宋"/>
          <w:b/>
          <w:sz w:val="28"/>
          <w:szCs w:val="28"/>
        </w:rPr>
        <w:fldChar w:fldCharType="end"/>
      </w:r>
    </w:p>
    <w:p>
      <w:pPr>
        <w:pStyle w:val="163"/>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_Toc25594 </w:instrText>
      </w:r>
      <w:r>
        <w:rPr>
          <w:rFonts w:hint="eastAsia" w:ascii="仿宋" w:hAnsi="仿宋" w:eastAsia="仿宋" w:cs="仿宋"/>
          <w:sz w:val="28"/>
          <w:szCs w:val="28"/>
        </w:rPr>
        <w:fldChar w:fldCharType="separate"/>
      </w:r>
      <w:r>
        <w:rPr>
          <w:rFonts w:hint="eastAsia" w:ascii="仿宋" w:hAnsi="仿宋" w:eastAsia="仿宋" w:cs="仿宋"/>
          <w:bCs/>
          <w:sz w:val="28"/>
          <w:szCs w:val="28"/>
        </w:rPr>
        <w:t>14.1预案评审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_Toc25594 \h </w:instrText>
      </w:r>
      <w:r>
        <w:rPr>
          <w:rFonts w:hint="eastAsia" w:ascii="仿宋" w:hAnsi="仿宋" w:eastAsia="仿宋" w:cs="仿宋"/>
          <w:sz w:val="28"/>
          <w:szCs w:val="28"/>
        </w:rPr>
        <w:fldChar w:fldCharType="separate"/>
      </w:r>
      <w:r>
        <w:rPr>
          <w:rFonts w:hint="eastAsia" w:ascii="仿宋" w:hAnsi="仿宋" w:eastAsia="仿宋" w:cs="仿宋"/>
          <w:sz w:val="28"/>
          <w:szCs w:val="28"/>
        </w:rPr>
        <w:t>39</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3"/>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_Toc15638 </w:instrText>
      </w:r>
      <w:r>
        <w:rPr>
          <w:rFonts w:hint="eastAsia" w:ascii="仿宋" w:hAnsi="仿宋" w:eastAsia="仿宋" w:cs="仿宋"/>
          <w:sz w:val="28"/>
          <w:szCs w:val="28"/>
        </w:rPr>
        <w:fldChar w:fldCharType="separate"/>
      </w:r>
      <w:r>
        <w:rPr>
          <w:rFonts w:hint="eastAsia" w:ascii="仿宋" w:hAnsi="仿宋" w:eastAsia="仿宋" w:cs="仿宋"/>
          <w:bCs/>
          <w:sz w:val="28"/>
          <w:szCs w:val="28"/>
        </w:rPr>
        <w:t>14.2预案更新</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_Toc15638 \h </w:instrText>
      </w:r>
      <w:r>
        <w:rPr>
          <w:rFonts w:hint="eastAsia" w:ascii="仿宋" w:hAnsi="仿宋" w:eastAsia="仿宋" w:cs="仿宋"/>
          <w:sz w:val="28"/>
          <w:szCs w:val="28"/>
        </w:rPr>
        <w:fldChar w:fldCharType="separate"/>
      </w:r>
      <w:r>
        <w:rPr>
          <w:rFonts w:hint="eastAsia" w:ascii="仿宋" w:hAnsi="仿宋" w:eastAsia="仿宋" w:cs="仿宋"/>
          <w:sz w:val="28"/>
          <w:szCs w:val="28"/>
        </w:rPr>
        <w:t>39</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3"/>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_Toc6104 </w:instrText>
      </w:r>
      <w:r>
        <w:rPr>
          <w:rFonts w:hint="eastAsia" w:ascii="仿宋" w:hAnsi="仿宋" w:eastAsia="仿宋" w:cs="仿宋"/>
          <w:sz w:val="28"/>
          <w:szCs w:val="28"/>
        </w:rPr>
        <w:fldChar w:fldCharType="separate"/>
      </w:r>
      <w:r>
        <w:rPr>
          <w:rFonts w:hint="eastAsia" w:ascii="仿宋" w:hAnsi="仿宋" w:eastAsia="仿宋" w:cs="仿宋"/>
          <w:bCs/>
          <w:sz w:val="28"/>
          <w:szCs w:val="28"/>
        </w:rPr>
        <w:t>14.3预案发布</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_Toc6104 \h </w:instrText>
      </w:r>
      <w:r>
        <w:rPr>
          <w:rFonts w:hint="eastAsia" w:ascii="仿宋" w:hAnsi="仿宋" w:eastAsia="仿宋" w:cs="仿宋"/>
          <w:sz w:val="28"/>
          <w:szCs w:val="28"/>
        </w:rPr>
        <w:fldChar w:fldCharType="separate"/>
      </w:r>
      <w:r>
        <w:rPr>
          <w:rFonts w:hint="eastAsia" w:ascii="仿宋" w:hAnsi="仿宋" w:eastAsia="仿宋" w:cs="仿宋"/>
          <w:sz w:val="28"/>
          <w:szCs w:val="28"/>
        </w:rPr>
        <w:t>40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49"/>
        <w:tabs>
          <w:tab w:val="right" w:leader="dot" w:pos="8640"/>
        </w:tabs>
        <w:spacing w:line="360" w:lineRule="auto"/>
        <w:rPr>
          <w:rFonts w:hint="eastAsia" w:ascii="仿宋" w:hAnsi="仿宋" w:eastAsia="仿宋" w:cs="仿宋"/>
          <w:b/>
          <w:sz w:val="28"/>
          <w:szCs w:val="28"/>
        </w:rPr>
      </w:pP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HYPERLINK \l _Toc4871 </w:instrText>
      </w:r>
      <w:r>
        <w:rPr>
          <w:rFonts w:hint="eastAsia" w:ascii="仿宋" w:hAnsi="仿宋" w:eastAsia="仿宋" w:cs="仿宋"/>
          <w:b/>
          <w:sz w:val="28"/>
          <w:szCs w:val="28"/>
        </w:rPr>
        <w:fldChar w:fldCharType="separate"/>
      </w:r>
      <w:r>
        <w:rPr>
          <w:rFonts w:hint="eastAsia" w:ascii="仿宋" w:hAnsi="仿宋" w:eastAsia="仿宋" w:cs="仿宋"/>
          <w:b/>
          <w:bCs/>
          <w:sz w:val="28"/>
          <w:szCs w:val="28"/>
        </w:rPr>
        <w:t>15.附图、附件</w:t>
      </w:r>
      <w:r>
        <w:rPr>
          <w:rFonts w:hint="eastAsia" w:ascii="仿宋" w:hAnsi="仿宋" w:eastAsia="仿宋" w:cs="仿宋"/>
          <w:b/>
          <w:sz w:val="28"/>
          <w:szCs w:val="28"/>
        </w:rPr>
        <w:tab/>
      </w: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PAGEREF _Toc4871 \h </w:instrText>
      </w:r>
      <w:r>
        <w:rPr>
          <w:rFonts w:hint="eastAsia" w:ascii="仿宋" w:hAnsi="仿宋" w:eastAsia="仿宋" w:cs="仿宋"/>
          <w:b/>
          <w:sz w:val="28"/>
          <w:szCs w:val="28"/>
        </w:rPr>
        <w:fldChar w:fldCharType="separate"/>
      </w:r>
      <w:r>
        <w:rPr>
          <w:rFonts w:hint="eastAsia" w:ascii="仿宋" w:hAnsi="仿宋" w:eastAsia="仿宋" w:cs="仿宋"/>
          <w:b/>
          <w:sz w:val="28"/>
          <w:szCs w:val="28"/>
        </w:rPr>
        <w:t>41</w:t>
      </w:r>
      <w:r>
        <w:rPr>
          <w:rFonts w:hint="eastAsia" w:ascii="仿宋" w:hAnsi="仿宋" w:eastAsia="仿宋" w:cs="仿宋"/>
          <w:b/>
          <w:sz w:val="28"/>
          <w:szCs w:val="28"/>
        </w:rPr>
        <w:fldChar w:fldCharType="end"/>
      </w:r>
      <w:r>
        <w:rPr>
          <w:rFonts w:hint="eastAsia" w:ascii="仿宋" w:hAnsi="仿宋" w:eastAsia="仿宋" w:cs="仿宋"/>
          <w:b/>
          <w:sz w:val="28"/>
          <w:szCs w:val="28"/>
        </w:rPr>
        <w:fldChar w:fldCharType="end"/>
      </w:r>
    </w:p>
    <w:p>
      <w:pPr>
        <w:pStyle w:val="49"/>
        <w:tabs>
          <w:tab w:val="right" w:leader="dot" w:pos="8640"/>
        </w:tabs>
        <w:spacing w:line="360" w:lineRule="auto"/>
        <w:rPr>
          <w:rFonts w:hint="eastAsia" w:ascii="仿宋" w:hAnsi="仿宋" w:eastAsia="仿宋" w:cs="仿宋"/>
          <w:b/>
          <w:sz w:val="28"/>
          <w:szCs w:val="28"/>
        </w:rPr>
      </w:pPr>
    </w:p>
    <w:p>
      <w:pPr>
        <w:spacing w:line="360" w:lineRule="auto"/>
        <w:jc w:val="center"/>
        <w:rPr>
          <w:rFonts w:ascii="Times New Roman" w:hAnsi="Times New Roman"/>
          <w:szCs w:val="28"/>
        </w:rPr>
        <w:sectPr>
          <w:headerReference r:id="rId5" w:type="default"/>
          <w:footerReference r:id="rId6" w:type="default"/>
          <w:pgSz w:w="12240" w:h="15840"/>
          <w:pgMar w:top="1440" w:right="1800" w:bottom="1440" w:left="1800" w:header="720" w:footer="720" w:gutter="0"/>
          <w:pgNumType w:fmt="upperRoman" w:start="1"/>
          <w:cols w:space="720" w:num="1"/>
        </w:sectPr>
      </w:pPr>
      <w:r>
        <w:rPr>
          <w:rFonts w:hint="eastAsia" w:ascii="仿宋" w:hAnsi="仿宋" w:eastAsia="仿宋" w:cs="仿宋"/>
          <w:b/>
          <w:sz w:val="28"/>
          <w:szCs w:val="28"/>
        </w:rPr>
        <w:fldChar w:fldCharType="end"/>
      </w:r>
    </w:p>
    <w:p>
      <w:pPr>
        <w:jc w:val="center"/>
        <w:rPr>
          <w:rFonts w:ascii="Times New Roman" w:hAnsi="Times New Roman"/>
          <w:szCs w:val="28"/>
        </w:rPr>
        <w:sectPr>
          <w:footerReference r:id="rId7" w:type="default"/>
          <w:pgSz w:w="12240" w:h="15840"/>
          <w:pgMar w:top="1440" w:right="1800" w:bottom="1440" w:left="1800" w:header="720" w:footer="720" w:gutter="0"/>
          <w:pgNumType w:start="1"/>
          <w:cols w:space="720" w:num="1"/>
        </w:sectPr>
      </w:pPr>
    </w:p>
    <w:p>
      <w:pPr>
        <w:jc w:val="center"/>
        <w:rPr>
          <w:rFonts w:hint="eastAsia" w:ascii="Times New Roman" w:hAnsi="Times New Roman" w:eastAsia="仿宋"/>
          <w:szCs w:val="28"/>
          <w:lang w:val="en-US" w:eastAsia="zh-CN"/>
        </w:rPr>
      </w:pPr>
      <w:bookmarkStart w:id="1" w:name="_Toc23759"/>
    </w:p>
    <w:p>
      <w:pPr>
        <w:jc w:val="center"/>
        <w:rPr>
          <w:rFonts w:ascii="Times New Roman" w:hAnsi="Times New Roman"/>
          <w:szCs w:val="28"/>
        </w:rPr>
      </w:pPr>
      <w:r>
        <w:rPr>
          <w:rFonts w:ascii="Times New Roman" w:hAnsi="Times New Roman"/>
          <w:szCs w:val="28"/>
        </w:rPr>
        <w:t>发 布 令</w:t>
      </w:r>
      <w:bookmarkEnd w:id="0"/>
      <w:bookmarkEnd w:id="1"/>
    </w:p>
    <w:p>
      <w:pPr>
        <w:rPr>
          <w:rFonts w:ascii="Times New Roman" w:hAnsi="Times New Roman"/>
          <w:szCs w:val="28"/>
        </w:rPr>
      </w:pPr>
    </w:p>
    <w:p>
      <w:pPr>
        <w:rPr>
          <w:rFonts w:ascii="Times New Roman" w:hAnsi="Times New Roman"/>
          <w:szCs w:val="28"/>
        </w:rPr>
      </w:pPr>
      <w:r>
        <w:rPr>
          <w:rFonts w:ascii="Times New Roman" w:hAnsi="Times New Roman"/>
          <w:szCs w:val="28"/>
        </w:rPr>
        <w:t>公司全体同仁：</w:t>
      </w:r>
    </w:p>
    <w:p>
      <w:pPr>
        <w:ind w:firstLine="560" w:firstLineChars="200"/>
        <w:rPr>
          <w:rFonts w:ascii="Times New Roman" w:hAnsi="Times New Roman"/>
          <w:szCs w:val="28"/>
        </w:rPr>
      </w:pPr>
      <w:r>
        <w:rPr>
          <w:rFonts w:ascii="Times New Roman" w:hAnsi="Times New Roman"/>
          <w:szCs w:val="28"/>
        </w:rPr>
        <w:t>为贯彻救人第一、环境优先的方针，提高公司应对突发环境事件的处置能力，提升公司应急管理水平，保证员工生命财产安全，保护生态环境和资源，依据《中华人民共和国环境保护法》、《中华人民共和国突发事件应对法》、《国家突发环境事件应急预案》、</w:t>
      </w:r>
      <w:r>
        <w:rPr>
          <w:rFonts w:hint="eastAsia" w:ascii="Times New Roman" w:hAnsi="Times New Roman"/>
          <w:szCs w:val="28"/>
        </w:rPr>
        <w:t>《企业事业单位突发环境事件应急预案备案管理办法》</w:t>
      </w:r>
      <w:r>
        <w:rPr>
          <w:rFonts w:ascii="Times New Roman" w:hAnsi="Times New Roman"/>
          <w:szCs w:val="28"/>
        </w:rPr>
        <w:t>等法律、法规及相关文件，</w:t>
      </w:r>
      <w:r>
        <w:rPr>
          <w:rFonts w:ascii="Times New Roman" w:hAnsi="Times New Roman"/>
          <w:kern w:val="0"/>
          <w:szCs w:val="28"/>
        </w:rPr>
        <w:t>本公司</w:t>
      </w:r>
      <w:r>
        <w:rPr>
          <w:rFonts w:hint="eastAsia" w:ascii="Times New Roman" w:hAnsi="Times New Roman"/>
          <w:kern w:val="0"/>
          <w:szCs w:val="28"/>
        </w:rPr>
        <w:t>编制</w:t>
      </w:r>
      <w:r>
        <w:rPr>
          <w:rFonts w:ascii="Times New Roman" w:hAnsi="Times New Roman"/>
          <w:kern w:val="0"/>
          <w:szCs w:val="28"/>
        </w:rPr>
        <w:t>完成了</w:t>
      </w:r>
      <w:r>
        <w:rPr>
          <w:rFonts w:ascii="Times New Roman" w:hAnsi="Times New Roman"/>
          <w:szCs w:val="28"/>
        </w:rPr>
        <w:t>《</w:t>
      </w:r>
      <w:r>
        <w:rPr>
          <w:rFonts w:hint="eastAsia" w:ascii="Times New Roman" w:hAnsi="Times New Roman"/>
          <w:szCs w:val="28"/>
          <w:lang w:val="en-US" w:eastAsia="zh-CN"/>
        </w:rPr>
        <w:t>天津豪骏车业有限公司</w:t>
      </w:r>
      <w:r>
        <w:rPr>
          <w:rFonts w:ascii="Times New Roman" w:hAnsi="Times New Roman"/>
          <w:szCs w:val="28"/>
        </w:rPr>
        <w:t>突发环境事件应急预案》。</w:t>
      </w:r>
    </w:p>
    <w:p>
      <w:pPr>
        <w:ind w:firstLine="560" w:firstLineChars="200"/>
        <w:rPr>
          <w:rFonts w:ascii="Times New Roman" w:hAnsi="Times New Roman"/>
          <w:szCs w:val="28"/>
        </w:rPr>
      </w:pPr>
      <w:r>
        <w:rPr>
          <w:rFonts w:ascii="Times New Roman" w:hAnsi="Times New Roman"/>
          <w:szCs w:val="28"/>
        </w:rPr>
        <w:t>突发环境事件应急预案是公司应急管理工作纲领性文件，明确了公司应急机构及职责，建立了应急指挥系统及应急响应程序，是指导应急管理工作的指南，各部门要认真贯彻和学习，确保公司应急管理工作得到有效落实。</w:t>
      </w:r>
    </w:p>
    <w:p>
      <w:pPr>
        <w:rPr>
          <w:rFonts w:ascii="Times New Roman" w:hAnsi="Times New Roman"/>
          <w:szCs w:val="28"/>
        </w:rPr>
      </w:pPr>
      <w:r>
        <w:rPr>
          <w:rFonts w:ascii="Times New Roman" w:hAnsi="Times New Roman"/>
          <w:szCs w:val="28"/>
        </w:rPr>
        <w:t xml:space="preserve">                                        </w:t>
      </w:r>
    </w:p>
    <w:p>
      <w:pPr>
        <w:jc w:val="center"/>
        <w:rPr>
          <w:rFonts w:ascii="Times New Roman" w:hAnsi="Times New Roman"/>
          <w:szCs w:val="28"/>
        </w:rPr>
      </w:pPr>
      <w:r>
        <w:rPr>
          <w:rFonts w:ascii="Times New Roman" w:hAnsi="Times New Roman"/>
          <w:szCs w:val="28"/>
        </w:rPr>
        <w:t xml:space="preserve">                          </w:t>
      </w:r>
    </w:p>
    <w:p>
      <w:pPr>
        <w:jc w:val="center"/>
        <w:rPr>
          <w:rFonts w:ascii="Times New Roman" w:hAnsi="Times New Roman"/>
          <w:szCs w:val="28"/>
        </w:rPr>
      </w:pPr>
      <w:r>
        <w:rPr>
          <w:rFonts w:ascii="Times New Roman" w:hAnsi="Times New Roman"/>
          <w:szCs w:val="28"/>
        </w:rPr>
        <w:t xml:space="preserve">                       </w:t>
      </w:r>
      <w:bookmarkStart w:id="2" w:name="_Toc17563_WPSOffice_Level1"/>
      <w:bookmarkStart w:id="3" w:name="_Toc11637_WPSOffice_Level1"/>
      <w:bookmarkStart w:id="4" w:name="_Toc31969"/>
      <w:bookmarkStart w:id="5" w:name="_Toc29075_WPSOffice_Level1"/>
      <w:bookmarkStart w:id="6" w:name="_Toc22431_WPSOffice_Level1"/>
      <w:bookmarkStart w:id="7" w:name="_Toc25004_WPSOffice_Level1"/>
      <w:bookmarkStart w:id="8" w:name="_Toc21860_WPSOffice_Level1"/>
      <w:bookmarkStart w:id="9" w:name="_Toc11630_WPSOffice_Level1"/>
      <w:bookmarkStart w:id="10" w:name="_Toc8216_WPSOffice_Level1"/>
      <w:bookmarkStart w:id="11" w:name="_Toc7398_WPSOffice_Level1"/>
      <w:bookmarkStart w:id="12" w:name="_Toc12269"/>
      <w:r>
        <w:rPr>
          <w:rFonts w:hint="eastAsia" w:ascii="Times New Roman" w:hAnsi="Times New Roman"/>
          <w:szCs w:val="28"/>
        </w:rPr>
        <w:t xml:space="preserve">     </w:t>
      </w:r>
      <w:r>
        <w:rPr>
          <w:rFonts w:ascii="Times New Roman" w:hAnsi="Times New Roman"/>
          <w:szCs w:val="28"/>
        </w:rPr>
        <w:t>总经理：</w:t>
      </w:r>
      <w:bookmarkEnd w:id="2"/>
      <w:bookmarkEnd w:id="3"/>
      <w:bookmarkEnd w:id="4"/>
      <w:bookmarkEnd w:id="5"/>
      <w:bookmarkEnd w:id="6"/>
      <w:bookmarkEnd w:id="7"/>
      <w:bookmarkEnd w:id="8"/>
      <w:bookmarkEnd w:id="9"/>
      <w:bookmarkEnd w:id="10"/>
      <w:bookmarkEnd w:id="11"/>
      <w:bookmarkEnd w:id="12"/>
    </w:p>
    <w:p>
      <w:pPr>
        <w:rPr>
          <w:rFonts w:ascii="Times New Roman" w:hAnsi="Times New Roman"/>
          <w:szCs w:val="28"/>
        </w:rPr>
      </w:pPr>
      <w:r>
        <w:rPr>
          <w:rFonts w:ascii="Times New Roman" w:hAnsi="Times New Roman"/>
          <w:szCs w:val="28"/>
        </w:rPr>
        <w:t xml:space="preserve">                                            </w:t>
      </w:r>
    </w:p>
    <w:p>
      <w:pPr>
        <w:ind w:firstLine="6440" w:firstLineChars="2300"/>
        <w:rPr>
          <w:rFonts w:ascii="Times New Roman" w:hAnsi="Times New Roman"/>
          <w:szCs w:val="28"/>
        </w:rPr>
        <w:sectPr>
          <w:footerReference r:id="rId8" w:type="default"/>
          <w:pgSz w:w="12240" w:h="15840"/>
          <w:pgMar w:top="1440" w:right="1800" w:bottom="1440" w:left="1800" w:header="720" w:footer="720" w:gutter="0"/>
          <w:pgNumType w:start="1"/>
          <w:cols w:space="720" w:num="1"/>
        </w:sectPr>
      </w:pPr>
      <w:r>
        <w:rPr>
          <w:rFonts w:ascii="Times New Roman" w:hAnsi="Times New Roman"/>
          <w:szCs w:val="28"/>
        </w:rPr>
        <w:t>年   月   日</w:t>
      </w:r>
    </w:p>
    <w:p>
      <w:pPr>
        <w:ind w:firstLine="6440" w:firstLineChars="2300"/>
        <w:rPr>
          <w:rFonts w:ascii="Times New Roman" w:hAnsi="Times New Roman"/>
          <w:szCs w:val="28"/>
        </w:rPr>
      </w:pPr>
    </w:p>
    <w:p>
      <w:pPr>
        <w:rPr>
          <w:rFonts w:ascii="Times New Roman" w:hAnsi="Times New Roman"/>
          <w:szCs w:val="28"/>
        </w:rPr>
        <w:sectPr>
          <w:footerReference r:id="rId9" w:type="default"/>
          <w:pgSz w:w="12240" w:h="15840"/>
          <w:pgMar w:top="1440" w:right="1800" w:bottom="1440" w:left="1800" w:header="720" w:footer="720" w:gutter="0"/>
          <w:pgNumType w:start="1"/>
          <w:cols w:space="720" w:num="1"/>
        </w:sectPr>
      </w:pPr>
    </w:p>
    <w:p>
      <w:pPr>
        <w:outlineLvl w:val="0"/>
        <w:rPr>
          <w:rFonts w:ascii="Times New Roman" w:hAnsi="Times New Roman"/>
          <w:b/>
          <w:bCs/>
          <w:szCs w:val="28"/>
        </w:rPr>
      </w:pPr>
      <w:bookmarkStart w:id="13" w:name="_Toc27358"/>
      <w:bookmarkStart w:id="14" w:name="_Toc30466"/>
      <w:bookmarkStart w:id="15" w:name="_Toc21025_WPSOffice_Level1"/>
      <w:r>
        <w:rPr>
          <w:rFonts w:ascii="Times New Roman" w:hAnsi="Times New Roman"/>
          <w:b/>
          <w:bCs/>
          <w:szCs w:val="28"/>
        </w:rPr>
        <w:t>1.总则</w:t>
      </w:r>
      <w:bookmarkEnd w:id="13"/>
      <w:bookmarkEnd w:id="14"/>
      <w:bookmarkEnd w:id="15"/>
    </w:p>
    <w:p>
      <w:pPr>
        <w:outlineLvl w:val="1"/>
        <w:rPr>
          <w:rFonts w:ascii="Times New Roman" w:hAnsi="Times New Roman"/>
          <w:szCs w:val="28"/>
        </w:rPr>
      </w:pPr>
      <w:bookmarkStart w:id="16" w:name="_Toc22415_WPSOffice_Level2"/>
      <w:bookmarkStart w:id="17" w:name="_Toc31068"/>
      <w:bookmarkStart w:id="18" w:name="_Toc13364"/>
      <w:r>
        <w:rPr>
          <w:rFonts w:ascii="Times New Roman" w:hAnsi="Times New Roman"/>
          <w:b/>
          <w:bCs/>
          <w:szCs w:val="28"/>
        </w:rPr>
        <w:t>1.1编制目的</w:t>
      </w:r>
      <w:bookmarkEnd w:id="16"/>
      <w:bookmarkEnd w:id="17"/>
      <w:bookmarkEnd w:id="18"/>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bookmarkStart w:id="19" w:name="_Toc9681"/>
      <w:bookmarkStart w:id="20" w:name="_Toc7523_WPSOffice_Level2"/>
      <w:r>
        <w:rPr>
          <w:rFonts w:hint="default" w:ascii="Times New Roman" w:hAnsi="Times New Roman" w:eastAsia="仿宋" w:cs="Times New Roman"/>
          <w:sz w:val="28"/>
          <w:szCs w:val="28"/>
        </w:rPr>
        <w:t>为有效应对突发环境事件，建立健全本公司环境污染事件应急机制，提高企业员工应对突发环境事件的能力，通过本预案的实施，对可能发生的隐患进行有效管理和控制，有效地防止突发性环境事件的发生，并能在发生事故后迅速、准确、有条不紊的开展应急处置，规范事发后的应对工作，提高事件应对能力，避免或减轻事件影响，加强企业与政府应对工作衔接，把损失和危害减少到最低程度。</w:t>
      </w:r>
    </w:p>
    <w:p>
      <w:pPr>
        <w:spacing w:line="360" w:lineRule="auto"/>
        <w:ind w:firstLine="560" w:firstLineChars="200"/>
        <w:rPr>
          <w:rFonts w:hint="eastAsia" w:ascii="仿宋" w:hAnsi="仿宋" w:eastAsia="仿宋" w:cs="仿宋"/>
          <w:sz w:val="28"/>
          <w:szCs w:val="28"/>
          <w:lang w:val="en-US" w:eastAsia="zh-CN"/>
        </w:rPr>
      </w:pPr>
      <w:r>
        <w:rPr>
          <w:rFonts w:hint="default" w:ascii="Times New Roman" w:hAnsi="Times New Roman" w:eastAsia="仿宋" w:cs="Times New Roman"/>
          <w:sz w:val="28"/>
          <w:szCs w:val="28"/>
        </w:rPr>
        <w:t>公司</w:t>
      </w:r>
      <w:r>
        <w:rPr>
          <w:rFonts w:hint="eastAsia" w:ascii="Times New Roman" w:hAnsi="Times New Roman" w:eastAsia="仿宋" w:cs="Times New Roman"/>
          <w:sz w:val="28"/>
          <w:szCs w:val="28"/>
          <w:lang w:val="en-US" w:eastAsia="zh-CN"/>
        </w:rPr>
        <w:t>于</w:t>
      </w:r>
      <w:r>
        <w:rPr>
          <w:rFonts w:hint="eastAsia" w:ascii="Times New Roman" w:hAnsi="Times New Roman" w:cs="Times New Roman"/>
          <w:sz w:val="28"/>
          <w:szCs w:val="28"/>
          <w:highlight w:val="none"/>
          <w:lang w:val="en-US" w:eastAsia="zh-CN"/>
        </w:rPr>
        <w:t>2019</w:t>
      </w:r>
      <w:r>
        <w:rPr>
          <w:rFonts w:hint="eastAsia" w:ascii="Times New Roman" w:hAnsi="Times New Roman" w:eastAsia="仿宋" w:cs="Times New Roman"/>
          <w:sz w:val="28"/>
          <w:szCs w:val="28"/>
          <w:highlight w:val="none"/>
          <w:lang w:val="en-US" w:eastAsia="zh-CN"/>
        </w:rPr>
        <w:t>年</w:t>
      </w:r>
      <w:r>
        <w:rPr>
          <w:rFonts w:hint="default" w:ascii="Times New Roman" w:hAnsi="Times New Roman" w:eastAsia="仿宋" w:cs="Times New Roman"/>
          <w:sz w:val="28"/>
          <w:szCs w:val="28"/>
          <w:highlight w:val="none"/>
        </w:rPr>
        <w:t>针对</w:t>
      </w:r>
      <w:r>
        <w:rPr>
          <w:rFonts w:hint="eastAsia" w:ascii="Times New Roman" w:hAnsi="Times New Roman" w:eastAsia="仿宋" w:cs="Times New Roman"/>
          <w:sz w:val="28"/>
          <w:szCs w:val="28"/>
          <w:highlight w:val="none"/>
          <w:lang w:val="en-US" w:eastAsia="zh-CN"/>
        </w:rPr>
        <w:t>公司实际生产情况</w:t>
      </w:r>
      <w:r>
        <w:rPr>
          <w:rFonts w:hint="default" w:ascii="Times New Roman" w:hAnsi="Times New Roman" w:eastAsia="仿宋" w:cs="Times New Roman"/>
          <w:sz w:val="28"/>
          <w:szCs w:val="28"/>
          <w:highlight w:val="none"/>
        </w:rPr>
        <w:t>编制了</w:t>
      </w:r>
      <w:r>
        <w:rPr>
          <w:rFonts w:hint="eastAsia" w:ascii="Times New Roman" w:hAnsi="Times New Roman" w:eastAsia="仿宋" w:cs="Times New Roman"/>
          <w:sz w:val="28"/>
          <w:szCs w:val="28"/>
          <w:highlight w:val="none"/>
        </w:rPr>
        <w:t>《</w:t>
      </w:r>
      <w:r>
        <w:rPr>
          <w:rFonts w:hint="eastAsia" w:ascii="Times New Roman" w:hAnsi="Times New Roman" w:cs="Times New Roman"/>
          <w:sz w:val="28"/>
          <w:szCs w:val="28"/>
          <w:highlight w:val="none"/>
          <w:lang w:val="en-US" w:eastAsia="zh-CN"/>
        </w:rPr>
        <w:t>天津豪骏车业有限公司</w:t>
      </w:r>
      <w:r>
        <w:rPr>
          <w:rFonts w:hint="default" w:ascii="Times New Roman" w:hAnsi="Times New Roman" w:eastAsia="仿宋" w:cs="Times New Roman"/>
          <w:sz w:val="28"/>
          <w:szCs w:val="28"/>
          <w:highlight w:val="none"/>
        </w:rPr>
        <w:t>突发环境</w:t>
      </w:r>
      <w:r>
        <w:rPr>
          <w:rFonts w:hint="eastAsia" w:ascii="Times New Roman" w:hAnsi="Times New Roman" w:eastAsia="仿宋" w:cs="Times New Roman"/>
          <w:sz w:val="28"/>
          <w:szCs w:val="28"/>
          <w:highlight w:val="none"/>
        </w:rPr>
        <w:t>事件</w:t>
      </w:r>
      <w:r>
        <w:rPr>
          <w:rFonts w:hint="default" w:ascii="Times New Roman" w:hAnsi="Times New Roman" w:eastAsia="仿宋" w:cs="Times New Roman"/>
          <w:sz w:val="28"/>
          <w:szCs w:val="28"/>
          <w:highlight w:val="none"/>
        </w:rPr>
        <w:t>应急预案</w:t>
      </w:r>
      <w:r>
        <w:rPr>
          <w:rFonts w:hint="eastAsia" w:ascii="Times New Roman" w:hAnsi="Times New Roman" w:eastAsia="仿宋" w:cs="Times New Roman"/>
          <w:sz w:val="28"/>
          <w:szCs w:val="28"/>
          <w:highlight w:val="none"/>
        </w:rPr>
        <w:t>》，</w:t>
      </w:r>
      <w:r>
        <w:rPr>
          <w:rFonts w:hint="default" w:ascii="Times New Roman" w:hAnsi="Times New Roman" w:eastAsia="仿宋" w:cs="Times New Roman"/>
          <w:sz w:val="28"/>
          <w:szCs w:val="28"/>
          <w:highlight w:val="none"/>
        </w:rPr>
        <w:t>并</w:t>
      </w:r>
      <w:r>
        <w:rPr>
          <w:rFonts w:hint="eastAsia" w:ascii="Times New Roman" w:hAnsi="Times New Roman" w:eastAsia="仿宋" w:cs="Times New Roman"/>
          <w:sz w:val="28"/>
          <w:szCs w:val="28"/>
          <w:highlight w:val="none"/>
        </w:rPr>
        <w:t>于</w:t>
      </w:r>
      <w:r>
        <w:rPr>
          <w:rFonts w:hint="default" w:ascii="Times New Roman" w:hAnsi="Times New Roman" w:eastAsia="仿宋" w:cs="Times New Roman"/>
          <w:sz w:val="28"/>
          <w:szCs w:val="28"/>
          <w:highlight w:val="none"/>
        </w:rPr>
        <w:t>20</w:t>
      </w:r>
      <w:r>
        <w:rPr>
          <w:rFonts w:hint="eastAsia" w:ascii="Times New Roman" w:hAnsi="Times New Roman" w:cs="Times New Roman"/>
          <w:sz w:val="28"/>
          <w:szCs w:val="28"/>
          <w:highlight w:val="none"/>
          <w:lang w:val="en-US" w:eastAsia="zh-CN"/>
        </w:rPr>
        <w:t>19</w:t>
      </w:r>
      <w:r>
        <w:rPr>
          <w:rFonts w:hint="eastAsia" w:ascii="Times New Roman" w:hAnsi="Times New Roman" w:eastAsia="仿宋" w:cs="Times New Roman"/>
          <w:sz w:val="28"/>
          <w:szCs w:val="28"/>
          <w:highlight w:val="none"/>
        </w:rPr>
        <w:t>年</w:t>
      </w:r>
      <w:r>
        <w:rPr>
          <w:rFonts w:hint="eastAsia" w:ascii="Times New Roman" w:hAnsi="Times New Roman" w:cs="Times New Roman"/>
          <w:sz w:val="28"/>
          <w:szCs w:val="28"/>
          <w:highlight w:val="none"/>
          <w:lang w:val="en-US" w:eastAsia="zh-CN"/>
        </w:rPr>
        <w:t>7</w:t>
      </w:r>
      <w:r>
        <w:rPr>
          <w:rFonts w:hint="eastAsia" w:ascii="Times New Roman" w:hAnsi="Times New Roman" w:eastAsia="仿宋" w:cs="Times New Roman"/>
          <w:sz w:val="28"/>
          <w:szCs w:val="28"/>
          <w:highlight w:val="none"/>
        </w:rPr>
        <w:t>月</w:t>
      </w:r>
      <w:r>
        <w:rPr>
          <w:rFonts w:hint="eastAsia" w:ascii="Times New Roman" w:hAnsi="Times New Roman" w:cs="Times New Roman"/>
          <w:sz w:val="28"/>
          <w:szCs w:val="28"/>
          <w:highlight w:val="none"/>
          <w:lang w:val="en-US" w:eastAsia="zh-CN"/>
        </w:rPr>
        <w:t>12</w:t>
      </w:r>
      <w:r>
        <w:rPr>
          <w:rFonts w:hint="eastAsia" w:ascii="Times New Roman" w:hAnsi="Times New Roman" w:eastAsia="仿宋" w:cs="Times New Roman"/>
          <w:sz w:val="28"/>
          <w:szCs w:val="28"/>
          <w:highlight w:val="none"/>
        </w:rPr>
        <w:t>日经</w:t>
      </w:r>
      <w:r>
        <w:rPr>
          <w:rFonts w:hint="eastAsia" w:ascii="仿宋" w:hAnsi="仿宋" w:eastAsia="仿宋" w:cs="仿宋"/>
          <w:sz w:val="28"/>
          <w:szCs w:val="28"/>
          <w:highlight w:val="none"/>
          <w:lang w:val="en-US" w:eastAsia="zh-CN"/>
        </w:rPr>
        <w:t>天津</w:t>
      </w:r>
      <w:r>
        <w:rPr>
          <w:rFonts w:hint="eastAsia" w:ascii="仿宋" w:hAnsi="仿宋" w:cs="仿宋"/>
          <w:sz w:val="28"/>
          <w:szCs w:val="28"/>
          <w:highlight w:val="none"/>
          <w:lang w:val="en-US" w:eastAsia="zh-CN"/>
        </w:rPr>
        <w:t>市滨海新区生态</w:t>
      </w:r>
      <w:r>
        <w:rPr>
          <w:rFonts w:hint="eastAsia" w:ascii="仿宋" w:hAnsi="仿宋" w:eastAsia="仿宋" w:cs="仿宋"/>
          <w:sz w:val="28"/>
          <w:szCs w:val="28"/>
          <w:highlight w:val="none"/>
          <w:lang w:val="en-US" w:eastAsia="zh-CN"/>
        </w:rPr>
        <w:t>环境局备案</w:t>
      </w:r>
      <w:r>
        <w:rPr>
          <w:rFonts w:hint="eastAsia" w:ascii="Times New Roman" w:hAnsi="Times New Roman" w:eastAsia="仿宋" w:cs="Times New Roman"/>
          <w:sz w:val="28"/>
          <w:szCs w:val="28"/>
          <w:highlight w:val="none"/>
        </w:rPr>
        <w:t>，</w:t>
      </w:r>
      <w:r>
        <w:rPr>
          <w:rFonts w:hint="default" w:ascii="Times New Roman" w:hAnsi="Times New Roman" w:eastAsia="仿宋" w:cs="Times New Roman"/>
          <w:sz w:val="28"/>
          <w:szCs w:val="28"/>
          <w:highlight w:val="none"/>
        </w:rPr>
        <w:t>备案编号为</w:t>
      </w:r>
      <w:r>
        <w:rPr>
          <w:rFonts w:hint="eastAsia" w:ascii="Times New Roman" w:hAnsi="Times New Roman" w:eastAsia="仿宋" w:cs="Times New Roman"/>
          <w:sz w:val="28"/>
          <w:szCs w:val="28"/>
          <w:highlight w:val="none"/>
        </w:rPr>
        <w:t>120116</w:t>
      </w:r>
      <w:r>
        <w:rPr>
          <w:rFonts w:hint="eastAsia" w:ascii="Times New Roman" w:hAnsi="Times New Roman" w:cs="Times New Roman"/>
          <w:sz w:val="28"/>
          <w:szCs w:val="28"/>
          <w:highlight w:val="none"/>
          <w:lang w:val="en-US" w:eastAsia="zh-CN"/>
        </w:rPr>
        <w:t>-</w:t>
      </w:r>
      <w:r>
        <w:rPr>
          <w:rFonts w:hint="eastAsia" w:ascii="Times New Roman" w:hAnsi="Times New Roman" w:eastAsia="仿宋" w:cs="Times New Roman"/>
          <w:sz w:val="28"/>
          <w:szCs w:val="28"/>
          <w:highlight w:val="none"/>
        </w:rPr>
        <w:t>20</w:t>
      </w:r>
      <w:r>
        <w:rPr>
          <w:rFonts w:hint="eastAsia" w:ascii="Times New Roman" w:hAnsi="Times New Roman" w:cs="Times New Roman"/>
          <w:sz w:val="28"/>
          <w:szCs w:val="28"/>
          <w:highlight w:val="none"/>
          <w:lang w:val="en-US" w:eastAsia="zh-CN"/>
        </w:rPr>
        <w:t>19</w:t>
      </w:r>
      <w:r>
        <w:rPr>
          <w:rFonts w:hint="eastAsia" w:ascii="Times New Roman" w:hAnsi="Times New Roman" w:eastAsia="仿宋" w:cs="Times New Roman"/>
          <w:sz w:val="28"/>
          <w:szCs w:val="28"/>
          <w:highlight w:val="none"/>
        </w:rPr>
        <w:t>-</w:t>
      </w:r>
      <w:r>
        <w:rPr>
          <w:rFonts w:hint="eastAsia" w:ascii="Times New Roman" w:hAnsi="Times New Roman" w:cs="Times New Roman"/>
          <w:sz w:val="28"/>
          <w:szCs w:val="28"/>
          <w:highlight w:val="none"/>
          <w:lang w:val="en-US" w:eastAsia="zh-CN"/>
        </w:rPr>
        <w:t>190</w:t>
      </w:r>
      <w:r>
        <w:rPr>
          <w:rFonts w:hint="eastAsia" w:ascii="Times New Roman" w:hAnsi="Times New Roman" w:eastAsia="仿宋" w:cs="Times New Roman"/>
          <w:sz w:val="28"/>
          <w:szCs w:val="28"/>
          <w:highlight w:val="none"/>
        </w:rPr>
        <w:t>-</w:t>
      </w:r>
      <w:r>
        <w:rPr>
          <w:rFonts w:hint="eastAsia" w:ascii="Times New Roman" w:hAnsi="Times New Roman" w:eastAsia="仿宋" w:cs="Times New Roman"/>
          <w:sz w:val="28"/>
          <w:szCs w:val="28"/>
          <w:highlight w:val="none"/>
          <w:lang w:val="en-US" w:eastAsia="zh-CN"/>
        </w:rPr>
        <w:t>L</w:t>
      </w:r>
      <w:r>
        <w:rPr>
          <w:rFonts w:hint="eastAsia" w:ascii="Times New Roman" w:hAnsi="Times New Roman" w:eastAsia="仿宋" w:cs="Times New Roman"/>
          <w:sz w:val="28"/>
          <w:szCs w:val="28"/>
          <w:lang w:val="en-US" w:eastAsia="zh-CN"/>
        </w:rPr>
        <w:t>。</w:t>
      </w:r>
      <w:r>
        <w:rPr>
          <w:rFonts w:hint="eastAsia" w:ascii="仿宋" w:hAnsi="仿宋" w:eastAsia="仿宋" w:cs="仿宋"/>
          <w:sz w:val="28"/>
          <w:szCs w:val="28"/>
          <w:lang w:val="en-US" w:eastAsia="zh-CN"/>
        </w:rPr>
        <w:t>根据企业事业单位突发环境事件应急预案</w:t>
      </w:r>
      <w:r>
        <w:rPr>
          <w:rFonts w:hint="default" w:ascii="仿宋" w:hAnsi="仿宋" w:eastAsia="仿宋" w:cs="仿宋"/>
          <w:sz w:val="28"/>
          <w:szCs w:val="28"/>
          <w:lang w:val="en-US" w:eastAsia="zh-CN"/>
        </w:rPr>
        <w:t>备案管理办法（试行）</w:t>
      </w:r>
      <w:r>
        <w:rPr>
          <w:rFonts w:hint="eastAsia" w:ascii="仿宋" w:hAnsi="仿宋" w:eastAsia="仿宋" w:cs="仿宋"/>
          <w:sz w:val="28"/>
          <w:szCs w:val="28"/>
          <w:lang w:val="en-US" w:eastAsia="zh-CN"/>
        </w:rPr>
        <w:t>企业结合环境应急预案实施情况，至少每三年对环境应急预案进行一次回顾性评估。</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lang w:val="en-US" w:eastAsia="zh-CN"/>
        </w:rPr>
      </w:pPr>
      <w:r>
        <w:rPr>
          <w:rFonts w:hint="eastAsia" w:ascii="仿宋" w:hAnsi="仿宋" w:eastAsia="仿宋" w:cs="仿宋"/>
          <w:sz w:val="28"/>
          <w:szCs w:val="28"/>
          <w:lang w:val="en-US" w:eastAsia="zh-CN"/>
        </w:rPr>
        <w:t>三年来，企业环境风险物质的种类和数量、生产工艺过程与环境风险防范措施及周边可能受影响的环境风险受体</w:t>
      </w:r>
      <w:r>
        <w:rPr>
          <w:rFonts w:hint="eastAsia" w:ascii="仿宋" w:hAnsi="仿宋" w:cs="仿宋"/>
          <w:sz w:val="28"/>
          <w:szCs w:val="28"/>
          <w:lang w:val="en-US" w:eastAsia="zh-CN"/>
        </w:rPr>
        <w:t>略</w:t>
      </w:r>
      <w:r>
        <w:rPr>
          <w:rFonts w:hint="eastAsia" w:ascii="仿宋" w:hAnsi="仿宋" w:eastAsia="仿宋" w:cs="仿宋"/>
          <w:sz w:val="28"/>
          <w:szCs w:val="28"/>
          <w:lang w:val="en-US" w:eastAsia="zh-CN"/>
        </w:rPr>
        <w:t>发生变化，</w:t>
      </w:r>
      <w:r>
        <w:rPr>
          <w:rFonts w:hint="eastAsia" w:ascii="仿宋" w:hAnsi="仿宋" w:cs="仿宋"/>
          <w:sz w:val="28"/>
          <w:szCs w:val="28"/>
          <w:lang w:val="en-US" w:eastAsia="zh-CN"/>
        </w:rPr>
        <w:t>周边人数有所减少，</w:t>
      </w:r>
      <w:r>
        <w:rPr>
          <w:rFonts w:hint="eastAsia" w:ascii="仿宋" w:hAnsi="仿宋" w:eastAsia="仿宋" w:cs="仿宋"/>
          <w:sz w:val="28"/>
          <w:szCs w:val="28"/>
          <w:lang w:val="en-US" w:eastAsia="zh-CN"/>
        </w:rPr>
        <w:t>企业风险等级未发生变化；</w:t>
      </w:r>
      <w:r>
        <w:rPr>
          <w:rFonts w:hint="eastAsia" w:ascii="仿宋" w:hAnsi="仿宋" w:eastAsia="仿宋" w:cs="仿宋"/>
          <w:sz w:val="28"/>
          <w:szCs w:val="28"/>
        </w:rPr>
        <w:t>依照《突发环境事件应急管理办法》（环发[2015]34号，2015年4月16日）、《企业事业单位突发环境事件应急预案备案管理办法（试行）》（环发[2015]4号，2015年1月8日）、《企业突发环境事件风险分级方法》（HJ 941-2018）、《企业突发环境事件风险评估指南（试行）》（环办[2014]34号，2014年4月3日）等文件要求</w:t>
      </w:r>
      <w:r>
        <w:rPr>
          <w:rFonts w:hint="eastAsia" w:ascii="仿宋" w:hAnsi="仿宋" w:cs="仿宋"/>
          <w:sz w:val="28"/>
          <w:szCs w:val="28"/>
          <w:lang w:eastAsia="zh-CN"/>
        </w:rPr>
        <w:t>，</w:t>
      </w:r>
      <w:r>
        <w:rPr>
          <w:rFonts w:hint="eastAsia" w:ascii="Times New Roman" w:hAnsi="Times New Roman" w:cs="Times New Roman"/>
          <w:sz w:val="28"/>
          <w:szCs w:val="28"/>
          <w:lang w:val="en-US" w:eastAsia="zh-CN"/>
        </w:rPr>
        <w:t>企业重新编制突发环境事件应急预案。</w:t>
      </w:r>
    </w:p>
    <w:p>
      <w:pPr>
        <w:outlineLvl w:val="1"/>
        <w:rPr>
          <w:rFonts w:hint="eastAsia" w:ascii="仿宋" w:hAnsi="仿宋" w:eastAsia="仿宋" w:cs="仿宋"/>
          <w:b/>
          <w:bCs/>
          <w:szCs w:val="28"/>
        </w:rPr>
      </w:pPr>
      <w:bookmarkStart w:id="21" w:name="_Toc30536"/>
      <w:r>
        <w:rPr>
          <w:rFonts w:hint="eastAsia" w:ascii="仿宋" w:hAnsi="仿宋" w:eastAsia="仿宋" w:cs="仿宋"/>
          <w:b/>
          <w:bCs/>
          <w:szCs w:val="28"/>
        </w:rPr>
        <w:t>1.2编制依据</w:t>
      </w:r>
      <w:bookmarkEnd w:id="19"/>
      <w:bookmarkEnd w:id="20"/>
      <w:bookmarkEnd w:id="21"/>
    </w:p>
    <w:p>
      <w:pPr>
        <w:rPr>
          <w:rFonts w:hint="eastAsia" w:ascii="仿宋" w:hAnsi="仿宋" w:eastAsia="仿宋" w:cs="仿宋"/>
          <w:b/>
          <w:bCs w:val="0"/>
          <w:sz w:val="28"/>
          <w:szCs w:val="28"/>
          <w:lang w:val="en-US" w:eastAsia="zh-CN"/>
        </w:rPr>
      </w:pPr>
      <w:bookmarkStart w:id="22" w:name="_Toc30786_WPSOffice_Level2"/>
      <w:bookmarkStart w:id="23" w:name="_Toc32722"/>
      <w:r>
        <w:rPr>
          <w:rFonts w:hint="eastAsia" w:ascii="仿宋" w:hAnsi="仿宋" w:cs="仿宋"/>
          <w:b/>
          <w:bCs w:val="0"/>
          <w:sz w:val="28"/>
          <w:szCs w:val="28"/>
          <w:lang w:val="en-US" w:eastAsia="zh-CN"/>
        </w:rPr>
        <w:t>1</w:t>
      </w:r>
      <w:r>
        <w:rPr>
          <w:rFonts w:hint="eastAsia" w:ascii="仿宋" w:hAnsi="仿宋" w:eastAsia="仿宋" w:cs="仿宋"/>
          <w:b/>
          <w:bCs w:val="0"/>
          <w:sz w:val="28"/>
          <w:szCs w:val="28"/>
          <w:lang w:val="en-US" w:eastAsia="zh-CN"/>
        </w:rPr>
        <w:t>.2.1法律法规、规章、指导性文件</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（1）《中华人民共和国环境保护法》（2015年1月1日实施）；</w:t>
      </w:r>
    </w:p>
    <w:p>
      <w:pPr>
        <w:numPr>
          <w:ilvl w:val="0"/>
          <w:numId w:val="0"/>
        </w:num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（2）《中华人民共和国突发事件应对法》（2007年11月1日起实施）；</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（3）《中华人民共和国安全生产法》（2021年9月1日实施）；</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（4）《中华人民共和国水污染防治法》（2017修正）；</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（5）《中华人民共和国大气污染防治法》（2018修正）；</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（6）《中华人民共和国固体废物污染环境防治法》（2020年9月1日施行）；</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（7）《中华人民共和国土壤污染防治法》（2019年1月1日施行）</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（8）《突发事件应急预案管理办法》（国办发〔2013〕101号）；</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（9）《突发环境事件应急管理办法》(环境保护部令34号)；</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（10）《突发环境事件信息报告办法》(环境保护部令[2011]第17号)；</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（11）《突发环境事件调查处理办法》（2015年3月1日起实施）(环境保护部令第32号)；</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（12）《企业突发环境事件风险评估指南（试行）》（2014年4月生效）（环办[2014]34号）；</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（13）《企业事业单位突发环境事件应急预案备案管理办法（试行）》（环发[2015]4号）；</w:t>
      </w:r>
    </w:p>
    <w:p>
      <w:pPr>
        <w:pStyle w:val="33"/>
        <w:ind w:left="0" w:leftChars="0" w:firstLine="0" w:firstLineChars="0"/>
        <w:rPr>
          <w:rFonts w:hint="default" w:ascii="仿宋" w:hAnsi="仿宋" w:eastAsia="仿宋" w:cs="仿宋"/>
          <w:b/>
          <w:bCs w:val="0"/>
          <w:smallCaps w:val="0"/>
          <w:kern w:val="2"/>
          <w:sz w:val="28"/>
          <w:szCs w:val="28"/>
          <w:lang w:val="en-US" w:eastAsia="zh-CN" w:bidi="ar-SA"/>
        </w:rPr>
      </w:pPr>
      <w:r>
        <w:rPr>
          <w:rFonts w:hint="eastAsia" w:ascii="仿宋" w:hAnsi="仿宋" w:eastAsia="仿宋" w:cs="仿宋"/>
          <w:b/>
          <w:bCs w:val="0"/>
          <w:smallCaps w:val="0"/>
          <w:kern w:val="2"/>
          <w:sz w:val="28"/>
          <w:szCs w:val="28"/>
          <w:lang w:val="en-US" w:eastAsia="zh-CN" w:bidi="ar-SA"/>
        </w:rPr>
        <w:t>1.2.2标准、技术规范</w:t>
      </w:r>
    </w:p>
    <w:p>
      <w:pPr>
        <w:numPr>
          <w:ilvl w:val="0"/>
          <w:numId w:val="1"/>
        </w:numPr>
        <w:spacing w:line="360" w:lineRule="auto"/>
        <w:ind w:firstLine="560" w:firstLineChars="200"/>
        <w:rPr>
          <w:rFonts w:hint="eastAsia" w:ascii="仿宋" w:hAnsi="仿宋" w:eastAsia="仿宋" w:cs="仿宋"/>
          <w:sz w:val="28"/>
          <w:szCs w:val="28"/>
          <w:lang w:eastAsia="zh-CN"/>
        </w:rPr>
      </w:pPr>
      <w:r>
        <w:rPr>
          <w:rFonts w:hint="eastAsia" w:ascii="仿宋" w:hAnsi="仿宋" w:eastAsia="仿宋" w:cs="仿宋"/>
          <w:sz w:val="28"/>
          <w:szCs w:val="28"/>
        </w:rPr>
        <w:t>《企业事业单位突发环境事件应急预案评审工作指南》（环办应急[2018]8号）</w:t>
      </w:r>
      <w:r>
        <w:rPr>
          <w:rFonts w:hint="eastAsia" w:ascii="仿宋" w:hAnsi="仿宋" w:eastAsia="仿宋" w:cs="仿宋"/>
          <w:sz w:val="28"/>
          <w:szCs w:val="28"/>
          <w:lang w:eastAsia="zh-CN"/>
        </w:rPr>
        <w:t>；</w:t>
      </w:r>
    </w:p>
    <w:p>
      <w:pPr>
        <w:numPr>
          <w:ilvl w:val="0"/>
          <w:numId w:val="0"/>
        </w:numPr>
        <w:spacing w:line="360" w:lineRule="auto"/>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w:t>
      </w:r>
      <w:r>
        <w:rPr>
          <w:rFonts w:hint="eastAsia" w:ascii="仿宋" w:hAnsi="仿宋" w:eastAsia="仿宋" w:cs="仿宋"/>
          <w:sz w:val="28"/>
          <w:szCs w:val="28"/>
        </w:rPr>
        <w:t>《企业突发环境事件风险评估指南（试行）》（2014年4月生效）（环办[2014]34号）</w:t>
      </w:r>
      <w:r>
        <w:rPr>
          <w:rFonts w:hint="eastAsia" w:ascii="仿宋" w:hAnsi="仿宋" w:eastAsia="仿宋" w:cs="仿宋"/>
          <w:sz w:val="28"/>
          <w:szCs w:val="28"/>
          <w:lang w:eastAsia="zh-CN"/>
        </w:rPr>
        <w:t>；</w:t>
      </w:r>
    </w:p>
    <w:p>
      <w:pPr>
        <w:pStyle w:val="6"/>
        <w:numPr>
          <w:ilvl w:val="0"/>
          <w:numId w:val="0"/>
        </w:numPr>
        <w:spacing w:line="360" w:lineRule="auto"/>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3</w:t>
      </w:r>
      <w:r>
        <w:rPr>
          <w:rFonts w:hint="eastAsia" w:ascii="仿宋" w:hAnsi="仿宋" w:eastAsia="仿宋" w:cs="仿宋"/>
          <w:sz w:val="28"/>
          <w:szCs w:val="28"/>
          <w:lang w:eastAsia="zh-CN"/>
        </w:rPr>
        <w:t>）</w:t>
      </w:r>
      <w:r>
        <w:rPr>
          <w:rFonts w:hint="eastAsia" w:ascii="仿宋" w:hAnsi="仿宋" w:eastAsia="仿宋" w:cs="仿宋"/>
          <w:sz w:val="28"/>
          <w:szCs w:val="28"/>
        </w:rPr>
        <w:t>《环境应急资源调查指南（试行）》（环办应急[2019]17号）；</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（4）《建设项目环境风险评价技术导则》(HJ169-2018)；</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（5）《企业突发环境事件风险分级方法》（HJ941-2018）；</w:t>
      </w:r>
    </w:p>
    <w:p>
      <w:pPr>
        <w:spacing w:line="360" w:lineRule="auto"/>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val="en-US" w:eastAsia="zh-CN"/>
        </w:rPr>
        <w:t>（6）《突发环境事件应急监测技术规范》（HJ589-2021）</w:t>
      </w:r>
      <w:r>
        <w:rPr>
          <w:rFonts w:hint="eastAsia" w:ascii="仿宋" w:hAnsi="仿宋" w:cs="仿宋"/>
          <w:sz w:val="28"/>
          <w:szCs w:val="28"/>
          <w:lang w:val="en-US" w:eastAsia="zh-CN"/>
        </w:rPr>
        <w:t>。</w:t>
      </w:r>
    </w:p>
    <w:p>
      <w:pPr>
        <w:pStyle w:val="33"/>
        <w:ind w:left="0" w:leftChars="0" w:firstLine="0" w:firstLineChars="0"/>
        <w:rPr>
          <w:rFonts w:hint="eastAsia" w:ascii="仿宋" w:hAnsi="仿宋" w:eastAsia="仿宋" w:cs="仿宋"/>
          <w:b/>
          <w:bCs w:val="0"/>
          <w:smallCaps w:val="0"/>
          <w:kern w:val="2"/>
          <w:sz w:val="28"/>
          <w:szCs w:val="28"/>
          <w:lang w:val="en-US" w:eastAsia="zh-CN" w:bidi="ar-SA"/>
        </w:rPr>
      </w:pPr>
      <w:bookmarkStart w:id="24" w:name="_Toc23484"/>
      <w:bookmarkStart w:id="25" w:name="_Toc534906102"/>
      <w:bookmarkStart w:id="26" w:name="_Toc31557"/>
      <w:bookmarkStart w:id="27" w:name="_Toc1595973"/>
      <w:bookmarkStart w:id="28" w:name="_Toc1564200"/>
      <w:bookmarkStart w:id="29" w:name="_Toc534906277"/>
      <w:bookmarkStart w:id="30" w:name="_Toc1639582"/>
      <w:r>
        <w:rPr>
          <w:rFonts w:hint="eastAsia" w:ascii="仿宋" w:hAnsi="仿宋" w:eastAsia="仿宋" w:cs="仿宋"/>
          <w:b/>
          <w:bCs w:val="0"/>
          <w:smallCaps w:val="0"/>
          <w:kern w:val="2"/>
          <w:sz w:val="28"/>
          <w:szCs w:val="28"/>
          <w:lang w:val="en-US" w:eastAsia="zh-CN" w:bidi="ar-SA"/>
        </w:rPr>
        <w:t>1.2.3</w:t>
      </w:r>
      <w:bookmarkEnd w:id="24"/>
      <w:bookmarkEnd w:id="25"/>
      <w:bookmarkEnd w:id="26"/>
      <w:bookmarkEnd w:id="27"/>
      <w:bookmarkEnd w:id="28"/>
      <w:bookmarkEnd w:id="29"/>
      <w:bookmarkEnd w:id="30"/>
      <w:bookmarkStart w:id="31" w:name="_Toc15525"/>
      <w:r>
        <w:rPr>
          <w:rFonts w:hint="eastAsia" w:ascii="仿宋" w:hAnsi="仿宋" w:eastAsia="仿宋" w:cs="仿宋"/>
          <w:b/>
          <w:bCs w:val="0"/>
          <w:smallCaps w:val="0"/>
          <w:kern w:val="2"/>
          <w:sz w:val="28"/>
          <w:szCs w:val="28"/>
          <w:lang w:val="en-US" w:eastAsia="zh-CN" w:bidi="ar-SA"/>
        </w:rPr>
        <w:t>地方性法规及文件</w:t>
      </w:r>
      <w:bookmarkEnd w:id="31"/>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（1）《天津市生态环境保护条例》（2019年3月1日起施行）；</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（2）《天津市大气污染防治条例》 (2020年9月25日天津市第十七届人民代表大会常务委员会第二十三次会议《关于修改〈天津市供电用电条例〉等七部地方性法规的决定》)；</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（3）《天津市水污染防治条例》(2020年9月25日天津市第十七届人民代表大会常务委员会第二十三次会议《关于修改〈天津市供电用电条例〉等七部地方性法规的决定》第三次修正)；</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（4）《天津市人民政府关于印发&lt;天津市突发事件总体应急预案&gt;的通知》（津政规〔2021〕1号）；</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（5）《天津市人民政府办公厅关于印发&lt;天津市森林火灾应急预案等14个专项应急预案&gt;的通知》（津政办规〔2022〕2号）；</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（6）《天津市滨海新区人民政府办公室关于印发&lt;天津市滨海新区突发环境事件应急预案&gt;的通知》（津滨政办规〔2022〕8号）。</w:t>
      </w:r>
    </w:p>
    <w:p>
      <w:pPr>
        <w:spacing w:line="360" w:lineRule="auto"/>
        <w:rPr>
          <w:rFonts w:hint="eastAsia" w:ascii="仿宋" w:hAnsi="仿宋" w:eastAsia="仿宋" w:cs="仿宋"/>
          <w:b/>
          <w:bCs w:val="0"/>
          <w:smallCaps w:val="0"/>
          <w:kern w:val="2"/>
          <w:sz w:val="28"/>
          <w:szCs w:val="28"/>
          <w:lang w:val="en-US" w:eastAsia="zh-CN" w:bidi="ar-SA"/>
        </w:rPr>
      </w:pPr>
      <w:r>
        <w:rPr>
          <w:rFonts w:hint="eastAsia" w:ascii="仿宋" w:hAnsi="仿宋" w:cs="仿宋"/>
          <w:b/>
          <w:bCs w:val="0"/>
          <w:smallCaps w:val="0"/>
          <w:kern w:val="2"/>
          <w:sz w:val="28"/>
          <w:szCs w:val="28"/>
          <w:lang w:val="en-US" w:eastAsia="zh-CN" w:bidi="ar-SA"/>
        </w:rPr>
        <w:t>1</w:t>
      </w:r>
      <w:r>
        <w:rPr>
          <w:rFonts w:hint="eastAsia" w:ascii="仿宋" w:hAnsi="仿宋" w:eastAsia="仿宋" w:cs="仿宋"/>
          <w:b/>
          <w:bCs w:val="0"/>
          <w:smallCaps w:val="0"/>
          <w:kern w:val="2"/>
          <w:sz w:val="28"/>
          <w:szCs w:val="28"/>
          <w:lang w:val="en-US" w:eastAsia="zh-CN" w:bidi="ar-SA"/>
        </w:rPr>
        <w:t>.2.4其他文件</w:t>
      </w:r>
    </w:p>
    <w:p>
      <w:pPr>
        <w:pStyle w:val="218"/>
        <w:ind w:firstLine="512"/>
        <w:rPr>
          <w:rFonts w:eastAsia="仿宋"/>
          <w:spacing w:val="-12"/>
          <w:sz w:val="28"/>
          <w:szCs w:val="28"/>
        </w:rPr>
      </w:pPr>
      <w:bookmarkStart w:id="32" w:name="_Hlk28161191"/>
      <w:bookmarkStart w:id="33" w:name="_Toc26113"/>
      <w:r>
        <w:rPr>
          <w:rFonts w:eastAsia="仿宋"/>
          <w:spacing w:val="-12"/>
          <w:sz w:val="28"/>
          <w:szCs w:val="28"/>
        </w:rPr>
        <w:t>（1）</w:t>
      </w:r>
      <w:r>
        <w:rPr>
          <w:rFonts w:hint="eastAsia" w:ascii="Times New Roman" w:hAnsi="Times New Roman" w:eastAsia="仿宋" w:cs="Times New Roman"/>
          <w:spacing w:val="-12"/>
          <w:sz w:val="28"/>
          <w:szCs w:val="28"/>
        </w:rPr>
        <w:t>《</w:t>
      </w:r>
      <w:r>
        <w:rPr>
          <w:rFonts w:hint="eastAsia" w:ascii="Times New Roman" w:hAnsi="Times New Roman" w:eastAsia="仿宋" w:cs="Times New Roman"/>
          <w:spacing w:val="-12"/>
          <w:sz w:val="28"/>
          <w:szCs w:val="28"/>
          <w:lang w:eastAsia="zh-CN"/>
        </w:rPr>
        <w:t>天津豪骏车业有限公司扩建项目</w:t>
      </w:r>
      <w:r>
        <w:rPr>
          <w:rFonts w:hint="default" w:ascii="Times New Roman" w:hAnsi="Times New Roman" w:eastAsia="仿宋" w:cs="Times New Roman"/>
          <w:spacing w:val="-12"/>
          <w:sz w:val="28"/>
          <w:szCs w:val="28"/>
        </w:rPr>
        <w:t>环境影响报告</w:t>
      </w:r>
      <w:r>
        <w:rPr>
          <w:rFonts w:hint="default" w:ascii="Times New Roman" w:hAnsi="Times New Roman" w:eastAsia="仿宋" w:cs="Times New Roman"/>
          <w:spacing w:val="-12"/>
          <w:sz w:val="28"/>
          <w:szCs w:val="28"/>
          <w:lang w:val="en-US" w:eastAsia="zh-CN"/>
        </w:rPr>
        <w:t>表</w:t>
      </w:r>
      <w:r>
        <w:rPr>
          <w:rFonts w:hint="eastAsia" w:ascii="Times New Roman" w:hAnsi="Times New Roman" w:eastAsia="仿宋" w:cs="Times New Roman"/>
          <w:spacing w:val="-12"/>
          <w:sz w:val="28"/>
          <w:szCs w:val="28"/>
        </w:rPr>
        <w:t>》及批复（津</w:t>
      </w:r>
      <w:r>
        <w:rPr>
          <w:rFonts w:hint="eastAsia" w:ascii="Times New Roman" w:hAnsi="Times New Roman" w:eastAsia="仿宋" w:cs="Times New Roman"/>
          <w:spacing w:val="-12"/>
          <w:sz w:val="28"/>
          <w:szCs w:val="28"/>
          <w:lang w:val="en-US" w:eastAsia="zh-CN"/>
        </w:rPr>
        <w:t>滨中塘环准</w:t>
      </w:r>
      <w:r>
        <w:rPr>
          <w:rFonts w:hint="eastAsia" w:ascii="Times New Roman" w:hAnsi="Times New Roman" w:eastAsia="仿宋" w:cs="Times New Roman"/>
          <w:spacing w:val="-12"/>
          <w:sz w:val="28"/>
          <w:szCs w:val="28"/>
        </w:rPr>
        <w:t>[20</w:t>
      </w:r>
      <w:r>
        <w:rPr>
          <w:rFonts w:hint="eastAsia" w:ascii="Times New Roman" w:hAnsi="Times New Roman" w:eastAsia="仿宋" w:cs="Times New Roman"/>
          <w:spacing w:val="-12"/>
          <w:sz w:val="28"/>
          <w:szCs w:val="28"/>
          <w:lang w:val="en-US" w:eastAsia="zh-CN"/>
        </w:rPr>
        <w:t>20</w:t>
      </w:r>
      <w:r>
        <w:rPr>
          <w:rFonts w:hint="eastAsia" w:ascii="Times New Roman" w:hAnsi="Times New Roman" w:eastAsia="仿宋" w:cs="Times New Roman"/>
          <w:spacing w:val="-12"/>
          <w:sz w:val="28"/>
          <w:szCs w:val="28"/>
        </w:rPr>
        <w:t>](2</w:t>
      </w:r>
      <w:r>
        <w:rPr>
          <w:rFonts w:hint="eastAsia" w:ascii="Times New Roman" w:hAnsi="Times New Roman" w:eastAsia="仿宋" w:cs="Times New Roman"/>
          <w:spacing w:val="-12"/>
          <w:sz w:val="28"/>
          <w:szCs w:val="28"/>
          <w:lang w:val="en-US" w:eastAsia="zh-CN"/>
        </w:rPr>
        <w:t>6</w:t>
      </w:r>
      <w:r>
        <w:rPr>
          <w:rFonts w:hint="eastAsia" w:ascii="Times New Roman" w:hAnsi="Times New Roman" w:eastAsia="仿宋" w:cs="Times New Roman"/>
          <w:spacing w:val="-12"/>
          <w:sz w:val="28"/>
          <w:szCs w:val="28"/>
        </w:rPr>
        <w:t>)号）</w:t>
      </w:r>
      <w:r>
        <w:rPr>
          <w:rFonts w:eastAsia="仿宋"/>
          <w:spacing w:val="-12"/>
          <w:sz w:val="28"/>
          <w:szCs w:val="28"/>
        </w:rPr>
        <w:t>；</w:t>
      </w:r>
    </w:p>
    <w:p>
      <w:pPr>
        <w:pStyle w:val="218"/>
        <w:ind w:firstLine="512"/>
        <w:rPr>
          <w:rFonts w:hint="eastAsia" w:eastAsia="仿宋"/>
          <w:spacing w:val="-12"/>
          <w:sz w:val="28"/>
          <w:szCs w:val="28"/>
          <w:lang w:eastAsia="zh-CN"/>
        </w:rPr>
      </w:pPr>
      <w:r>
        <w:rPr>
          <w:rFonts w:eastAsia="仿宋"/>
          <w:spacing w:val="-12"/>
          <w:sz w:val="28"/>
          <w:szCs w:val="28"/>
        </w:rPr>
        <w:t>（2）《</w:t>
      </w:r>
      <w:r>
        <w:rPr>
          <w:rFonts w:hint="eastAsia" w:ascii="Times New Roman" w:hAnsi="Times New Roman" w:eastAsia="仿宋" w:cs="Times New Roman"/>
          <w:spacing w:val="-12"/>
          <w:sz w:val="28"/>
          <w:szCs w:val="28"/>
          <w:lang w:eastAsia="zh-CN"/>
        </w:rPr>
        <w:t>天津豪骏车业有限公司扩建项目</w:t>
      </w:r>
      <w:r>
        <w:rPr>
          <w:rFonts w:hint="eastAsia" w:eastAsia="仿宋"/>
          <w:spacing w:val="-12"/>
          <w:sz w:val="28"/>
          <w:szCs w:val="28"/>
        </w:rPr>
        <w:t>竣工环境保护验收意见</w:t>
      </w:r>
      <w:r>
        <w:rPr>
          <w:rFonts w:eastAsia="仿宋"/>
          <w:spacing w:val="-12"/>
          <w:sz w:val="28"/>
          <w:szCs w:val="28"/>
        </w:rPr>
        <w:t>》</w:t>
      </w:r>
      <w:bookmarkStart w:id="34" w:name="_Hlk30095415"/>
      <w:r>
        <w:rPr>
          <w:rFonts w:hint="eastAsia" w:eastAsia="仿宋"/>
          <w:spacing w:val="-12"/>
          <w:sz w:val="28"/>
          <w:szCs w:val="28"/>
          <w:lang w:eastAsia="zh-CN"/>
        </w:rPr>
        <w:t>（</w:t>
      </w:r>
      <w:r>
        <w:rPr>
          <w:rFonts w:hint="eastAsia" w:eastAsia="仿宋"/>
          <w:spacing w:val="-12"/>
          <w:sz w:val="28"/>
          <w:szCs w:val="28"/>
          <w:lang w:val="en-US" w:eastAsia="zh-CN"/>
        </w:rPr>
        <w:t>2020年12月</w:t>
      </w:r>
      <w:r>
        <w:rPr>
          <w:rFonts w:hint="eastAsia" w:eastAsia="仿宋"/>
          <w:spacing w:val="-12"/>
          <w:sz w:val="28"/>
          <w:szCs w:val="28"/>
          <w:lang w:eastAsia="zh-CN"/>
        </w:rPr>
        <w:t>）；</w:t>
      </w:r>
    </w:p>
    <w:bookmarkEnd w:id="34"/>
    <w:p>
      <w:pPr>
        <w:spacing w:line="360" w:lineRule="auto"/>
        <w:ind w:firstLine="512" w:firstLineChars="200"/>
        <w:jc w:val="left"/>
        <w:rPr>
          <w:rFonts w:hint="eastAsia" w:eastAsia="仿宋"/>
          <w:spacing w:val="-12"/>
          <w:sz w:val="28"/>
          <w:szCs w:val="28"/>
          <w:lang w:eastAsia="zh-CN"/>
        </w:rPr>
      </w:pPr>
      <w:r>
        <w:rPr>
          <w:rFonts w:hint="eastAsia" w:eastAsia="仿宋"/>
          <w:spacing w:val="-12"/>
          <w:sz w:val="28"/>
          <w:szCs w:val="28"/>
          <w:lang w:eastAsia="zh-CN"/>
        </w:rPr>
        <w:t>（</w:t>
      </w:r>
      <w:r>
        <w:rPr>
          <w:rFonts w:hint="eastAsia"/>
          <w:spacing w:val="-12"/>
          <w:sz w:val="28"/>
          <w:szCs w:val="28"/>
          <w:lang w:val="en-US" w:eastAsia="zh-CN"/>
        </w:rPr>
        <w:t>3</w:t>
      </w:r>
      <w:r>
        <w:rPr>
          <w:rFonts w:hint="eastAsia" w:eastAsia="仿宋"/>
          <w:spacing w:val="-12"/>
          <w:sz w:val="28"/>
          <w:szCs w:val="28"/>
          <w:lang w:eastAsia="zh-CN"/>
        </w:rPr>
        <w:t>）</w:t>
      </w:r>
      <w:r>
        <w:rPr>
          <w:rFonts w:hint="eastAsia" w:ascii="仿宋" w:hAnsi="仿宋" w:eastAsia="仿宋" w:cs="仿宋"/>
          <w:sz w:val="28"/>
          <w:szCs w:val="28"/>
          <w:lang w:val="en-US" w:eastAsia="zh-CN"/>
        </w:rPr>
        <w:t>《</w:t>
      </w:r>
      <w:r>
        <w:rPr>
          <w:rFonts w:hint="eastAsia"/>
          <w:spacing w:val="-12"/>
          <w:sz w:val="28"/>
          <w:szCs w:val="28"/>
          <w:lang w:eastAsia="zh-CN"/>
        </w:rPr>
        <w:t>天津豪骏车业有限公司</w:t>
      </w:r>
      <w:r>
        <w:rPr>
          <w:rFonts w:hint="eastAsia" w:ascii="仿宋" w:hAnsi="仿宋" w:eastAsia="仿宋" w:cs="仿宋"/>
          <w:sz w:val="28"/>
          <w:szCs w:val="28"/>
          <w:lang w:val="en-US" w:eastAsia="zh-CN"/>
        </w:rPr>
        <w:t>突发环境事件应急预案》20</w:t>
      </w:r>
      <w:r>
        <w:rPr>
          <w:rFonts w:hint="eastAsia" w:ascii="仿宋" w:hAnsi="仿宋" w:cs="仿宋"/>
          <w:sz w:val="28"/>
          <w:szCs w:val="28"/>
          <w:lang w:val="en-US" w:eastAsia="zh-CN"/>
        </w:rPr>
        <w:t>19</w:t>
      </w:r>
      <w:r>
        <w:rPr>
          <w:rFonts w:hint="eastAsia" w:ascii="仿宋" w:hAnsi="仿宋" w:eastAsia="仿宋" w:cs="仿宋"/>
          <w:sz w:val="28"/>
          <w:szCs w:val="28"/>
          <w:lang w:val="en-US" w:eastAsia="zh-CN"/>
        </w:rPr>
        <w:t>年</w:t>
      </w:r>
      <w:r>
        <w:rPr>
          <w:rFonts w:hint="eastAsia" w:ascii="仿宋" w:hAnsi="仿宋" w:cs="仿宋"/>
          <w:sz w:val="28"/>
          <w:szCs w:val="28"/>
          <w:lang w:val="en-US" w:eastAsia="zh-CN"/>
        </w:rPr>
        <w:t>7</w:t>
      </w:r>
      <w:r>
        <w:rPr>
          <w:rFonts w:hint="eastAsia" w:ascii="仿宋" w:hAnsi="仿宋" w:eastAsia="仿宋" w:cs="仿宋"/>
          <w:sz w:val="28"/>
          <w:szCs w:val="28"/>
          <w:highlight w:val="none"/>
          <w:lang w:val="en-US" w:eastAsia="zh-CN"/>
        </w:rPr>
        <w:t>月</w:t>
      </w:r>
      <w:r>
        <w:rPr>
          <w:rFonts w:hint="eastAsia" w:ascii="仿宋" w:hAnsi="仿宋" w:cs="仿宋"/>
          <w:sz w:val="28"/>
          <w:szCs w:val="28"/>
          <w:highlight w:val="none"/>
          <w:lang w:val="en-US" w:eastAsia="zh-CN"/>
        </w:rPr>
        <w:t>12</w:t>
      </w:r>
      <w:r>
        <w:rPr>
          <w:rFonts w:hint="eastAsia" w:ascii="仿宋" w:hAnsi="仿宋" w:eastAsia="仿宋" w:cs="仿宋"/>
          <w:sz w:val="28"/>
          <w:szCs w:val="28"/>
          <w:highlight w:val="none"/>
          <w:lang w:val="en-US" w:eastAsia="zh-CN"/>
        </w:rPr>
        <w:t>日经天津</w:t>
      </w:r>
      <w:r>
        <w:rPr>
          <w:rFonts w:hint="eastAsia" w:ascii="仿宋" w:hAnsi="仿宋" w:cs="仿宋"/>
          <w:sz w:val="28"/>
          <w:szCs w:val="28"/>
          <w:highlight w:val="none"/>
          <w:lang w:val="en-US" w:eastAsia="zh-CN"/>
        </w:rPr>
        <w:t>市滨海新区生态</w:t>
      </w:r>
      <w:r>
        <w:rPr>
          <w:rFonts w:hint="eastAsia" w:ascii="仿宋" w:hAnsi="仿宋" w:eastAsia="仿宋" w:cs="仿宋"/>
          <w:sz w:val="28"/>
          <w:szCs w:val="28"/>
          <w:highlight w:val="none"/>
          <w:lang w:val="en-US" w:eastAsia="zh-CN"/>
        </w:rPr>
        <w:t>环境局备案，备案编号为120116-20</w:t>
      </w:r>
      <w:r>
        <w:rPr>
          <w:rFonts w:hint="eastAsia" w:ascii="仿宋" w:hAnsi="仿宋" w:cs="仿宋"/>
          <w:sz w:val="28"/>
          <w:szCs w:val="28"/>
          <w:highlight w:val="none"/>
          <w:lang w:val="en-US" w:eastAsia="zh-CN"/>
        </w:rPr>
        <w:t>19</w:t>
      </w:r>
      <w:r>
        <w:rPr>
          <w:rFonts w:hint="eastAsia" w:ascii="仿宋" w:hAnsi="仿宋" w:eastAsia="仿宋" w:cs="仿宋"/>
          <w:sz w:val="28"/>
          <w:szCs w:val="28"/>
          <w:highlight w:val="none"/>
          <w:lang w:val="en-US" w:eastAsia="zh-CN"/>
        </w:rPr>
        <w:t>-</w:t>
      </w:r>
      <w:r>
        <w:rPr>
          <w:rFonts w:hint="eastAsia" w:ascii="仿宋" w:hAnsi="仿宋" w:cs="仿宋"/>
          <w:sz w:val="28"/>
          <w:szCs w:val="28"/>
          <w:highlight w:val="none"/>
          <w:lang w:val="en-US" w:eastAsia="zh-CN"/>
        </w:rPr>
        <w:t>190</w:t>
      </w:r>
      <w:r>
        <w:rPr>
          <w:rFonts w:hint="eastAsia" w:ascii="仿宋" w:hAnsi="仿宋" w:eastAsia="仿宋" w:cs="仿宋"/>
          <w:sz w:val="28"/>
          <w:szCs w:val="28"/>
          <w:highlight w:val="none"/>
          <w:lang w:val="en-US" w:eastAsia="zh-CN"/>
        </w:rPr>
        <w:t>-L</w:t>
      </w:r>
      <w:r>
        <w:rPr>
          <w:rFonts w:hint="eastAsia" w:ascii="仿宋" w:hAnsi="仿宋" w:cs="仿宋"/>
          <w:sz w:val="28"/>
          <w:szCs w:val="28"/>
          <w:highlight w:val="none"/>
          <w:lang w:val="en-US" w:eastAsia="zh-CN"/>
        </w:rPr>
        <w:t>；</w:t>
      </w:r>
    </w:p>
    <w:p>
      <w:pPr>
        <w:pStyle w:val="218"/>
        <w:ind w:firstLine="512"/>
        <w:rPr>
          <w:rFonts w:hint="eastAsia" w:eastAsia="仿宋"/>
          <w:spacing w:val="-12"/>
          <w:sz w:val="28"/>
          <w:szCs w:val="28"/>
          <w:lang w:eastAsia="zh-CN"/>
        </w:rPr>
      </w:pPr>
      <w:r>
        <w:rPr>
          <w:rFonts w:eastAsia="仿宋"/>
          <w:spacing w:val="-12"/>
          <w:sz w:val="28"/>
          <w:szCs w:val="28"/>
        </w:rPr>
        <w:t>（</w:t>
      </w:r>
      <w:r>
        <w:rPr>
          <w:rFonts w:hint="eastAsia" w:eastAsia="仿宋"/>
          <w:spacing w:val="-12"/>
          <w:sz w:val="28"/>
          <w:szCs w:val="28"/>
          <w:lang w:val="en-US" w:eastAsia="zh-CN"/>
        </w:rPr>
        <w:t>4</w:t>
      </w:r>
      <w:r>
        <w:rPr>
          <w:rFonts w:eastAsia="仿宋"/>
          <w:spacing w:val="-12"/>
          <w:sz w:val="28"/>
          <w:szCs w:val="28"/>
        </w:rPr>
        <w:t>）企业其他相关技术材料</w:t>
      </w:r>
      <w:r>
        <w:rPr>
          <w:rFonts w:hint="eastAsia" w:eastAsia="仿宋"/>
          <w:spacing w:val="-12"/>
          <w:sz w:val="28"/>
          <w:szCs w:val="28"/>
          <w:lang w:eastAsia="zh-CN"/>
        </w:rPr>
        <w:t>。</w:t>
      </w:r>
    </w:p>
    <w:bookmarkEnd w:id="32"/>
    <w:p>
      <w:pPr>
        <w:sectPr>
          <w:pgSz w:w="11906" w:h="16838"/>
          <w:pgMar w:top="1417" w:right="1417" w:bottom="1134" w:left="1531" w:header="851" w:footer="624" w:gutter="0"/>
          <w:cols w:space="425" w:num="1"/>
          <w:docGrid w:type="lines" w:linePitch="312" w:charSpace="0"/>
        </w:sectPr>
      </w:pPr>
    </w:p>
    <w:p>
      <w:pPr>
        <w:numPr>
          <w:ilvl w:val="0"/>
          <w:numId w:val="0"/>
        </w:numPr>
        <w:outlineLvl w:val="1"/>
        <w:rPr>
          <w:rFonts w:ascii="Times New Roman" w:hAnsi="Times New Roman"/>
          <w:szCs w:val="28"/>
        </w:rPr>
      </w:pPr>
      <w:r>
        <w:rPr>
          <w:rFonts w:ascii="Times New Roman" w:hAnsi="Times New Roman"/>
          <w:b/>
          <w:bCs/>
          <w:szCs w:val="28"/>
        </w:rPr>
        <w:t>1.3适用范围</w:t>
      </w:r>
      <w:bookmarkEnd w:id="22"/>
      <w:bookmarkEnd w:id="23"/>
      <w:bookmarkEnd w:id="33"/>
    </w:p>
    <w:p>
      <w:pPr>
        <w:ind w:firstLine="560" w:firstLineChars="200"/>
        <w:rPr>
          <w:rFonts w:ascii="Times New Roman" w:hAnsi="Times New Roman"/>
          <w:szCs w:val="28"/>
        </w:rPr>
      </w:pPr>
      <w:r>
        <w:rPr>
          <w:rFonts w:ascii="Times New Roman" w:hAnsi="Times New Roman"/>
          <w:szCs w:val="28"/>
        </w:rPr>
        <w:t>本预案适用于</w:t>
      </w:r>
      <w:r>
        <w:rPr>
          <w:rFonts w:hint="eastAsia" w:ascii="Times New Roman" w:hAnsi="Times New Roman"/>
          <w:szCs w:val="28"/>
          <w:lang w:val="en-US" w:eastAsia="zh-CN"/>
        </w:rPr>
        <w:t>位于</w:t>
      </w:r>
      <w:r>
        <w:rPr>
          <w:rFonts w:hint="eastAsia"/>
          <w:szCs w:val="24"/>
          <w:lang w:eastAsia="zh-CN"/>
        </w:rPr>
        <w:t>天津市滨海新区中塘镇中塘工业区国安二道西段</w:t>
      </w:r>
      <w:r>
        <w:rPr>
          <w:rFonts w:hint="eastAsia" w:ascii="Times New Roman" w:hAnsi="Times New Roman"/>
          <w:szCs w:val="28"/>
          <w:lang w:val="en-US" w:eastAsia="zh-CN"/>
        </w:rPr>
        <w:t>天津豪骏车业有限公司</w:t>
      </w:r>
      <w:r>
        <w:rPr>
          <w:rFonts w:hint="eastAsia" w:ascii="Times New Roman" w:hAnsi="Times New Roman"/>
          <w:szCs w:val="28"/>
        </w:rPr>
        <w:t>所属全部区域的</w:t>
      </w:r>
      <w:r>
        <w:rPr>
          <w:rFonts w:ascii="Times New Roman" w:hAnsi="Times New Roman"/>
          <w:szCs w:val="28"/>
        </w:rPr>
        <w:t>突发环境事件，</w:t>
      </w:r>
      <w:r>
        <w:rPr>
          <w:rFonts w:hint="eastAsia" w:ascii="Times New Roman" w:hAnsi="Times New Roman"/>
          <w:szCs w:val="28"/>
        </w:rPr>
        <w:t>以及外部突发事件引发的本公司突发环境事件或次生的环境污染事件。</w:t>
      </w:r>
      <w:r>
        <w:rPr>
          <w:rFonts w:ascii="Times New Roman" w:hAnsi="Times New Roman"/>
          <w:szCs w:val="28"/>
        </w:rPr>
        <w:t>具体内容包括风险物质泄漏以及火灾、爆炸次生的环境事件，明确规定了应急预警、响应、监测、终止、恢复等工作内容。</w:t>
      </w:r>
    </w:p>
    <w:p>
      <w:pPr>
        <w:outlineLvl w:val="1"/>
        <w:rPr>
          <w:rFonts w:ascii="Times New Roman" w:hAnsi="Times New Roman"/>
          <w:szCs w:val="28"/>
        </w:rPr>
      </w:pPr>
      <w:bookmarkStart w:id="35" w:name="_Toc24098"/>
      <w:bookmarkStart w:id="36" w:name="_Toc5761_WPSOffice_Level2"/>
      <w:bookmarkStart w:id="37" w:name="_Toc14891"/>
      <w:r>
        <w:rPr>
          <w:rFonts w:ascii="Times New Roman" w:hAnsi="Times New Roman"/>
          <w:b/>
          <w:bCs/>
          <w:szCs w:val="28"/>
        </w:rPr>
        <w:t>1.4工作原则</w:t>
      </w:r>
      <w:bookmarkEnd w:id="35"/>
      <w:bookmarkEnd w:id="36"/>
      <w:bookmarkEnd w:id="37"/>
    </w:p>
    <w:p>
      <w:pPr>
        <w:ind w:firstLine="560" w:firstLineChars="200"/>
        <w:rPr>
          <w:rFonts w:ascii="Times New Roman" w:hAnsi="Times New Roman"/>
          <w:szCs w:val="28"/>
        </w:rPr>
      </w:pPr>
      <w:r>
        <w:rPr>
          <w:rFonts w:ascii="Times New Roman" w:hAnsi="Times New Roman"/>
          <w:szCs w:val="28"/>
        </w:rPr>
        <w:t>符合国家有关规定和要求，结合本单位实际；救人第一、环境优先；先期处置、防止危害扩大；快速响应、科学应对；应急工作与岗位职责相结合。</w:t>
      </w:r>
    </w:p>
    <w:p>
      <w:pPr>
        <w:outlineLvl w:val="1"/>
        <w:rPr>
          <w:rFonts w:ascii="Times New Roman" w:hAnsi="Times New Roman"/>
          <w:b/>
          <w:bCs/>
          <w:szCs w:val="28"/>
        </w:rPr>
      </w:pPr>
      <w:bookmarkStart w:id="38" w:name="_Toc21344_WPSOffice_Level2"/>
      <w:bookmarkStart w:id="39" w:name="_Toc7920"/>
      <w:bookmarkStart w:id="40" w:name="_Toc17443"/>
      <w:r>
        <w:rPr>
          <w:rFonts w:ascii="Times New Roman" w:hAnsi="Times New Roman"/>
          <w:b/>
          <w:bCs/>
          <w:szCs w:val="28"/>
        </w:rPr>
        <w:t>1.5应急预案体系</w:t>
      </w:r>
      <w:bookmarkEnd w:id="38"/>
      <w:bookmarkEnd w:id="39"/>
      <w:bookmarkEnd w:id="40"/>
    </w:p>
    <w:p>
      <w:pPr>
        <w:ind w:firstLine="560"/>
        <w:rPr>
          <w:rFonts w:ascii="Times New Roman" w:hAnsi="Times New Roman"/>
          <w:szCs w:val="28"/>
        </w:rPr>
      </w:pPr>
      <w:r>
        <w:rPr>
          <w:rFonts w:ascii="Times New Roman" w:hAnsi="Times New Roman"/>
          <w:szCs w:val="28"/>
        </w:rPr>
        <w:t>本预案为突发环境事件应急预案，定位于控制并减轻、消除污染，与本公司生产安全事故应急预案有机衔接、清晰界定、相互支持，与</w:t>
      </w:r>
      <w:r>
        <w:rPr>
          <w:rFonts w:hint="eastAsia" w:ascii="Times New Roman" w:hAnsi="Times New Roman"/>
          <w:szCs w:val="28"/>
          <w:lang w:val="en-US" w:eastAsia="zh-CN"/>
        </w:rPr>
        <w:t>天津市经济技术开发区</w:t>
      </w:r>
      <w:r>
        <w:rPr>
          <w:rFonts w:ascii="Times New Roman" w:hAnsi="Times New Roman"/>
          <w:szCs w:val="28"/>
        </w:rPr>
        <w:t>突发环境事件应急预案协调一致、相互配合。</w:t>
      </w:r>
    </w:p>
    <w:p>
      <w:pPr>
        <w:ind w:firstLine="560"/>
        <w:rPr>
          <w:rFonts w:ascii="Times New Roman" w:hAnsi="Times New Roman"/>
          <w:szCs w:val="28"/>
        </w:rPr>
      </w:pPr>
      <w:r>
        <w:rPr>
          <w:rFonts w:ascii="Times New Roman" w:hAnsi="Times New Roman"/>
          <w:szCs w:val="28"/>
        </w:rPr>
        <w:t>当公司发生安全事故时，启动生产安全事故综合应急预案，同时做好突发环境事件的预警工作。一旦突发环境事件，立即启动本预案。</w:t>
      </w:r>
    </w:p>
    <w:p>
      <w:pPr>
        <w:jc w:val="center"/>
        <w:rPr>
          <w:rFonts w:hint="eastAsia" w:ascii="Times New Roman" w:hAnsi="Times New Roman" w:eastAsia="仿宋"/>
          <w:szCs w:val="28"/>
          <w:lang w:eastAsia="zh-CN"/>
        </w:rPr>
      </w:pPr>
      <w:r>
        <w:rPr>
          <w:rFonts w:hint="eastAsia" w:ascii="Times New Roman" w:hAnsi="Times New Roman" w:eastAsia="仿宋"/>
          <w:szCs w:val="28"/>
          <w:lang w:eastAsia="zh-CN"/>
        </w:rPr>
        <w:pict>
          <v:shape id="ECB019B1-382A-4266-B25C-5B523AA43C14-1" o:spid="ECB019B1-382A-4266-B25C-5B523AA43C14-1" o:spt="75" alt="wps" type="#_x0000_t75" style="height:306.2pt;width:374.8pt;" filled="f" o:preferrelative="t" stroked="f" coordsize="21600,21600">
            <v:path/>
            <v:fill on="f" focussize="0,0"/>
            <v:stroke on="f"/>
            <v:imagedata r:id="rId14" o:title="wps"/>
            <o:lock v:ext="edit" aspectratio="t"/>
            <w10:wrap type="none"/>
            <w10:anchorlock/>
          </v:shape>
        </w:pict>
      </w:r>
    </w:p>
    <w:p>
      <w:pPr>
        <w:jc w:val="both"/>
        <w:rPr>
          <w:rFonts w:ascii="Times New Roman" w:hAnsi="Times New Roman"/>
          <w:szCs w:val="28"/>
        </w:rPr>
      </w:pPr>
      <w:r>
        <w:rPr>
          <w:rFonts w:hint="eastAsia" w:ascii="Times New Roman" w:hAnsi="Times New Roman"/>
          <w:szCs w:val="28"/>
          <w:lang w:val="en-US" w:eastAsia="zh-CN"/>
        </w:rPr>
        <w:t xml:space="preserve">       </w:t>
      </w:r>
    </w:p>
    <w:p>
      <w:pPr>
        <w:jc w:val="center"/>
        <w:rPr>
          <w:rFonts w:ascii="仿宋" w:hAnsi="仿宋"/>
        </w:rPr>
      </w:pPr>
      <w:r>
        <w:rPr>
          <w:rFonts w:ascii="仿宋" w:hAnsi="仿宋"/>
          <w:sz w:val="24"/>
          <w:szCs w:val="24"/>
        </w:rPr>
        <w:t>图</w:t>
      </w:r>
      <w:r>
        <w:rPr>
          <w:rFonts w:hint="eastAsia" w:ascii="仿宋" w:hAnsi="仿宋"/>
          <w:sz w:val="24"/>
          <w:szCs w:val="24"/>
        </w:rPr>
        <w:t>1</w:t>
      </w:r>
      <w:r>
        <w:rPr>
          <w:rFonts w:hint="eastAsia" w:ascii="仿宋" w:hAnsi="仿宋"/>
          <w:sz w:val="24"/>
          <w:szCs w:val="24"/>
          <w:lang w:val="en-US" w:eastAsia="zh-CN"/>
        </w:rPr>
        <w:t>-</w:t>
      </w:r>
      <w:r>
        <w:rPr>
          <w:rFonts w:hint="eastAsia" w:ascii="仿宋" w:hAnsi="仿宋"/>
          <w:sz w:val="24"/>
          <w:szCs w:val="24"/>
        </w:rPr>
        <w:t>5-1</w:t>
      </w:r>
      <w:r>
        <w:rPr>
          <w:rFonts w:ascii="仿宋" w:hAnsi="仿宋"/>
          <w:sz w:val="24"/>
          <w:szCs w:val="24"/>
        </w:rPr>
        <w:t xml:space="preserve">  应急预案体系关系</w:t>
      </w:r>
      <w:bookmarkStart w:id="41" w:name="_Toc10585_WPSOffice_Level1"/>
    </w:p>
    <w:p>
      <w:pPr>
        <w:outlineLvl w:val="9"/>
        <w:rPr>
          <w:rFonts w:ascii="Times New Roman" w:hAnsi="Times New Roman"/>
          <w:b/>
          <w:bCs/>
          <w:szCs w:val="28"/>
        </w:rPr>
        <w:sectPr>
          <w:headerReference r:id="rId10" w:type="default"/>
          <w:footerReference r:id="rId11" w:type="default"/>
          <w:pgSz w:w="12240" w:h="15840"/>
          <w:pgMar w:top="1440" w:right="1800" w:bottom="1440" w:left="1800" w:header="720" w:footer="720" w:gutter="0"/>
          <w:pgNumType w:start="1"/>
          <w:cols w:space="720" w:num="1"/>
        </w:sectPr>
      </w:pPr>
    </w:p>
    <w:p>
      <w:pPr>
        <w:outlineLvl w:val="0"/>
        <w:rPr>
          <w:rFonts w:ascii="Times New Roman" w:hAnsi="Times New Roman"/>
          <w:b/>
          <w:bCs/>
          <w:szCs w:val="28"/>
        </w:rPr>
      </w:pPr>
      <w:bookmarkStart w:id="42" w:name="_Toc10040"/>
      <w:bookmarkStart w:id="43" w:name="_Toc7301"/>
      <w:r>
        <w:rPr>
          <w:rFonts w:hint="eastAsia" w:ascii="Times New Roman" w:hAnsi="Times New Roman"/>
          <w:b/>
          <w:bCs/>
          <w:szCs w:val="28"/>
        </w:rPr>
        <w:t>2</w:t>
      </w:r>
      <w:r>
        <w:rPr>
          <w:rFonts w:ascii="Times New Roman" w:hAnsi="Times New Roman"/>
          <w:b/>
          <w:bCs/>
          <w:szCs w:val="28"/>
        </w:rPr>
        <w:t>.企业基本情况</w:t>
      </w:r>
      <w:bookmarkEnd w:id="41"/>
      <w:bookmarkEnd w:id="42"/>
      <w:bookmarkEnd w:id="43"/>
    </w:p>
    <w:p>
      <w:pPr>
        <w:outlineLvl w:val="1"/>
        <w:rPr>
          <w:rFonts w:ascii="Times New Roman" w:hAnsi="Times New Roman"/>
          <w:szCs w:val="28"/>
        </w:rPr>
      </w:pPr>
      <w:bookmarkStart w:id="44" w:name="_Toc21356"/>
      <w:bookmarkStart w:id="45" w:name="_Toc21621"/>
      <w:r>
        <w:rPr>
          <w:rFonts w:hint="eastAsia" w:ascii="Times New Roman" w:hAnsi="Times New Roman"/>
          <w:b/>
          <w:bCs/>
          <w:szCs w:val="28"/>
        </w:rPr>
        <w:t>2</w:t>
      </w:r>
      <w:r>
        <w:rPr>
          <w:rFonts w:ascii="Times New Roman" w:hAnsi="Times New Roman"/>
          <w:b/>
          <w:bCs/>
          <w:szCs w:val="28"/>
        </w:rPr>
        <w:t>.1基本信息</w:t>
      </w:r>
      <w:bookmarkEnd w:id="44"/>
      <w:bookmarkEnd w:id="45"/>
    </w:p>
    <w:p>
      <w:pPr>
        <w:jc w:val="center"/>
        <w:rPr>
          <w:rFonts w:hint="eastAsia" w:ascii="仿宋" w:hAnsi="仿宋" w:eastAsia="仿宋" w:cs="仿宋"/>
          <w:sz w:val="24"/>
          <w:szCs w:val="24"/>
        </w:rPr>
      </w:pPr>
      <w:r>
        <w:rPr>
          <w:rFonts w:hint="eastAsia" w:ascii="仿宋" w:hAnsi="仿宋" w:eastAsia="仿宋" w:cs="仿宋"/>
          <w:sz w:val="24"/>
          <w:szCs w:val="24"/>
        </w:rPr>
        <w:t>表2</w:t>
      </w:r>
      <w:r>
        <w:rPr>
          <w:rFonts w:hint="eastAsia" w:ascii="仿宋" w:hAnsi="仿宋" w:eastAsia="仿宋" w:cs="仿宋"/>
          <w:sz w:val="24"/>
          <w:szCs w:val="24"/>
          <w:lang w:val="en-US" w:eastAsia="zh-CN"/>
        </w:rPr>
        <w:t>-</w:t>
      </w:r>
      <w:r>
        <w:rPr>
          <w:rFonts w:hint="eastAsia" w:ascii="仿宋" w:hAnsi="仿宋" w:eastAsia="仿宋" w:cs="仿宋"/>
          <w:sz w:val="24"/>
          <w:szCs w:val="24"/>
        </w:rPr>
        <w:t>1-1  企业基本信息汇总</w:t>
      </w:r>
    </w:p>
    <w:tbl>
      <w:tblPr>
        <w:tblStyle w:val="4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9"/>
        <w:gridCol w:w="71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4" w:type="pct"/>
            <w:shd w:val="clear" w:color="auto" w:fill="D7D7D7"/>
            <w:vAlign w:val="center"/>
          </w:tcPr>
          <w:p>
            <w:pPr>
              <w:spacing w:line="24" w:lineRule="atLeast"/>
              <w:jc w:val="center"/>
              <w:rPr>
                <w:rFonts w:hint="eastAsia" w:ascii="仿宋" w:hAnsi="仿宋" w:eastAsia="仿宋" w:cs="仿宋"/>
                <w:sz w:val="24"/>
                <w:szCs w:val="24"/>
              </w:rPr>
            </w:pPr>
            <w:r>
              <w:rPr>
                <w:rFonts w:hint="eastAsia" w:ascii="仿宋" w:hAnsi="仿宋" w:eastAsia="仿宋" w:cs="仿宋"/>
                <w:sz w:val="24"/>
                <w:szCs w:val="24"/>
              </w:rPr>
              <w:t>单位名称</w:t>
            </w:r>
          </w:p>
        </w:tc>
        <w:tc>
          <w:tcPr>
            <w:tcW w:w="4045" w:type="pct"/>
            <w:vAlign w:val="center"/>
          </w:tcPr>
          <w:p>
            <w:pPr>
              <w:spacing w:line="24" w:lineRule="atLeas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天津豪骏车业有限公司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4" w:type="pct"/>
            <w:shd w:val="clear" w:color="auto" w:fill="D7D7D7"/>
            <w:vAlign w:val="center"/>
          </w:tcPr>
          <w:p>
            <w:pPr>
              <w:spacing w:line="24" w:lineRule="atLeast"/>
              <w:jc w:val="center"/>
              <w:rPr>
                <w:rFonts w:hint="eastAsia" w:ascii="仿宋" w:hAnsi="仿宋" w:eastAsia="仿宋" w:cs="仿宋"/>
                <w:sz w:val="24"/>
                <w:szCs w:val="24"/>
              </w:rPr>
            </w:pPr>
            <w:r>
              <w:rPr>
                <w:rFonts w:hint="eastAsia" w:ascii="仿宋" w:hAnsi="仿宋" w:eastAsia="仿宋" w:cs="仿宋"/>
                <w:sz w:val="24"/>
                <w:szCs w:val="24"/>
              </w:rPr>
              <w:t>组织机构代码</w:t>
            </w:r>
          </w:p>
        </w:tc>
        <w:tc>
          <w:tcPr>
            <w:tcW w:w="4045" w:type="pct"/>
            <w:vAlign w:val="center"/>
          </w:tcPr>
          <w:p>
            <w:pPr>
              <w:pStyle w:val="107"/>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9112011MA0606B7CM8T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4" w:type="pct"/>
            <w:shd w:val="clear" w:color="auto" w:fill="D7D7D7"/>
            <w:vAlign w:val="center"/>
          </w:tcPr>
          <w:p>
            <w:pPr>
              <w:spacing w:line="24" w:lineRule="atLeast"/>
              <w:jc w:val="center"/>
              <w:rPr>
                <w:rFonts w:hint="eastAsia" w:ascii="仿宋" w:hAnsi="仿宋" w:eastAsia="仿宋" w:cs="仿宋"/>
                <w:sz w:val="24"/>
                <w:szCs w:val="24"/>
              </w:rPr>
            </w:pPr>
            <w:r>
              <w:rPr>
                <w:rFonts w:hint="eastAsia" w:ascii="仿宋" w:hAnsi="仿宋" w:eastAsia="仿宋" w:cs="仿宋"/>
                <w:sz w:val="24"/>
                <w:szCs w:val="24"/>
              </w:rPr>
              <w:t>法定代表人</w:t>
            </w:r>
          </w:p>
        </w:tc>
        <w:tc>
          <w:tcPr>
            <w:tcW w:w="4045" w:type="pct"/>
            <w:vAlign w:val="center"/>
          </w:tcPr>
          <w:p>
            <w:pPr>
              <w:pStyle w:val="107"/>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邹树军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4" w:type="pct"/>
            <w:shd w:val="clear" w:color="auto" w:fill="D7D7D7"/>
            <w:vAlign w:val="center"/>
          </w:tcPr>
          <w:p>
            <w:pPr>
              <w:spacing w:line="24" w:lineRule="atLeast"/>
              <w:jc w:val="center"/>
              <w:rPr>
                <w:rFonts w:hint="eastAsia" w:ascii="仿宋" w:hAnsi="仿宋" w:eastAsia="仿宋" w:cs="仿宋"/>
                <w:sz w:val="24"/>
                <w:szCs w:val="24"/>
              </w:rPr>
            </w:pPr>
            <w:r>
              <w:rPr>
                <w:rFonts w:hint="eastAsia" w:ascii="仿宋" w:hAnsi="仿宋" w:eastAsia="仿宋" w:cs="仿宋"/>
                <w:sz w:val="24"/>
                <w:szCs w:val="24"/>
              </w:rPr>
              <w:t>单位所在地</w:t>
            </w:r>
          </w:p>
        </w:tc>
        <w:tc>
          <w:tcPr>
            <w:tcW w:w="4045" w:type="pct"/>
            <w:vAlign w:val="center"/>
          </w:tcPr>
          <w:p>
            <w:pPr>
              <w:pStyle w:val="107"/>
              <w:rPr>
                <w:rFonts w:hint="default" w:ascii="仿宋" w:hAnsi="仿宋" w:eastAsia="仿宋" w:cs="仿宋"/>
                <w:color w:val="000000"/>
                <w:kern w:val="2"/>
                <w:sz w:val="24"/>
                <w:szCs w:val="24"/>
                <w:lang w:val="en-US" w:eastAsia="zh-CN" w:bidi="ar-SA"/>
              </w:rPr>
            </w:pPr>
            <w:r>
              <w:rPr>
                <w:rFonts w:hint="eastAsia" w:ascii="仿宋" w:hAnsi="仿宋" w:cs="仿宋"/>
                <w:color w:val="000000"/>
                <w:kern w:val="2"/>
                <w:sz w:val="24"/>
                <w:szCs w:val="24"/>
                <w:lang w:val="en-US" w:eastAsia="zh-CN" w:bidi="ar-SA"/>
              </w:rPr>
              <w:t>天津市滨海新区中塘镇中塘工业区国安二道西段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4" w:type="pct"/>
            <w:shd w:val="clear" w:color="auto" w:fill="D7D7D7"/>
            <w:vAlign w:val="center"/>
          </w:tcPr>
          <w:p>
            <w:pPr>
              <w:spacing w:line="24" w:lineRule="atLeast"/>
              <w:jc w:val="center"/>
              <w:rPr>
                <w:rFonts w:hint="eastAsia" w:ascii="仿宋" w:hAnsi="仿宋" w:eastAsia="仿宋" w:cs="仿宋"/>
                <w:sz w:val="24"/>
                <w:szCs w:val="24"/>
              </w:rPr>
            </w:pPr>
            <w:r>
              <w:rPr>
                <w:rFonts w:hint="eastAsia" w:ascii="仿宋" w:hAnsi="仿宋" w:eastAsia="仿宋" w:cs="仿宋"/>
                <w:sz w:val="24"/>
                <w:szCs w:val="24"/>
              </w:rPr>
              <w:t>经度坐标</w:t>
            </w:r>
          </w:p>
        </w:tc>
        <w:tc>
          <w:tcPr>
            <w:tcW w:w="4045" w:type="pct"/>
            <w:vAlign w:val="center"/>
          </w:tcPr>
          <w:p>
            <w:pPr>
              <w:pStyle w:val="107"/>
              <w:rPr>
                <w:rFonts w:hint="eastAsia" w:ascii="仿宋" w:hAnsi="仿宋" w:eastAsia="仿宋" w:cs="仿宋"/>
                <w:color w:val="000000"/>
                <w:kern w:val="2"/>
                <w:sz w:val="24"/>
                <w:szCs w:val="24"/>
                <w:lang w:val="en-US" w:eastAsia="zh-CN" w:bidi="ar-SA"/>
              </w:rPr>
            </w:pPr>
            <w:r>
              <w:rPr>
                <w:rFonts w:hint="eastAsia" w:ascii="仿宋" w:hAnsi="仿宋" w:eastAsia="仿宋" w:cs="仿宋"/>
                <w:sz w:val="24"/>
                <w:szCs w:val="24"/>
                <w:lang w:val="en-US" w:eastAsia="zh-CN"/>
              </w:rPr>
              <w:t>E117.251794°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4" w:type="pct"/>
            <w:shd w:val="clear" w:color="auto" w:fill="D7D7D7"/>
            <w:vAlign w:val="center"/>
          </w:tcPr>
          <w:p>
            <w:pPr>
              <w:spacing w:line="24" w:lineRule="atLeast"/>
              <w:jc w:val="center"/>
              <w:rPr>
                <w:rFonts w:hint="eastAsia" w:ascii="仿宋" w:hAnsi="仿宋" w:eastAsia="仿宋" w:cs="仿宋"/>
                <w:sz w:val="24"/>
                <w:szCs w:val="24"/>
              </w:rPr>
            </w:pPr>
            <w:r>
              <w:rPr>
                <w:rFonts w:hint="eastAsia" w:ascii="仿宋" w:hAnsi="仿宋" w:eastAsia="仿宋" w:cs="仿宋"/>
                <w:sz w:val="24"/>
                <w:szCs w:val="24"/>
              </w:rPr>
              <w:t>纬度坐标</w:t>
            </w:r>
          </w:p>
        </w:tc>
        <w:tc>
          <w:tcPr>
            <w:tcW w:w="4045" w:type="pct"/>
            <w:vAlign w:val="center"/>
          </w:tcPr>
          <w:p>
            <w:pPr>
              <w:pStyle w:val="107"/>
              <w:rPr>
                <w:rFonts w:hint="eastAsia" w:ascii="仿宋" w:hAnsi="仿宋" w:eastAsia="仿宋" w:cs="仿宋"/>
                <w:color w:val="000000"/>
                <w:kern w:val="2"/>
                <w:sz w:val="24"/>
                <w:szCs w:val="24"/>
                <w:lang w:val="en-US" w:eastAsia="zh-CN" w:bidi="ar-SA"/>
              </w:rPr>
            </w:pPr>
            <w:r>
              <w:rPr>
                <w:rFonts w:hint="eastAsia" w:ascii="仿宋" w:hAnsi="仿宋" w:eastAsia="仿宋" w:cs="仿宋"/>
                <w:sz w:val="24"/>
                <w:szCs w:val="24"/>
                <w:lang w:val="en-US" w:eastAsia="zh-CN"/>
              </w:rPr>
              <w:t>N39.503789°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54" w:type="pct"/>
            <w:shd w:val="clear" w:color="auto" w:fill="D7D7D7"/>
            <w:vAlign w:val="center"/>
          </w:tcPr>
          <w:p>
            <w:pPr>
              <w:spacing w:line="24" w:lineRule="atLeast"/>
              <w:jc w:val="center"/>
              <w:rPr>
                <w:rFonts w:hint="eastAsia" w:ascii="仿宋" w:hAnsi="仿宋" w:eastAsia="仿宋" w:cs="仿宋"/>
                <w:sz w:val="24"/>
                <w:szCs w:val="24"/>
              </w:rPr>
            </w:pPr>
            <w:r>
              <w:rPr>
                <w:rFonts w:hint="eastAsia" w:ascii="仿宋" w:hAnsi="仿宋" w:eastAsia="仿宋" w:cs="仿宋"/>
                <w:sz w:val="24"/>
                <w:szCs w:val="24"/>
              </w:rPr>
              <w:t>所属行业类别</w:t>
            </w:r>
          </w:p>
        </w:tc>
        <w:tc>
          <w:tcPr>
            <w:tcW w:w="4045" w:type="pct"/>
            <w:vAlign w:val="center"/>
          </w:tcPr>
          <w:p>
            <w:pPr>
              <w:pStyle w:val="107"/>
              <w:rPr>
                <w:rFonts w:hint="eastAsia" w:ascii="仿宋" w:hAnsi="仿宋" w:eastAsia="仿宋" w:cs="仿宋"/>
                <w:color w:val="000000"/>
                <w:kern w:val="2"/>
                <w:sz w:val="24"/>
                <w:szCs w:val="24"/>
                <w:lang w:val="en-US" w:eastAsia="zh-CN" w:bidi="ar-SA"/>
              </w:rPr>
            </w:pPr>
            <w:r>
              <w:rPr>
                <w:rFonts w:hint="default" w:ascii="仿宋" w:hAnsi="仿宋" w:eastAsia="仿宋" w:cs="仿宋"/>
                <w:kern w:val="2"/>
                <w:sz w:val="24"/>
                <w:szCs w:val="24"/>
                <w:lang w:val="en-US" w:eastAsia="zh-CN" w:bidi="ar-SA"/>
              </w:rPr>
              <w:t>C3770助动车制造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4" w:type="pct"/>
            <w:shd w:val="clear" w:color="auto" w:fill="D7D7D7"/>
            <w:vAlign w:val="center"/>
          </w:tcPr>
          <w:p>
            <w:pPr>
              <w:spacing w:line="24" w:lineRule="atLeast"/>
              <w:jc w:val="center"/>
              <w:rPr>
                <w:rFonts w:hint="eastAsia" w:ascii="仿宋" w:hAnsi="仿宋" w:eastAsia="仿宋" w:cs="仿宋"/>
                <w:sz w:val="24"/>
                <w:szCs w:val="24"/>
              </w:rPr>
            </w:pPr>
            <w:r>
              <w:rPr>
                <w:rFonts w:hint="eastAsia" w:ascii="仿宋" w:hAnsi="仿宋" w:eastAsia="仿宋" w:cs="仿宋"/>
                <w:sz w:val="24"/>
                <w:szCs w:val="24"/>
              </w:rPr>
              <w:t>联系人</w:t>
            </w:r>
          </w:p>
        </w:tc>
        <w:tc>
          <w:tcPr>
            <w:tcW w:w="4045" w:type="pct"/>
            <w:vAlign w:val="center"/>
          </w:tcPr>
          <w:p>
            <w:pPr>
              <w:spacing w:line="24" w:lineRule="atLeas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汤共平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4" w:type="pct"/>
            <w:shd w:val="clear" w:color="auto" w:fill="D7D7D7"/>
            <w:vAlign w:val="center"/>
          </w:tcPr>
          <w:p>
            <w:pPr>
              <w:spacing w:line="24" w:lineRule="atLeast"/>
              <w:jc w:val="center"/>
              <w:rPr>
                <w:rFonts w:hint="eastAsia" w:ascii="仿宋" w:hAnsi="仿宋" w:eastAsia="仿宋" w:cs="仿宋"/>
                <w:sz w:val="24"/>
                <w:szCs w:val="24"/>
              </w:rPr>
            </w:pPr>
            <w:r>
              <w:rPr>
                <w:rFonts w:hint="eastAsia" w:ascii="仿宋" w:hAnsi="仿宋" w:eastAsia="仿宋" w:cs="仿宋"/>
                <w:sz w:val="24"/>
                <w:szCs w:val="24"/>
              </w:rPr>
              <w:t>联系电</w:t>
            </w:r>
            <w:r>
              <w:rPr>
                <w:rFonts w:hint="eastAsia" w:ascii="仿宋" w:hAnsi="仿宋" w:eastAsia="仿宋" w:cs="仿宋"/>
                <w:sz w:val="24"/>
                <w:szCs w:val="24"/>
                <w:highlight w:val="none"/>
              </w:rPr>
              <w:t>话</w:t>
            </w:r>
          </w:p>
        </w:tc>
        <w:tc>
          <w:tcPr>
            <w:tcW w:w="4045" w:type="pct"/>
            <w:vAlign w:val="center"/>
          </w:tcPr>
          <w:p>
            <w:pPr>
              <w:spacing w:line="24" w:lineRule="atLeas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 xml:space="preserve"> 13323451081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4" w:type="pct"/>
            <w:shd w:val="clear" w:color="auto" w:fill="D7D7D7"/>
            <w:vAlign w:val="center"/>
          </w:tcPr>
          <w:p>
            <w:pPr>
              <w:spacing w:line="24" w:lineRule="atLeast"/>
              <w:jc w:val="center"/>
              <w:rPr>
                <w:rFonts w:hint="eastAsia" w:ascii="仿宋" w:hAnsi="仿宋" w:eastAsia="仿宋" w:cs="仿宋"/>
                <w:sz w:val="24"/>
                <w:szCs w:val="24"/>
              </w:rPr>
            </w:pPr>
            <w:r>
              <w:rPr>
                <w:rFonts w:hint="eastAsia" w:ascii="仿宋" w:hAnsi="仿宋" w:eastAsia="仿宋" w:cs="仿宋"/>
                <w:sz w:val="24"/>
                <w:szCs w:val="24"/>
                <w:lang w:val="en-US" w:eastAsia="zh-CN"/>
              </w:rPr>
              <w:t>厂区</w:t>
            </w:r>
            <w:r>
              <w:rPr>
                <w:rFonts w:hint="eastAsia" w:ascii="仿宋" w:hAnsi="仿宋" w:eastAsia="仿宋" w:cs="仿宋"/>
                <w:sz w:val="24"/>
                <w:szCs w:val="24"/>
              </w:rPr>
              <w:t>面积</w:t>
            </w:r>
          </w:p>
        </w:tc>
        <w:tc>
          <w:tcPr>
            <w:tcW w:w="4045" w:type="pct"/>
            <w:vAlign w:val="center"/>
          </w:tcPr>
          <w:p>
            <w:pPr>
              <w:spacing w:line="24" w:lineRule="atLeast"/>
              <w:jc w:val="center"/>
              <w:rPr>
                <w:rFonts w:hint="eastAsia" w:ascii="仿宋" w:hAnsi="仿宋" w:eastAsia="仿宋" w:cs="仿宋"/>
                <w:sz w:val="24"/>
                <w:szCs w:val="24"/>
              </w:rPr>
            </w:pPr>
            <w:r>
              <w:rPr>
                <w:rFonts w:hint="default" w:ascii="仿宋" w:hAnsi="仿宋" w:eastAsia="仿宋" w:cs="仿宋"/>
                <w:kern w:val="2"/>
                <w:sz w:val="24"/>
                <w:szCs w:val="24"/>
                <w:lang w:val="en-US" w:eastAsia="zh-CN" w:bidi="ar-SA"/>
              </w:rPr>
              <w:t>9854m</w:t>
            </w:r>
            <w:r>
              <w:rPr>
                <w:rFonts w:hint="default" w:ascii="仿宋" w:hAnsi="仿宋" w:eastAsia="仿宋" w:cs="仿宋"/>
                <w:kern w:val="2"/>
                <w:sz w:val="24"/>
                <w:szCs w:val="24"/>
                <w:vertAlign w:val="superscript"/>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4" w:type="pct"/>
            <w:shd w:val="clear" w:color="auto" w:fill="D7D7D7"/>
            <w:vAlign w:val="center"/>
          </w:tcPr>
          <w:p>
            <w:pPr>
              <w:spacing w:line="24" w:lineRule="atLeast"/>
              <w:jc w:val="center"/>
              <w:rPr>
                <w:rFonts w:hint="eastAsia" w:ascii="仿宋" w:hAnsi="仿宋" w:eastAsia="仿宋" w:cs="仿宋"/>
                <w:sz w:val="24"/>
                <w:szCs w:val="24"/>
              </w:rPr>
            </w:pPr>
            <w:r>
              <w:rPr>
                <w:rFonts w:hint="eastAsia" w:ascii="仿宋" w:hAnsi="仿宋" w:eastAsia="仿宋" w:cs="仿宋"/>
                <w:sz w:val="24"/>
                <w:szCs w:val="24"/>
              </w:rPr>
              <w:t>环保手续履行情况</w:t>
            </w:r>
          </w:p>
        </w:tc>
        <w:tc>
          <w:tcPr>
            <w:tcW w:w="4045" w:type="pct"/>
            <w:vAlign w:val="center"/>
          </w:tcPr>
          <w:p>
            <w:pPr>
              <w:pStyle w:val="218"/>
              <w:ind w:left="0" w:leftChars="0" w:firstLine="0" w:firstLineChars="0"/>
              <w:rPr>
                <w:rFonts w:hint="eastAsia" w:ascii="仿宋" w:hAnsi="仿宋" w:eastAsia="仿宋" w:cs="仿宋"/>
                <w:sz w:val="24"/>
                <w:szCs w:val="24"/>
              </w:rPr>
            </w:pPr>
            <w:r>
              <w:rPr>
                <w:rFonts w:hint="eastAsia" w:ascii="仿宋" w:hAnsi="仿宋" w:cs="仿宋"/>
                <w:kern w:val="2"/>
                <w:sz w:val="24"/>
                <w:szCs w:val="24"/>
                <w:lang w:val="en-US" w:eastAsia="zh-CN" w:bidi="ar-SA"/>
              </w:rPr>
              <w:t>《关于天津豪骏车业有限公司扩建项目环境影响报告表的批复》津滨中塘环准（2020）26号（2020年9月7日）；《天津豪骏车业有限公司扩建项目（一阶段）竣工环境保护验收意见》（2020年12月6日），《天津豪骏车业有限公司排污许可登记》登记编码：91120116MA06B7CM8T001Z （2020年3月14日）；《天津豪骏车也有限公司突发环境事件应急预案》备案号为：120116-2019-190-L(2019年7月12日)</w:t>
            </w:r>
          </w:p>
        </w:tc>
      </w:tr>
    </w:tbl>
    <w:p>
      <w:pPr>
        <w:outlineLvl w:val="1"/>
        <w:rPr>
          <w:rFonts w:ascii="Times New Roman" w:hAnsi="Times New Roman"/>
          <w:b/>
          <w:bCs/>
          <w:szCs w:val="28"/>
        </w:rPr>
      </w:pPr>
      <w:bookmarkStart w:id="46" w:name="_Toc18416"/>
      <w:bookmarkStart w:id="47" w:name="_Toc17858"/>
      <w:r>
        <w:rPr>
          <w:rFonts w:hint="eastAsia" w:ascii="Times New Roman" w:hAnsi="Times New Roman"/>
          <w:b/>
          <w:bCs/>
          <w:szCs w:val="28"/>
        </w:rPr>
        <w:t>2</w:t>
      </w:r>
      <w:r>
        <w:rPr>
          <w:rFonts w:ascii="Times New Roman" w:hAnsi="Times New Roman"/>
          <w:b/>
          <w:bCs/>
          <w:szCs w:val="28"/>
        </w:rPr>
        <w:t>.2平面布局</w:t>
      </w:r>
      <w:bookmarkEnd w:id="46"/>
      <w:bookmarkEnd w:id="47"/>
    </w:p>
    <w:p>
      <w:pPr>
        <w:ind w:firstLine="560" w:firstLineChars="200"/>
        <w:rPr>
          <w:rFonts w:hint="eastAsia" w:ascii="Times New Roman" w:hAnsi="Times New Roman" w:cs="Times New Roman"/>
          <w:lang w:val="en-US" w:eastAsia="zh-CN"/>
        </w:rPr>
      </w:pPr>
      <w:r>
        <w:rPr>
          <w:rFonts w:hint="eastAsia" w:ascii="Times New Roman" w:hAnsi="Times New Roman" w:cs="Times New Roman"/>
          <w:lang w:eastAsia="zh-CN"/>
        </w:rPr>
        <w:t>天津豪骏车业有限公司</w:t>
      </w:r>
      <w:r>
        <w:rPr>
          <w:rFonts w:hint="default" w:ascii="Times New Roman" w:hAnsi="Times New Roman" w:cs="Times New Roman"/>
          <w:lang w:eastAsia="zh-CN"/>
        </w:rPr>
        <w:t>创建于20</w:t>
      </w:r>
      <w:r>
        <w:rPr>
          <w:rFonts w:hint="eastAsia" w:ascii="Times New Roman" w:hAnsi="Times New Roman" w:cs="Times New Roman"/>
          <w:lang w:val="en-US" w:eastAsia="zh-CN"/>
        </w:rPr>
        <w:t>18</w:t>
      </w:r>
      <w:r>
        <w:rPr>
          <w:rFonts w:hint="default" w:ascii="Times New Roman" w:hAnsi="Times New Roman" w:cs="Times New Roman"/>
          <w:lang w:eastAsia="zh-CN"/>
        </w:rPr>
        <w:t>年，位于</w:t>
      </w:r>
      <w:r>
        <w:rPr>
          <w:rFonts w:hint="eastAsia" w:ascii="Times New Roman" w:hAnsi="Times New Roman" w:cs="Times New Roman"/>
          <w:lang w:val="en-US" w:eastAsia="zh-CN"/>
        </w:rPr>
        <w:t>天津市滨海新区中塘镇中塘工业区国安二道西段</w:t>
      </w:r>
      <w:r>
        <w:rPr>
          <w:rFonts w:hint="eastAsia" w:ascii="Times New Roman" w:hAnsi="Times New Roman" w:cs="Times New Roman"/>
          <w:lang w:eastAsia="zh-CN"/>
        </w:rPr>
        <w:t>。</w:t>
      </w:r>
      <w:r>
        <w:rPr>
          <w:rFonts w:hint="default" w:ascii="Times New Roman" w:hAnsi="Times New Roman" w:cs="Times New Roman"/>
          <w:lang w:eastAsia="zh-CN"/>
        </w:rPr>
        <w:t>企</w:t>
      </w:r>
      <w:r>
        <w:rPr>
          <w:rFonts w:hint="default" w:ascii="Times New Roman" w:hAnsi="Times New Roman" w:cs="Times New Roman"/>
          <w:lang w:val="en-US" w:eastAsia="zh-CN"/>
        </w:rPr>
        <w:t>业主要产品为</w:t>
      </w:r>
      <w:r>
        <w:rPr>
          <w:rFonts w:hint="eastAsia" w:ascii="Times New Roman" w:hAnsi="Times New Roman" w:cs="Times New Roman"/>
          <w:lang w:val="en-US" w:eastAsia="zh-CN"/>
        </w:rPr>
        <w:t>电动自行车车架</w:t>
      </w:r>
      <w:r>
        <w:rPr>
          <w:rFonts w:hint="default" w:ascii="Times New Roman" w:hAnsi="Times New Roman" w:cs="Times New Roman"/>
          <w:lang w:val="en-US" w:eastAsia="zh-CN"/>
        </w:rPr>
        <w:t>，年产量为</w:t>
      </w:r>
      <w:r>
        <w:rPr>
          <w:rFonts w:hint="eastAsia" w:ascii="Times New Roman" w:hAnsi="Times New Roman" w:cs="Times New Roman"/>
          <w:lang w:val="en-US" w:eastAsia="zh-CN"/>
        </w:rPr>
        <w:t>50万台</w:t>
      </w:r>
      <w:r>
        <w:rPr>
          <w:rFonts w:hint="default" w:ascii="Times New Roman" w:hAnsi="Times New Roman" w:cs="Times New Roman"/>
          <w:lang w:val="en-US" w:eastAsia="zh-CN"/>
        </w:rPr>
        <w:t>。</w:t>
      </w:r>
      <w:r>
        <w:rPr>
          <w:rFonts w:hint="eastAsia" w:ascii="Times New Roman" w:hAnsi="Times New Roman" w:cs="Times New Roman"/>
          <w:lang w:val="en-US" w:eastAsia="zh-CN"/>
        </w:rPr>
        <w:t>公司整体布局包括办公区、机加工车间、成品库、焊接车间、危险废物暂存间、一般固废暂存区、办公室和其他辅助设施。</w:t>
      </w:r>
    </w:p>
    <w:p>
      <w:pPr>
        <w:ind w:firstLine="560" w:firstLineChars="200"/>
        <w:rPr>
          <w:rFonts w:hint="eastAsia" w:ascii="Times New Roman" w:hAnsi="Times New Roman" w:cs="Times New Roman"/>
          <w:lang w:val="en-US" w:eastAsia="zh-CN"/>
        </w:rPr>
      </w:pPr>
      <w:r>
        <w:rPr>
          <w:rFonts w:hint="eastAsia" w:ascii="Times New Roman" w:hAnsi="Times New Roman" w:cs="Times New Roman"/>
          <w:lang w:val="en-US" w:eastAsia="zh-CN"/>
        </w:rPr>
        <w:t>公司废气产生主要在</w:t>
      </w:r>
      <w:r>
        <w:rPr>
          <w:rFonts w:hint="default" w:ascii="Times New Roman" w:hAnsi="Times New Roman" w:cs="Times New Roman"/>
          <w:lang w:val="en-US" w:eastAsia="zh-CN"/>
        </w:rPr>
        <w:t>切割工序产生的颗粒物经集气罩收集后通过</w:t>
      </w:r>
      <w:r>
        <w:rPr>
          <w:rFonts w:hint="eastAsia" w:ascii="Times New Roman" w:hAnsi="Times New Roman" w:cs="Times New Roman"/>
          <w:lang w:val="en-US" w:eastAsia="zh-CN"/>
        </w:rPr>
        <w:t>原有</w:t>
      </w:r>
      <w:r>
        <w:rPr>
          <w:rFonts w:hint="default" w:ascii="Times New Roman" w:hAnsi="Times New Roman" w:cs="Times New Roman"/>
          <w:lang w:val="en-US" w:eastAsia="zh-CN"/>
        </w:rPr>
        <w:t>工程1#滤筒除尘器处理后经</w:t>
      </w:r>
      <w:r>
        <w:rPr>
          <w:rFonts w:hint="eastAsia" w:ascii="Times New Roman" w:hAnsi="Times New Roman" w:cs="Times New Roman"/>
          <w:lang w:val="en-US" w:eastAsia="zh-CN"/>
        </w:rPr>
        <w:t>原有</w:t>
      </w:r>
      <w:r>
        <w:rPr>
          <w:rFonts w:hint="default" w:ascii="Times New Roman" w:hAnsi="Times New Roman" w:cs="Times New Roman"/>
          <w:lang w:val="en-US" w:eastAsia="zh-CN"/>
        </w:rPr>
        <w:t>1根19m高排气筒P1排放</w:t>
      </w:r>
      <w:r>
        <w:rPr>
          <w:rFonts w:hint="eastAsia" w:ascii="Times New Roman" w:hAnsi="Times New Roman" w:cs="Times New Roman"/>
          <w:lang w:val="en-US" w:eastAsia="zh-CN"/>
        </w:rPr>
        <w:t>；</w:t>
      </w:r>
      <w:r>
        <w:rPr>
          <w:rFonts w:hint="default" w:ascii="Times New Roman" w:hAnsi="Times New Roman" w:cs="Times New Roman"/>
          <w:lang w:val="en-US" w:eastAsia="zh-CN"/>
        </w:rPr>
        <w:t>焊接工序产生的焊接烟尘经集气罩收集后，经管道送至滤筒除尘器处理后，经1根19m高排气筒P2排放</w:t>
      </w:r>
      <w:r>
        <w:rPr>
          <w:rFonts w:hint="eastAsia" w:ascii="Times New Roman" w:hAnsi="Times New Roman" w:cs="Times New Roman"/>
          <w:lang w:val="en-US" w:eastAsia="zh-CN"/>
        </w:rPr>
        <w:t>。</w:t>
      </w:r>
    </w:p>
    <w:p>
      <w:pPr>
        <w:ind w:firstLine="560" w:firstLineChars="200"/>
        <w:rPr>
          <w:rFonts w:hint="eastAsia" w:ascii="Times New Roman" w:hAnsi="Times New Roman" w:cs="Times New Roman"/>
          <w:lang w:eastAsia="zh-CN"/>
        </w:rPr>
      </w:pPr>
      <w:r>
        <w:rPr>
          <w:rFonts w:hint="eastAsia" w:ascii="Times New Roman" w:hAnsi="Times New Roman" w:cs="Times New Roman"/>
          <w:lang w:eastAsia="zh-CN"/>
        </w:rPr>
        <w:t>公司平面布置如下：</w:t>
      </w:r>
    </w:p>
    <w:p>
      <w:pPr>
        <w:pStyle w:val="39"/>
        <w:ind w:left="0" w:leftChars="0" w:firstLine="0" w:firstLineChars="0"/>
        <w:rPr>
          <w:rFonts w:hint="eastAsia"/>
          <w:lang w:eastAsia="zh-CN"/>
        </w:rPr>
      </w:pPr>
      <w:r>
        <w:pict>
          <v:shape id="_x0000_i1026" o:spt="75" alt="1695365731263" type="#_x0000_t75" style="height:231pt;width:447.75pt;" filled="f" o:preferrelative="t" stroked="f" coordsize="21600,21600">
            <v:path/>
            <v:fill on="f" focussize="0,0"/>
            <v:stroke on="f"/>
            <v:imagedata r:id="rId15" o:title=""/>
            <o:lock v:ext="edit" aspectratio="t"/>
            <w10:wrap type="none"/>
            <w10:anchorlock/>
          </v:shape>
        </w:pict>
      </w:r>
    </w:p>
    <w:p>
      <w:pPr>
        <w:jc w:val="center"/>
        <w:rPr>
          <w:rFonts w:hint="eastAsia"/>
          <w:lang w:eastAsia="zh-CN"/>
        </w:rPr>
        <w:sectPr>
          <w:pgSz w:w="12240" w:h="15840"/>
          <w:pgMar w:top="1440" w:right="1800" w:bottom="1440" w:left="1800" w:header="720" w:footer="720" w:gutter="0"/>
          <w:cols w:space="720" w:num="1"/>
        </w:sectPr>
      </w:pPr>
      <w:r>
        <w:rPr>
          <w:rFonts w:hint="eastAsia" w:ascii="仿宋" w:hAnsi="仿宋" w:cs="仿宋"/>
          <w:sz w:val="24"/>
          <w:szCs w:val="24"/>
        </w:rPr>
        <w:t>图2</w:t>
      </w:r>
      <w:r>
        <w:rPr>
          <w:rFonts w:hint="eastAsia" w:ascii="仿宋" w:hAnsi="仿宋" w:cs="仿宋"/>
          <w:sz w:val="24"/>
          <w:szCs w:val="24"/>
          <w:lang w:val="en-US" w:eastAsia="zh-CN"/>
        </w:rPr>
        <w:t>-</w:t>
      </w:r>
      <w:r>
        <w:rPr>
          <w:rFonts w:hint="eastAsia" w:ascii="仿宋" w:hAnsi="仿宋" w:cs="仿宋"/>
          <w:sz w:val="24"/>
          <w:szCs w:val="24"/>
        </w:rPr>
        <w:t>2-1  厂区平面布置及应急疏散路线图</w:t>
      </w:r>
    </w:p>
    <w:p>
      <w:pPr>
        <w:jc w:val="both"/>
        <w:rPr>
          <w:rFonts w:ascii="Times New Roman" w:hAnsi="Times New Roman"/>
          <w:b/>
          <w:bCs/>
          <w:szCs w:val="28"/>
        </w:rPr>
      </w:pPr>
      <w:r>
        <w:rPr>
          <w:sz w:val="21"/>
        </w:rPr>
        <w:pict>
          <v:shape id="文本框 8" o:spid="_x0000_s2069" o:spt="202" type="#_x0000_t202" style="position:absolute;left:0pt;margin-left:90.5pt;margin-top:319.6pt;height:20.75pt;width:37.5pt;z-index:251660288;mso-width-relative:page;mso-height-relative:page;" filled="f" stroked="f" coordsize="21600,21600" o:gfxdata="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FRKofaAAAACwEAAA8AAAAAAAAAAQAg&#10;AAAAIgAAAGRycy9kb3ducmV2LnhtbFBLAQIUABQAAAAIAIdO4kDGAE1qRQIAAHEEAAAOAAAAAAAA&#10;AAEAIAAAACkBAABkcnMvZTJvRG9jLnhtbFBLBQYAAAAABgAGAFkBAADgBQAAAAA=&#10;">
            <v:path/>
            <v:fill on="f" focussize="0,0"/>
            <v:stroke on="f" weight="0.5pt"/>
            <v:imagedata o:title=""/>
            <o:lock v:ext="edit" aspectratio="f"/>
            <v:textbox>
              <w:txbxContent>
                <w:p>
                  <w:pPr>
                    <w:rPr>
                      <w:rFonts w:hint="default" w:eastAsia="仿宋"/>
                      <w:lang w:val="en-US" w:eastAsia="zh-CN"/>
                    </w:rPr>
                  </w:pPr>
                </w:p>
              </w:txbxContent>
            </v:textbox>
          </v:shape>
        </w:pict>
      </w:r>
      <w:r>
        <w:rPr>
          <w:rFonts w:ascii="Times New Roman" w:hAnsi="Times New Roman" w:eastAsia="Times New Roman"/>
          <w:snapToGrid w:val="0"/>
          <w:color w:val="000000"/>
          <w:w w:val="0"/>
          <w:kern w:val="0"/>
          <w:sz w:val="0"/>
          <w:szCs w:val="0"/>
          <w:u w:color="000000"/>
          <w:shd w:val="clear" w:color="000000" w:fill="000000"/>
          <w:lang w:val="zh-CN" w:eastAsia="zh-CN" w:bidi="zh-CN"/>
        </w:rPr>
        <w:t xml:space="preserve"> </w:t>
      </w:r>
      <w:bookmarkStart w:id="48" w:name="_Toc21400"/>
      <w:r>
        <w:rPr>
          <w:rFonts w:hint="eastAsia" w:ascii="Times New Roman" w:hAnsi="Times New Roman"/>
          <w:b/>
          <w:bCs/>
          <w:szCs w:val="28"/>
        </w:rPr>
        <w:t>2</w:t>
      </w:r>
      <w:r>
        <w:rPr>
          <w:rFonts w:ascii="Times New Roman" w:hAnsi="Times New Roman"/>
          <w:b/>
          <w:bCs/>
          <w:szCs w:val="28"/>
        </w:rPr>
        <w:t>.3周边环境受体</w:t>
      </w:r>
      <w:bookmarkEnd w:id="48"/>
    </w:p>
    <w:p>
      <w:pPr>
        <w:rPr>
          <w:rFonts w:ascii="Times New Roman" w:hAnsi="Times New Roman"/>
          <w:b/>
          <w:bCs/>
          <w:szCs w:val="28"/>
        </w:rPr>
      </w:pPr>
      <w:bookmarkStart w:id="49" w:name="_Toc11587_WPSOffice_Level1"/>
      <w:bookmarkStart w:id="50" w:name="_Toc3191_WPSOffice_Level1"/>
      <w:r>
        <w:rPr>
          <w:rFonts w:hint="eastAsia" w:ascii="Times New Roman" w:hAnsi="Times New Roman"/>
          <w:b/>
          <w:bCs/>
          <w:szCs w:val="28"/>
        </w:rPr>
        <w:t>2</w:t>
      </w:r>
      <w:r>
        <w:rPr>
          <w:rFonts w:ascii="Times New Roman" w:hAnsi="Times New Roman"/>
          <w:b/>
          <w:bCs/>
          <w:szCs w:val="28"/>
        </w:rPr>
        <w:t>.3.1大气环境风险受体</w:t>
      </w:r>
    </w:p>
    <w:p>
      <w:pPr>
        <w:jc w:val="center"/>
        <w:rPr>
          <w:rFonts w:ascii="仿宋" w:hAnsi="仿宋"/>
          <w:sz w:val="24"/>
          <w:szCs w:val="24"/>
        </w:rPr>
      </w:pPr>
      <w:r>
        <w:rPr>
          <w:rFonts w:ascii="仿宋" w:hAnsi="仿宋"/>
          <w:sz w:val="24"/>
          <w:szCs w:val="24"/>
        </w:rPr>
        <w:t>表</w:t>
      </w:r>
      <w:r>
        <w:rPr>
          <w:rFonts w:hint="eastAsia" w:ascii="仿宋" w:hAnsi="仿宋"/>
          <w:sz w:val="24"/>
          <w:szCs w:val="24"/>
        </w:rPr>
        <w:t>2</w:t>
      </w:r>
      <w:r>
        <w:rPr>
          <w:rFonts w:hint="eastAsia" w:ascii="仿宋" w:hAnsi="仿宋"/>
          <w:sz w:val="24"/>
          <w:szCs w:val="24"/>
          <w:lang w:val="en-US" w:eastAsia="zh-CN"/>
        </w:rPr>
        <w:t>-</w:t>
      </w:r>
      <w:r>
        <w:rPr>
          <w:rFonts w:hint="eastAsia" w:ascii="仿宋" w:hAnsi="仿宋"/>
          <w:sz w:val="24"/>
          <w:szCs w:val="24"/>
          <w:highlight w:val="none"/>
        </w:rPr>
        <w:t>3</w:t>
      </w:r>
      <w:r>
        <w:rPr>
          <w:rFonts w:ascii="仿宋" w:hAnsi="仿宋"/>
          <w:sz w:val="24"/>
          <w:szCs w:val="24"/>
          <w:highlight w:val="none"/>
        </w:rPr>
        <w:t>-1  500米范围内</w:t>
      </w:r>
      <w:r>
        <w:rPr>
          <w:rFonts w:ascii="仿宋" w:hAnsi="仿宋"/>
          <w:sz w:val="24"/>
          <w:szCs w:val="24"/>
        </w:rPr>
        <w:t>大气环境风险受体一览表</w:t>
      </w:r>
    </w:p>
    <w:tbl>
      <w:tblPr>
        <w:tblStyle w:val="40"/>
        <w:tblW w:w="837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56"/>
        <w:gridCol w:w="3320"/>
        <w:gridCol w:w="868"/>
        <w:gridCol w:w="1200"/>
        <w:gridCol w:w="1107"/>
        <w:gridCol w:w="112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8" w:hRule="atLeast"/>
          <w:jc w:val="center"/>
        </w:trPr>
        <w:tc>
          <w:tcPr>
            <w:tcW w:w="756" w:type="dxa"/>
            <w:tcBorders>
              <w:top w:val="single" w:color="auto" w:sz="12" w:space="0"/>
            </w:tcBorders>
            <w:noWrap w:val="0"/>
            <w:vAlign w:val="center"/>
          </w:tcPr>
          <w:p>
            <w:pPr>
              <w:autoSpaceDE w:val="0"/>
              <w:autoSpaceDN w:val="0"/>
              <w:adjustRightInd w:val="0"/>
              <w:jc w:val="center"/>
              <w:rPr>
                <w:rFonts w:hint="eastAsia" w:ascii="仿宋" w:hAnsi="仿宋" w:eastAsia="仿宋" w:cs="仿宋"/>
                <w:sz w:val="24"/>
                <w:szCs w:val="24"/>
              </w:rPr>
            </w:pPr>
            <w:r>
              <w:rPr>
                <w:rFonts w:hint="eastAsia" w:ascii="仿宋" w:hAnsi="仿宋" w:eastAsia="仿宋" w:cs="仿宋"/>
                <w:sz w:val="24"/>
                <w:szCs w:val="24"/>
              </w:rPr>
              <w:t>序号</w:t>
            </w:r>
          </w:p>
        </w:tc>
        <w:tc>
          <w:tcPr>
            <w:tcW w:w="3320" w:type="dxa"/>
            <w:tcBorders>
              <w:top w:val="single" w:color="auto" w:sz="12" w:space="0"/>
            </w:tcBorders>
            <w:noWrap w:val="0"/>
            <w:vAlign w:val="center"/>
          </w:tcPr>
          <w:p>
            <w:pPr>
              <w:autoSpaceDE w:val="0"/>
              <w:autoSpaceDN w:val="0"/>
              <w:adjustRightInd w:val="0"/>
              <w:jc w:val="center"/>
              <w:rPr>
                <w:rFonts w:hint="eastAsia" w:ascii="仿宋" w:hAnsi="仿宋" w:eastAsia="仿宋" w:cs="仿宋"/>
                <w:sz w:val="24"/>
                <w:szCs w:val="24"/>
              </w:rPr>
            </w:pPr>
            <w:r>
              <w:rPr>
                <w:rFonts w:hint="eastAsia" w:ascii="仿宋" w:hAnsi="仿宋" w:eastAsia="仿宋" w:cs="仿宋"/>
                <w:sz w:val="24"/>
                <w:szCs w:val="24"/>
              </w:rPr>
              <w:t>敏感目标</w:t>
            </w:r>
          </w:p>
        </w:tc>
        <w:tc>
          <w:tcPr>
            <w:tcW w:w="868" w:type="dxa"/>
            <w:tcBorders>
              <w:top w:val="single" w:color="auto" w:sz="12" w:space="0"/>
            </w:tcBorders>
            <w:noWrap w:val="0"/>
            <w:vAlign w:val="center"/>
          </w:tcPr>
          <w:p>
            <w:pPr>
              <w:autoSpaceDE w:val="0"/>
              <w:autoSpaceDN w:val="0"/>
              <w:adjustRightInd w:val="0"/>
              <w:jc w:val="center"/>
              <w:rPr>
                <w:rFonts w:hint="eastAsia" w:ascii="仿宋" w:hAnsi="仿宋" w:eastAsia="仿宋" w:cs="仿宋"/>
                <w:sz w:val="24"/>
                <w:szCs w:val="24"/>
              </w:rPr>
            </w:pPr>
            <w:r>
              <w:rPr>
                <w:rFonts w:hint="eastAsia" w:ascii="仿宋" w:hAnsi="仿宋" w:eastAsia="仿宋" w:cs="仿宋"/>
                <w:sz w:val="24"/>
                <w:szCs w:val="24"/>
              </w:rPr>
              <w:t>属性</w:t>
            </w:r>
          </w:p>
        </w:tc>
        <w:tc>
          <w:tcPr>
            <w:tcW w:w="1200" w:type="dxa"/>
            <w:tcBorders>
              <w:top w:val="single" w:color="auto" w:sz="12" w:space="0"/>
            </w:tcBorders>
            <w:noWrap w:val="0"/>
            <w:vAlign w:val="center"/>
          </w:tcPr>
          <w:p>
            <w:pPr>
              <w:autoSpaceDE w:val="0"/>
              <w:autoSpaceDN w:val="0"/>
              <w:adjustRightInd w:val="0"/>
              <w:jc w:val="center"/>
              <w:rPr>
                <w:rFonts w:hint="eastAsia" w:ascii="仿宋" w:hAnsi="仿宋" w:eastAsia="仿宋" w:cs="仿宋"/>
                <w:sz w:val="24"/>
                <w:szCs w:val="24"/>
              </w:rPr>
            </w:pPr>
            <w:r>
              <w:rPr>
                <w:rFonts w:hint="eastAsia" w:ascii="仿宋" w:hAnsi="仿宋" w:eastAsia="仿宋" w:cs="仿宋"/>
                <w:sz w:val="24"/>
                <w:szCs w:val="24"/>
              </w:rPr>
              <w:t>相对方位</w:t>
            </w:r>
          </w:p>
        </w:tc>
        <w:tc>
          <w:tcPr>
            <w:tcW w:w="1107" w:type="dxa"/>
            <w:tcBorders>
              <w:top w:val="single" w:color="auto" w:sz="12" w:space="0"/>
            </w:tcBorders>
            <w:noWrap w:val="0"/>
            <w:vAlign w:val="center"/>
          </w:tcPr>
          <w:p>
            <w:pPr>
              <w:autoSpaceDE w:val="0"/>
              <w:autoSpaceDN w:val="0"/>
              <w:adjustRightInd w:val="0"/>
              <w:jc w:val="left"/>
              <w:rPr>
                <w:rFonts w:hint="eastAsia" w:ascii="仿宋" w:hAnsi="仿宋" w:eastAsia="仿宋" w:cs="仿宋"/>
                <w:sz w:val="24"/>
                <w:szCs w:val="24"/>
              </w:rPr>
            </w:pPr>
            <w:r>
              <w:rPr>
                <w:rFonts w:hint="eastAsia" w:ascii="仿宋" w:hAnsi="仿宋" w:eastAsia="仿宋" w:cs="仿宋"/>
                <w:sz w:val="24"/>
                <w:szCs w:val="24"/>
              </w:rPr>
              <w:t>距离（m）</w:t>
            </w:r>
          </w:p>
        </w:tc>
        <w:tc>
          <w:tcPr>
            <w:tcW w:w="1127" w:type="dxa"/>
            <w:tcBorders>
              <w:top w:val="single" w:color="auto" w:sz="12" w:space="0"/>
            </w:tcBorders>
            <w:noWrap w:val="0"/>
            <w:vAlign w:val="top"/>
          </w:tcPr>
          <w:p>
            <w:pPr>
              <w:autoSpaceDE w:val="0"/>
              <w:autoSpaceDN w:val="0"/>
              <w:adjustRightInd w:val="0"/>
              <w:jc w:val="center"/>
              <w:rPr>
                <w:rFonts w:hint="eastAsia" w:ascii="仿宋" w:hAnsi="仿宋" w:eastAsia="仿宋" w:cs="仿宋"/>
                <w:sz w:val="24"/>
                <w:szCs w:val="24"/>
              </w:rPr>
            </w:pPr>
            <w:r>
              <w:rPr>
                <w:rFonts w:hint="eastAsia" w:ascii="仿宋" w:hAnsi="仿宋" w:eastAsia="仿宋" w:cs="仿宋"/>
                <w:sz w:val="24"/>
                <w:szCs w:val="24"/>
              </w:rPr>
              <w:t>人口数（人）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56" w:type="dxa"/>
            <w:noWrap w:val="0"/>
            <w:vAlign w:val="center"/>
          </w:tcPr>
          <w:p>
            <w:pPr>
              <w:autoSpaceDE w:val="0"/>
              <w:autoSpaceDN w:val="0"/>
              <w:adjustRightInd w:val="0"/>
              <w:jc w:val="center"/>
              <w:rPr>
                <w:rFonts w:hint="eastAsia" w:ascii="仿宋" w:hAnsi="仿宋" w:eastAsia="仿宋" w:cs="仿宋"/>
                <w:sz w:val="24"/>
                <w:szCs w:val="24"/>
              </w:rPr>
            </w:pPr>
            <w:r>
              <w:rPr>
                <w:rFonts w:hint="eastAsia" w:ascii="仿宋" w:hAnsi="仿宋" w:eastAsia="仿宋" w:cs="仿宋"/>
                <w:sz w:val="24"/>
                <w:szCs w:val="24"/>
              </w:rPr>
              <w:t>1</w:t>
            </w:r>
          </w:p>
        </w:tc>
        <w:tc>
          <w:tcPr>
            <w:tcW w:w="3320" w:type="dxa"/>
            <w:noWrap w:val="0"/>
            <w:vAlign w:val="center"/>
          </w:tcPr>
          <w:p>
            <w:pPr>
              <w:pStyle w:val="39"/>
              <w:spacing w:after="0" w:line="240" w:lineRule="auto"/>
              <w:ind w:left="0" w:leftChars="0" w:firstLine="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金茂恒成金属制品公司</w:t>
            </w:r>
          </w:p>
        </w:tc>
        <w:tc>
          <w:tcPr>
            <w:tcW w:w="868"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p>
        </w:tc>
        <w:tc>
          <w:tcPr>
            <w:tcW w:w="120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西南</w:t>
            </w:r>
          </w:p>
        </w:tc>
        <w:tc>
          <w:tcPr>
            <w:tcW w:w="1107"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282</w:t>
            </w:r>
          </w:p>
        </w:tc>
        <w:tc>
          <w:tcPr>
            <w:tcW w:w="1127"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cs="仿宋"/>
                <w:sz w:val="24"/>
                <w:szCs w:val="24"/>
                <w:lang w:val="en-US" w:eastAsia="zh-CN"/>
              </w:rPr>
              <w:t>22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56" w:type="dxa"/>
            <w:noWrap w:val="0"/>
            <w:vAlign w:val="center"/>
          </w:tcPr>
          <w:p>
            <w:pPr>
              <w:autoSpaceDE w:val="0"/>
              <w:autoSpaceDN w:val="0"/>
              <w:adjustRightInd w:val="0"/>
              <w:jc w:val="center"/>
              <w:rPr>
                <w:rFonts w:hint="eastAsia" w:ascii="仿宋" w:hAnsi="仿宋" w:eastAsia="仿宋" w:cs="仿宋"/>
                <w:sz w:val="24"/>
                <w:szCs w:val="24"/>
              </w:rPr>
            </w:pPr>
            <w:r>
              <w:rPr>
                <w:rFonts w:hint="eastAsia" w:ascii="仿宋" w:hAnsi="仿宋" w:eastAsia="仿宋" w:cs="仿宋"/>
                <w:sz w:val="24"/>
                <w:szCs w:val="24"/>
              </w:rPr>
              <w:t>2</w:t>
            </w:r>
          </w:p>
        </w:tc>
        <w:tc>
          <w:tcPr>
            <w:tcW w:w="3320" w:type="dxa"/>
            <w:noWrap w:val="0"/>
            <w:vAlign w:val="center"/>
          </w:tcPr>
          <w:p>
            <w:pPr>
              <w:pStyle w:val="39"/>
              <w:spacing w:after="0" w:line="240" w:lineRule="auto"/>
              <w:ind w:left="0" w:leftChars="0" w:firstLine="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明洋绿谷源食品有限公司</w:t>
            </w:r>
          </w:p>
        </w:tc>
        <w:tc>
          <w:tcPr>
            <w:tcW w:w="868"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p>
        </w:tc>
        <w:tc>
          <w:tcPr>
            <w:tcW w:w="120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西南</w:t>
            </w:r>
          </w:p>
        </w:tc>
        <w:tc>
          <w:tcPr>
            <w:tcW w:w="1107"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230</w:t>
            </w:r>
          </w:p>
        </w:tc>
        <w:tc>
          <w:tcPr>
            <w:tcW w:w="1127"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cs="仿宋"/>
                <w:sz w:val="24"/>
                <w:szCs w:val="24"/>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56" w:type="dxa"/>
            <w:noWrap w:val="0"/>
            <w:vAlign w:val="center"/>
          </w:tcPr>
          <w:p>
            <w:pPr>
              <w:autoSpaceDE w:val="0"/>
              <w:autoSpaceDN w:val="0"/>
              <w:adjustRightInd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3320" w:type="dxa"/>
            <w:noWrap w:val="0"/>
            <w:vAlign w:val="center"/>
          </w:tcPr>
          <w:p>
            <w:pPr>
              <w:pStyle w:val="39"/>
              <w:spacing w:after="0" w:line="240" w:lineRule="auto"/>
              <w:ind w:left="0" w:leftChars="0" w:firstLine="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天津市佳德家家具有限公司</w:t>
            </w:r>
          </w:p>
        </w:tc>
        <w:tc>
          <w:tcPr>
            <w:tcW w:w="868"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p>
        </w:tc>
        <w:tc>
          <w:tcPr>
            <w:tcW w:w="120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107"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64</w:t>
            </w:r>
          </w:p>
        </w:tc>
        <w:tc>
          <w:tcPr>
            <w:tcW w:w="1127"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cs="仿宋"/>
                <w:sz w:val="24"/>
                <w:szCs w:val="24"/>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56"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w:t>
            </w:r>
          </w:p>
        </w:tc>
        <w:tc>
          <w:tcPr>
            <w:tcW w:w="3320" w:type="dxa"/>
            <w:noWrap w:val="0"/>
            <w:vAlign w:val="center"/>
          </w:tcPr>
          <w:p>
            <w:pPr>
              <w:pStyle w:val="39"/>
              <w:spacing w:after="0" w:line="240" w:lineRule="auto"/>
              <w:ind w:left="0" w:leftChars="0" w:firstLine="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天津安达供水有限公司</w:t>
            </w:r>
          </w:p>
        </w:tc>
        <w:tc>
          <w:tcPr>
            <w:tcW w:w="868"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p>
        </w:tc>
        <w:tc>
          <w:tcPr>
            <w:tcW w:w="120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东南</w:t>
            </w:r>
          </w:p>
        </w:tc>
        <w:tc>
          <w:tcPr>
            <w:tcW w:w="1107"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440</w:t>
            </w:r>
          </w:p>
        </w:tc>
        <w:tc>
          <w:tcPr>
            <w:tcW w:w="1127"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cs="仿宋"/>
                <w:sz w:val="24"/>
                <w:szCs w:val="24"/>
                <w:lang w:val="en-US" w:eastAsia="zh-CN"/>
              </w:rPr>
              <w:t>84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56"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3320" w:type="dxa"/>
            <w:noWrap w:val="0"/>
            <w:vAlign w:val="center"/>
          </w:tcPr>
          <w:p>
            <w:pPr>
              <w:pStyle w:val="39"/>
              <w:spacing w:after="0" w:line="240" w:lineRule="auto"/>
              <w:ind w:left="0" w:leftChars="0" w:firstLine="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盛世华德环保科技发展有限公司</w:t>
            </w:r>
          </w:p>
        </w:tc>
        <w:tc>
          <w:tcPr>
            <w:tcW w:w="868"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p>
        </w:tc>
        <w:tc>
          <w:tcPr>
            <w:tcW w:w="120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w:t>
            </w:r>
          </w:p>
        </w:tc>
        <w:tc>
          <w:tcPr>
            <w:tcW w:w="1107"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412</w:t>
            </w:r>
          </w:p>
        </w:tc>
        <w:tc>
          <w:tcPr>
            <w:tcW w:w="1127"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cs="仿宋"/>
                <w:sz w:val="24"/>
                <w:szCs w:val="24"/>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56"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6495" w:type="dxa"/>
            <w:gridSpan w:val="4"/>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合计</w:t>
            </w:r>
          </w:p>
        </w:tc>
        <w:tc>
          <w:tcPr>
            <w:tcW w:w="1127"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cs="仿宋"/>
                <w:sz w:val="24"/>
                <w:szCs w:val="24"/>
                <w:lang w:val="en-US" w:eastAsia="zh-CN"/>
              </w:rPr>
              <w:t>128</w:t>
            </w:r>
          </w:p>
        </w:tc>
      </w:tr>
    </w:tbl>
    <w:p>
      <w:pPr>
        <w:pStyle w:val="39"/>
        <w:ind w:left="0" w:leftChars="0" w:firstLine="0" w:firstLineChars="0"/>
      </w:pPr>
    </w:p>
    <w:p>
      <w:pPr>
        <w:spacing w:before="120" w:beforeLines="50"/>
        <w:jc w:val="center"/>
        <w:rPr>
          <w:rFonts w:ascii="仿宋" w:hAnsi="仿宋"/>
          <w:sz w:val="24"/>
          <w:szCs w:val="24"/>
        </w:rPr>
      </w:pPr>
      <w:r>
        <w:rPr>
          <w:rFonts w:ascii="仿宋" w:hAnsi="仿宋"/>
          <w:sz w:val="24"/>
          <w:szCs w:val="24"/>
        </w:rPr>
        <w:t>表</w:t>
      </w:r>
      <w:r>
        <w:rPr>
          <w:rFonts w:hint="eastAsia" w:ascii="仿宋" w:hAnsi="仿宋"/>
          <w:sz w:val="24"/>
          <w:szCs w:val="24"/>
        </w:rPr>
        <w:t>2</w:t>
      </w:r>
      <w:r>
        <w:rPr>
          <w:rFonts w:hint="eastAsia" w:ascii="仿宋" w:hAnsi="仿宋"/>
          <w:sz w:val="24"/>
          <w:szCs w:val="24"/>
          <w:lang w:val="en-US" w:eastAsia="zh-CN"/>
        </w:rPr>
        <w:t>-</w:t>
      </w:r>
      <w:r>
        <w:rPr>
          <w:rFonts w:hint="eastAsia" w:ascii="仿宋" w:hAnsi="仿宋"/>
          <w:sz w:val="24"/>
          <w:szCs w:val="24"/>
        </w:rPr>
        <w:t>3-2</w:t>
      </w:r>
      <w:r>
        <w:rPr>
          <w:rFonts w:ascii="仿宋" w:hAnsi="仿宋"/>
          <w:sz w:val="24"/>
          <w:szCs w:val="24"/>
        </w:rPr>
        <w:t xml:space="preserve">  5公里</w:t>
      </w:r>
      <w:r>
        <w:rPr>
          <w:rFonts w:ascii="仿宋" w:hAnsi="仿宋"/>
          <w:sz w:val="24"/>
          <w:szCs w:val="24"/>
          <w:highlight w:val="none"/>
        </w:rPr>
        <w:t>范围内大气环境风险</w:t>
      </w:r>
      <w:r>
        <w:rPr>
          <w:rFonts w:ascii="仿宋" w:hAnsi="仿宋"/>
          <w:sz w:val="24"/>
          <w:szCs w:val="24"/>
        </w:rPr>
        <w:t>受体一览表（不含500米范围内）</w:t>
      </w:r>
    </w:p>
    <w:tbl>
      <w:tblPr>
        <w:tblStyle w:val="40"/>
        <w:tblW w:w="85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65"/>
        <w:gridCol w:w="3203"/>
        <w:gridCol w:w="1035"/>
        <w:gridCol w:w="1214"/>
        <w:gridCol w:w="1020"/>
        <w:gridCol w:w="130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8" w:hRule="atLeast"/>
          <w:jc w:val="center"/>
        </w:trPr>
        <w:tc>
          <w:tcPr>
            <w:tcW w:w="765" w:type="dxa"/>
            <w:tcBorders>
              <w:top w:val="single" w:color="auto" w:sz="12" w:space="0"/>
            </w:tcBorders>
            <w:noWrap w:val="0"/>
            <w:vAlign w:val="center"/>
          </w:tcPr>
          <w:p>
            <w:pPr>
              <w:autoSpaceDE w:val="0"/>
              <w:autoSpaceDN w:val="0"/>
              <w:adjustRightInd w:val="0"/>
              <w:jc w:val="center"/>
              <w:rPr>
                <w:rFonts w:hint="eastAsia" w:ascii="仿宋" w:hAnsi="仿宋" w:eastAsia="仿宋" w:cs="仿宋"/>
                <w:sz w:val="24"/>
                <w:szCs w:val="24"/>
              </w:rPr>
            </w:pPr>
            <w:bookmarkStart w:id="51" w:name="_Ref32527"/>
            <w:r>
              <w:rPr>
                <w:rFonts w:hint="eastAsia" w:ascii="仿宋" w:hAnsi="仿宋" w:eastAsia="仿宋" w:cs="仿宋"/>
                <w:sz w:val="24"/>
                <w:szCs w:val="24"/>
              </w:rPr>
              <w:t>序号</w:t>
            </w:r>
          </w:p>
        </w:tc>
        <w:tc>
          <w:tcPr>
            <w:tcW w:w="3203" w:type="dxa"/>
            <w:tcBorders>
              <w:top w:val="single" w:color="auto" w:sz="12" w:space="0"/>
            </w:tcBorders>
            <w:noWrap w:val="0"/>
            <w:vAlign w:val="center"/>
          </w:tcPr>
          <w:p>
            <w:pPr>
              <w:autoSpaceDE w:val="0"/>
              <w:autoSpaceDN w:val="0"/>
              <w:adjustRightInd w:val="0"/>
              <w:jc w:val="center"/>
              <w:rPr>
                <w:rFonts w:hint="eastAsia" w:ascii="仿宋" w:hAnsi="仿宋" w:eastAsia="仿宋" w:cs="仿宋"/>
                <w:sz w:val="24"/>
                <w:szCs w:val="24"/>
              </w:rPr>
            </w:pPr>
            <w:r>
              <w:rPr>
                <w:rFonts w:hint="eastAsia" w:ascii="仿宋" w:hAnsi="仿宋" w:eastAsia="仿宋" w:cs="仿宋"/>
                <w:sz w:val="24"/>
                <w:szCs w:val="24"/>
              </w:rPr>
              <w:t>敏感目标</w:t>
            </w:r>
          </w:p>
        </w:tc>
        <w:tc>
          <w:tcPr>
            <w:tcW w:w="1035" w:type="dxa"/>
            <w:tcBorders>
              <w:top w:val="single" w:color="auto" w:sz="12" w:space="0"/>
            </w:tcBorders>
            <w:noWrap w:val="0"/>
            <w:vAlign w:val="center"/>
          </w:tcPr>
          <w:p>
            <w:pPr>
              <w:autoSpaceDE w:val="0"/>
              <w:autoSpaceDN w:val="0"/>
              <w:adjustRightInd w:val="0"/>
              <w:jc w:val="center"/>
              <w:rPr>
                <w:rFonts w:hint="eastAsia" w:ascii="仿宋" w:hAnsi="仿宋" w:eastAsia="仿宋" w:cs="仿宋"/>
                <w:sz w:val="24"/>
                <w:szCs w:val="24"/>
              </w:rPr>
            </w:pPr>
            <w:r>
              <w:rPr>
                <w:rFonts w:hint="eastAsia" w:ascii="仿宋" w:hAnsi="仿宋" w:eastAsia="仿宋" w:cs="仿宋"/>
                <w:sz w:val="24"/>
                <w:szCs w:val="24"/>
              </w:rPr>
              <w:t>属性</w:t>
            </w:r>
          </w:p>
        </w:tc>
        <w:tc>
          <w:tcPr>
            <w:tcW w:w="1214" w:type="dxa"/>
            <w:tcBorders>
              <w:top w:val="single" w:color="auto" w:sz="12" w:space="0"/>
            </w:tcBorders>
            <w:noWrap w:val="0"/>
            <w:vAlign w:val="center"/>
          </w:tcPr>
          <w:p>
            <w:pPr>
              <w:autoSpaceDE w:val="0"/>
              <w:autoSpaceDN w:val="0"/>
              <w:adjustRightInd w:val="0"/>
              <w:jc w:val="center"/>
              <w:rPr>
                <w:rFonts w:hint="eastAsia" w:ascii="仿宋" w:hAnsi="仿宋" w:eastAsia="仿宋" w:cs="仿宋"/>
                <w:sz w:val="24"/>
                <w:szCs w:val="24"/>
              </w:rPr>
            </w:pPr>
            <w:r>
              <w:rPr>
                <w:rFonts w:hint="eastAsia" w:ascii="仿宋" w:hAnsi="仿宋" w:eastAsia="仿宋" w:cs="仿宋"/>
                <w:sz w:val="24"/>
                <w:szCs w:val="24"/>
              </w:rPr>
              <w:t>相对方位</w:t>
            </w:r>
          </w:p>
        </w:tc>
        <w:tc>
          <w:tcPr>
            <w:tcW w:w="1020" w:type="dxa"/>
            <w:tcBorders>
              <w:top w:val="single" w:color="auto" w:sz="12" w:space="0"/>
            </w:tcBorders>
            <w:noWrap w:val="0"/>
            <w:vAlign w:val="center"/>
          </w:tcPr>
          <w:p>
            <w:pPr>
              <w:autoSpaceDE w:val="0"/>
              <w:autoSpaceDN w:val="0"/>
              <w:adjustRightInd w:val="0"/>
              <w:jc w:val="left"/>
              <w:rPr>
                <w:rFonts w:hint="eastAsia" w:ascii="仿宋" w:hAnsi="仿宋" w:eastAsia="仿宋" w:cs="仿宋"/>
                <w:sz w:val="24"/>
                <w:szCs w:val="24"/>
              </w:rPr>
            </w:pPr>
            <w:r>
              <w:rPr>
                <w:rFonts w:hint="eastAsia" w:ascii="仿宋" w:hAnsi="仿宋" w:eastAsia="仿宋" w:cs="仿宋"/>
                <w:sz w:val="24"/>
                <w:szCs w:val="24"/>
              </w:rPr>
              <w:t>距离（m）</w:t>
            </w:r>
          </w:p>
        </w:tc>
        <w:tc>
          <w:tcPr>
            <w:tcW w:w="1303" w:type="dxa"/>
            <w:tcBorders>
              <w:top w:val="single" w:color="auto" w:sz="12" w:space="0"/>
            </w:tcBorders>
            <w:noWrap w:val="0"/>
            <w:vAlign w:val="top"/>
          </w:tcPr>
          <w:p>
            <w:pPr>
              <w:autoSpaceDE w:val="0"/>
              <w:autoSpaceDN w:val="0"/>
              <w:adjustRightInd w:val="0"/>
              <w:jc w:val="center"/>
              <w:rPr>
                <w:rFonts w:hint="eastAsia" w:ascii="仿宋" w:hAnsi="仿宋" w:eastAsia="仿宋" w:cs="仿宋"/>
                <w:sz w:val="24"/>
                <w:szCs w:val="24"/>
              </w:rPr>
            </w:pPr>
            <w:r>
              <w:rPr>
                <w:rFonts w:hint="eastAsia" w:ascii="仿宋" w:hAnsi="仿宋" w:eastAsia="仿宋" w:cs="仿宋"/>
                <w:sz w:val="24"/>
                <w:szCs w:val="24"/>
              </w:rPr>
              <w:t>人口数（人）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eastAsia" w:ascii="仿宋" w:hAnsi="仿宋" w:eastAsia="仿宋" w:cs="仿宋"/>
                <w:sz w:val="24"/>
                <w:szCs w:val="24"/>
              </w:rPr>
            </w:pPr>
            <w:r>
              <w:rPr>
                <w:rFonts w:hint="eastAsia" w:ascii="仿宋" w:hAnsi="仿宋" w:eastAsia="仿宋" w:cs="仿宋"/>
                <w:sz w:val="24"/>
                <w:szCs w:val="24"/>
              </w:rPr>
              <w:t>1</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天津肆文商贸有限公司</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570</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eastAsia" w:ascii="仿宋" w:hAnsi="仿宋" w:eastAsia="仿宋" w:cs="仿宋"/>
                <w:sz w:val="24"/>
                <w:szCs w:val="24"/>
              </w:rPr>
            </w:pPr>
            <w:r>
              <w:rPr>
                <w:rFonts w:hint="eastAsia" w:ascii="仿宋" w:hAnsi="仿宋" w:eastAsia="仿宋" w:cs="仿宋"/>
                <w:sz w:val="24"/>
                <w:szCs w:val="24"/>
              </w:rPr>
              <w:t>2</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天泰鹏程（天津）机电设备安装有限公司</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732</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天津市外环化工有限公司</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780</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天津市精华石化加油站</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887</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天津石化公司物装部</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960</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天津中石加油站</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1155</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7</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天津盛佳混凝土有限公司</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1528</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8</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大港实验中学</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学校</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1453</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1300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9</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众业石化建筑工程公司</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1707</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天津市滨海新区司法所迎宾司法所</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1686</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11</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天津市滨海新区烟草专卖局大港分局</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1730</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28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12</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圣龙加油站</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1792</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13</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中石化第四建设有限公司工程项目管理公司</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1960</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14</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中石化第四建设有限公司</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2119</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15</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天津博源生物科技发展有限公司</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2121</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16</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前进里</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居民区</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2317</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17</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天津利祥资产管理有限公司</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22395</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18</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大港第九小学</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学校</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2516</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1800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19</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天津石化第一幼儿园</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学校</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2626</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300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20</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四化里</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居民区</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2667</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3100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21</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三春里</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居民区</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3046</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2800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22</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双安里</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居民区</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3272</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23</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滨海新区水务局大港分局</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机关企事业单位</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3420</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24</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兴盛里</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居民区</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4232</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25</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滨海新区大港第二幼儿园</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学校</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3711</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300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26</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大港妇女儿童保健中心</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医院</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3849</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180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27</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大港工程园林服务站</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机关企事业单位</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3633</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28</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天津市滨海新区大港街综合执法大队</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机关企事业单位</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3748</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29</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天津市滨海新区建设和交通局大港分局</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机关企事业单位</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3861</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30</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兴旺里</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居民区</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4193</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2700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31</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天津市德丰电力发展有限公司</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4488</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32</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凯旋苑</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居民区</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4862</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33</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大港第三小学</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学校</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4944</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1800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34</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润泽园</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居民区</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4905</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35</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兴德里</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居民区</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4370</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3400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36</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兴安里</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居民区</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4380</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1900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37</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振业里</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居民区</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4858</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38</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天津市大港第三中学</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学校</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3662</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1500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39</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大港第一小学</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学校</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3602</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1900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40</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大港第一幼儿园</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学校</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3292</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300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41</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七邻里</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居民区</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3309</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42</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六合里</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居民区</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3048</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240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43</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天津石化单身公寓</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居民区</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2787</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44</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天津石化第九幼儿园</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学校</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2882</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300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45</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五方里</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居民区</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2822</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2500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46</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天津石化华鑫实业公司</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2931</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47</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大港第八中学</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学校</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2645</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48</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前程里</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居民区</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2454</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2600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49</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大港第七中学</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学校</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2309</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50</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大港疾病预防控制中心</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机关企事业单位</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2633</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51</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前光里</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居民区</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2664</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1600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52</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荣华里</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居民区</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2450</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1900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53</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大港英语实验小学</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学校</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2409</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54</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兴华里</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居民区</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2191</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3100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55</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方兴石化修建安装公司</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2232</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56</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天津市石化有限公司化工分公司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1122</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57</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天津精华石化有限公司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1258</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843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58</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精华石化公司塑料添加剂分公司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1322</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59</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天津津滨石化设备有限公司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1428</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1432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60</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天津市石建工程建设监理有限公司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1492</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61</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中国石油化工股份天津分公司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1609</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2000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62</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中国石化天津分公司研究院</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1580</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63</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天津石化装备研究院</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1594</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64</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中国石化天津分公司运输销售中心</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1734</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65</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天津科电石材科技发展有限公司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1794</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66</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中国石化天津分公司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1892</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2000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67</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天津石化聚醚部</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917</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68</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中沙石化</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2100</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1475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69</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小乙烯厂区</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2800</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300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70</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天津联华运输公司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3000</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71</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中石化天津分公司烯烃部</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东西</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3200</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72</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荣辰集团国际有限公司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726</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73</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天津市九鑫食品有限公司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762</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74</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天津诚强机械制造有限公司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786</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75</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恒利公司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652</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76</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宝利信塑料发泡制品有限公司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816</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77</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天津市鸿达世纪安全卫生评价检测有限公司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853</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61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78</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山江电镀工业园</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715</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79</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天津浩伦气体有限公司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835</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80</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津通华电气设备有限公司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936</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64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81</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天津盛佳混泥土有限公司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1169</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82</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天津星源石化工程公司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1741</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249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83</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天津金耐达筑炉衬里公司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1828</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83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84</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天津冠杰石化工程公司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1833</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85</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天津津港路加油站</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1418</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86</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中国石化集团第四建设公司吊装运输公司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1924</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87</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宏迪工程监测发展公司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2197</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88</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天津华兴医院</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医院</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2268</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89</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大港务实幼儿园</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学校</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2216</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300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90</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四建第三工程公司</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2094</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91</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中石化四建职工宿舍</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居民区</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2195</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800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92</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大港街建安里社区</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居民区</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2645</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2500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93</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中石化第四建设有限公司物业管理公司</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2651</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94</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天津凌峰工程公司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2837</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95</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曙光里</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居民区</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3079</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3000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96</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港星里</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居民区</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3072</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2600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97</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天津高乐瑞商贸有限公司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3195</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98</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福苑里</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居民区</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3073</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3400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99</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天津市大地实验幼儿园</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学校</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3214</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300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100</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天津荣达物业公司</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3286</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101</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滨海新区大港实验小学</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学校</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3388</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1800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102</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春港花园</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居民区</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3789</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2000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103</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福华里</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居民区</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4297</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2400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104</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雷诺工控技术公司</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4604</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105</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天津津港水务有限公司</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3124</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94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106</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滨海新区大港农机服务中心</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机关企事业单位</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3344</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107</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天津滨海燃气集团有限公司</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3372</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108</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晨晖里</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居民区</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3620</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109</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天津市大港区第三幼儿园</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学校</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3713</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300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110</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滨海新区大港第二小学</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学校</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3918</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111</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天津市滨海新区中等专业学校</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学校</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4104</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112</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阳春里</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居民区</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4098</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113</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天津市保安服务总公司大港分公司</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4412</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114</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天津市大港招标有限公司</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4646</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115</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天津市滨海新区古林街市场监督管理所</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机关企事业单位</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4729</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116</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中国石化天津大港石油分公司</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4846</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117</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中国石化世纪大道加油站</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4884</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118</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天津盛塘建筑工程有限公司</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4902</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119</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金腾达商务有限公司</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4763</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120</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昊翔科技</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4626</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121</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阳光小镇朝晖里</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居民区</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4554</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122</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春晖里</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居民区</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4298</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2000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123</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天津大港区港华医院</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医院</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4284</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124</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天津市瑞康房地产开发有限公司</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4410</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125</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春晖北里</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居民区</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4352</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2000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126</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朝晖北里</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居民区</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4667</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2100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127</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天津滨海运政客运出租服务中心</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4468</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128</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港荣城市环境开发公司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4465</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2600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129</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世纪花园小区</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居民区</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4966</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2000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130</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可耐福保温材料（中国）公司</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4760</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131</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天津鑫晟源电力工程有限公司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4655</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132</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天津金鼎管业有限公司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4926</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133</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宁夏天津制衣有限公司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4880</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134</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克瑞斯燃气设备有限公司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4946</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135</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利嵩化工科技有限公司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4970</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136</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东部大宇电子</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4692</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38"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137</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剑龙公司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4635</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138</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河北恒安集团公司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4672</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139</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天津光环电子测试有限公司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4607</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140</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南方建材有限公司</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4721</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141</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天津医科大学临床医学院</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学校</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4383</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142</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天津浮斯特吊装工程有限公司</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2168</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143</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福安里</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居民区</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2800</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2500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144</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滨海新区大港第五中学</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学校</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2723</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1000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145</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雅都 天泽园</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居民区</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2397</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2200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146</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地球村</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居民区</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3237</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4000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147</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北朗园</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居民区</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3320</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1800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148</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学府雅居</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居民区</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3524</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3200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149</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南开大学滨海学院</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学校</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3482</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4600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150</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天津巨华晶科技发展有限公司</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3740</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151</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顺成聚氨酯制品公司</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3687</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152</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天津市津一特阀门有限公司</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3509</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153</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天津富尔特阀门有限公司</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3502</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154</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远松科技有限公司</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3434</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155</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力冠能源（天津）有限公司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3308</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156</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百特锐机械自动化科技公司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3443</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157</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盟利电机制造公司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3441</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158</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胜达瑞泰</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3253</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159</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英诺华</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3122</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160</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天津市华夏鼎建材科技有限公司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3071</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161</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欧克防爆工具有限公司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3141</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eastAsia" w:ascii="仿宋" w:hAnsi="仿宋" w:eastAsia="仿宋" w:cs="仿宋"/>
                <w:sz w:val="24"/>
                <w:szCs w:val="24"/>
                <w:lang w:val="en-US" w:eastAsia="zh-CN"/>
              </w:rPr>
            </w:pP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金海天桥工贸公司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3282</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22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163</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天庆混凝土机械施工有限公司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3396</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164</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中凯昱泰新型建材有限公司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3070</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165</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海德信（天津）电子公司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2963</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166</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天津市富东电力工程公司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2917</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167</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天津市量具刃具有限公司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2825</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42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168</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模泰斯模具纹理加工公司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2606</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27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169</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津港中捷彩钢压型板材公司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2541</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cs="仿宋"/>
                <w:sz w:val="24"/>
                <w:szCs w:val="24"/>
                <w:lang w:val="en-US" w:eastAsia="zh-CN"/>
              </w:rPr>
              <w:t>170</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天津旭日升帐篷有限公司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2531</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171</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冠泰盛金属制品制造公司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2402</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172</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天津市普林思特电子公司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2306</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173</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天津市振浩商贸有限公司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2296</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174</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科进金属制品有限公司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2224</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175</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天津市天盾创展门业有限公司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2008</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176</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尼斯特石头油技术服务公司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2043</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177</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天津爱赛克车业有限公司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1724</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274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178</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天津天任车料有限公司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1843</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331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179</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佳龙建筑安装工程公司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1571</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22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180</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万宝（天津）工业公司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1454</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181</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天津市贝斯特防爆电器有限公司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1487</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182</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天津市环美雅门窗有限公司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1370</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183</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天津春宇食品配料公司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1233</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184</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天津鼎益机械制造公司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1042</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37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185</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天津振普筑炉衬里工程有限公司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967</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186</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天津艺创自动化设备有限公司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900</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187</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天津市利顺塑料制品公司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1590</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188</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天津天格太阳能科技有限公司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1670</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189</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天津荣知园自行车公司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2050</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132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190</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天津森普管材有限公司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2202</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66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191</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天津越凯公司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2333</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192</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天津市瀚洋金属设备有限公司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2689</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187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193</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天津市通力化纤设备配件制造有限公司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2848</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194</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天津市兆宏金属制品公司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2815</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41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195</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天津市通轩化工有限公司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2874</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196</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天津志强（管业制造）有限公司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3133</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197</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中铁十八局技工学校</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学校</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3329</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198</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津石石化设备配件公司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4062</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199</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五行通盛机电设备公司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4860</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200</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天津市盛元钻井有限公司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东北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4804</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201</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新康自行车有限公司</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840</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202</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天津德力士自行车公司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1330</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203</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恒亚汇建筑工程有限公司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1312</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204</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南奥电梯技术公司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1296</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205</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小鸟电动车</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1626</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300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206</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均利集团</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1697</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207</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新大洋</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1705</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208</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亿达实业有限公司</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2439</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209</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大港第五小学大安学区</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学校</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3101</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800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210</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兴安花园</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居民区</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3075</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1000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211</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天成彩钢</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3777</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212</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兴业铝材裕阳分公司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4365</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213</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天津成伟金属制品有限公司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3364</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214</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天津市鑫汇石油化工有限公司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2627</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215</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天津市滨海新区宝鼎散热器有限公司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2511</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216</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天津丰泽源通建筑工程有限公司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2442</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26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217</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天津绿生源食品饮料公司</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2510</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218</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龙跃花园</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居民区</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2206</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1800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219</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天津铁方格活动房有限公司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1953</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220</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华尊金秋（天津）木业有限公司</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1934</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221</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天津瑞杰天智科技发展有限公司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1906</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222</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宏泰空调净化设备公司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1811</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223</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特隆汽车零部件公司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1695</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224</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天津市振明工贸有限公司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1712</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225</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天津聚百川化工有限公司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825</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28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226</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金东方化工有限公司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1342</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38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227</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天津市科力博汽车零部件有限公司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1375</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68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228</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海浩石油机械有限公司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1417</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229</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宏祥化工有限公司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1493</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230</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天津兴盛泰油脂有限公司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1703</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231</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天津德通仪表科技公司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1820</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232</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龙顺祥电力设备公司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1842</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233</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天津纳德建筑工程公司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1837</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234</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天津市南洋建筑工程公司安装公司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2758</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235</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天津市亚威电缆桥架公司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2795</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236</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泰祥和工程公司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2721</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237</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大港区聚富化工公司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2690</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238</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天津市大港汇丰汽车装饰有限公司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2821</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239</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刘氏弯管公司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4871</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240</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中宝空调设备公司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4448</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241</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振华玻璃公司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4473</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eastAsia" w:ascii="仿宋" w:hAnsi="仿宋" w:eastAsia="仿宋" w:cs="仿宋"/>
                <w:sz w:val="24"/>
                <w:szCs w:val="24"/>
                <w:lang w:val="en-US" w:eastAsia="zh-CN"/>
              </w:rPr>
            </w:pP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通利铝业</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3041</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243</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安泰建筑工程装饰有限公司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2800</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244</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滨海久和通风</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2399</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22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245</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亿冠金属制品有限公司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2323</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246</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长江铝业有限公司</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2249</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247</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天津市五和建筑安装工程有限公司</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2130</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248</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大港第五小学</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学校</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2066</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249</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港乾里</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居民区</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1800</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1800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250</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富源公司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2269</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251</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天津市泰通建材有限公司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2157</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252</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天津公辰工贸有限公司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2158</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253</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天津市嵘博化工销售有限公司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2112</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254</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天津世起科技发展公司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2167</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255</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宏兴盛源机械制造有限公司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2307</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256</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天津金鼎聚业机电设备有限公司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3212</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257</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天津市创盛电子科技有限公司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3265</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22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258</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大港鞋业</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3327</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259</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华通机电设备工贸有限公司</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3431</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260</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四通中空玻璃材料公司</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3486</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261</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正兴里</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居民区</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3401</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2300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262</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逸航机电设备公司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3681</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263</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天津奥德康食品有限公司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3808</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264</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广博通模具公司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4269</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265</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天津市宏业盛达实业有限公司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4280</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266</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天津一航恒通建筑有限公司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4460</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267</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天津市金顺鑫散热器制造有限公司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4435</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268</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天津永久焊材材料有限公司</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4352</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269</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天津晟亨机械设备有限公司</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4480</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270</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南一实验幼儿园</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学校</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4551</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300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271</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天津昊昇柳焊有限公司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4540</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272</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天津顺其烽化工设备有限公司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4676</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273</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天津裕祺机械设备公司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4581</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274</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元旭君子兰花卉公司</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4608</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275</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八里台第二中学</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学校</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4712</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1100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276</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津南区八里台第四小学</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学校</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4617</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277</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双兴东里</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居民区</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4506</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1400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278</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庆泰公司</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4344</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279</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天津大港榕兴门窗厂</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4115</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280</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贵园里</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居民区</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3915</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1300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281</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天津市滨海新区大港第四小学</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学校</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3837</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282</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天津金妮散热器</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4856</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283</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天津市李连发举重器材有限公司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4793</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284</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天津凯丰隆奕有限公司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4815</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285</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天津市凤鸣食品调料有限公司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4801</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286</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天津市海明达水产冷冻有限公司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4827</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287</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天津市广盈工贸有限公司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4592</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288</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天津鼎润金属制品公司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4655</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289</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天津盛洁塑料制品有限公司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4627</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290</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天诚公司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4445</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291</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天津华夏锦帛建筑有限公司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4428</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292</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天津森汇装饰工程有限公司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4308</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293</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正泰伟业人防设备公司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4368</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294</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钢铝有色金属材料公司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4264</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295</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兴实化工</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4157</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296</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洪萱钢材</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3826</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297</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海昊星蜂蜜有限公司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4623</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298</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江海冷弯型钢有限公司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4663</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299</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中翔滤机制造公司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4841</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300</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大港胶管股份有限公司</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4811</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301</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永利达橡胶制品有限公司</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4456</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302</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中花园公寓</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居民区</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4580</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303</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中塘村</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居民区</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4717</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3248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304</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港工五金工具有限公司</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4521</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2800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305</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中塘五金橡胶制品有限公司</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4119</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306</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大港第七小学</w:t>
            </w:r>
          </w:p>
        </w:tc>
        <w:tc>
          <w:tcPr>
            <w:tcW w:w="1035"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学校</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4118</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307</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明圣源门窗有限公司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4870</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308</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天津顺诺商贸有限公司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4539</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309</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天津市大港顺达汽车零部件有限公司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4439</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310</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龙盛汽车配件公司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4486</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311</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凯斯克科技</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4185</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312</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北京方达工程管理有限公司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3588</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313</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天津地方铁路工程公司九分公司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3087</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314</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天津液化空气有限公司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3084</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315</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格瑞赫碳素制品有限公司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3148</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316</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天元享工贸有限公司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3213</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317</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中石化建设公司天津分公司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3195</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318</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中沙（天津）石化公司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2926</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1475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319</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天津燃气液化气公司第三分公司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605</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320</w:t>
            </w:r>
          </w:p>
        </w:tc>
        <w:tc>
          <w:tcPr>
            <w:tcW w:w="3203" w:type="dxa"/>
            <w:noWrap w:val="0"/>
            <w:vAlign w:val="center"/>
          </w:tcPr>
          <w:p>
            <w:pPr>
              <w:pStyle w:val="39"/>
              <w:spacing w:after="0" w:line="240" w:lineRule="auto"/>
              <w:ind w:left="0" w:leftChars="0" w:firstLine="0" w:firstLineChars="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精华石化公司群力分公司</w:t>
            </w:r>
          </w:p>
        </w:tc>
        <w:tc>
          <w:tcPr>
            <w:tcW w:w="1035"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21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西北</w:t>
            </w:r>
          </w:p>
        </w:tc>
        <w:tc>
          <w:tcPr>
            <w:tcW w:w="1020"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660</w:t>
            </w:r>
          </w:p>
        </w:tc>
        <w:tc>
          <w:tcPr>
            <w:tcW w:w="130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65"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cs="仿宋"/>
                <w:sz w:val="24"/>
                <w:szCs w:val="24"/>
                <w:lang w:val="en-US" w:eastAsia="zh-CN"/>
              </w:rPr>
              <w:t>321</w:t>
            </w:r>
          </w:p>
        </w:tc>
        <w:tc>
          <w:tcPr>
            <w:tcW w:w="6472" w:type="dxa"/>
            <w:gridSpan w:val="4"/>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合计</w:t>
            </w:r>
          </w:p>
        </w:tc>
        <w:tc>
          <w:tcPr>
            <w:tcW w:w="1303" w:type="dxa"/>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cs="仿宋"/>
                <w:sz w:val="24"/>
                <w:szCs w:val="24"/>
                <w:lang w:val="en-US" w:eastAsia="zh-CN"/>
              </w:rPr>
              <w:t>大于5万人</w:t>
            </w:r>
          </w:p>
        </w:tc>
      </w:tr>
      <w:bookmarkEnd w:id="51"/>
    </w:tbl>
    <w:p>
      <w:pPr>
        <w:pStyle w:val="39"/>
      </w:pPr>
    </w:p>
    <w:p>
      <w:pPr>
        <w:rPr>
          <w:rFonts w:ascii="Times New Roman" w:hAnsi="Times New Roman"/>
          <w:sz w:val="21"/>
          <w:szCs w:val="21"/>
        </w:rPr>
      </w:pPr>
      <w:r>
        <w:rPr>
          <w:rFonts w:ascii="Times New Roman" w:hAnsi="Times New Roman"/>
          <w:sz w:val="21"/>
          <w:szCs w:val="21"/>
        </w:rPr>
        <w:t>注：部分居民区内含社区医院、学校、幼儿园。</w:t>
      </w:r>
    </w:p>
    <w:p>
      <w:pPr>
        <w:ind w:firstLine="560" w:firstLineChars="200"/>
        <w:rPr>
          <w:rFonts w:hint="eastAsia" w:eastAsia="仿宋"/>
          <w:lang w:eastAsia="zh-CN"/>
        </w:rPr>
      </w:pPr>
      <w:bookmarkStart w:id="52" w:name="_Hlk89192258"/>
      <w:r>
        <w:rPr>
          <w:rFonts w:ascii="Times New Roman" w:hAnsi="Times New Roman"/>
          <w:szCs w:val="28"/>
        </w:rPr>
        <w:t>通过调查可知，500米范围内大气环境风险受体人数</w:t>
      </w:r>
      <w:r>
        <w:rPr>
          <w:rFonts w:hint="eastAsia" w:ascii="Times New Roman" w:hAnsi="Times New Roman"/>
          <w:szCs w:val="28"/>
          <w:highlight w:val="none"/>
          <w:lang w:val="en-US" w:eastAsia="zh-CN"/>
        </w:rPr>
        <w:t>128</w:t>
      </w:r>
      <w:r>
        <w:rPr>
          <w:rFonts w:ascii="Times New Roman" w:hAnsi="Times New Roman"/>
          <w:szCs w:val="28"/>
        </w:rPr>
        <w:t>人，5公里范围内大气环境风险受体人数</w:t>
      </w:r>
      <w:r>
        <w:rPr>
          <w:rFonts w:hint="eastAsia" w:ascii="Times New Roman" w:hAnsi="Times New Roman"/>
          <w:szCs w:val="28"/>
          <w:highlight w:val="none"/>
          <w:lang w:val="en-US" w:eastAsia="zh-CN"/>
        </w:rPr>
        <w:t>大于5万</w:t>
      </w:r>
      <w:r>
        <w:rPr>
          <w:rFonts w:hint="eastAsia" w:ascii="Times New Roman" w:hAnsi="Times New Roman"/>
          <w:szCs w:val="28"/>
          <w:lang w:val="en-US" w:eastAsia="zh-CN"/>
        </w:rPr>
        <w:t>人</w:t>
      </w:r>
      <w:r>
        <w:rPr>
          <w:rFonts w:ascii="Times New Roman" w:hAnsi="Times New Roman"/>
          <w:szCs w:val="28"/>
        </w:rPr>
        <w:t>。</w:t>
      </w:r>
      <w:bookmarkEnd w:id="52"/>
    </w:p>
    <w:p>
      <w:pPr>
        <w:rPr>
          <w:rFonts w:ascii="Times New Roman" w:hAnsi="Times New Roman"/>
          <w:b/>
          <w:bCs/>
          <w:szCs w:val="28"/>
        </w:rPr>
      </w:pPr>
      <w:r>
        <w:rPr>
          <w:rFonts w:hint="eastAsia" w:ascii="Times New Roman" w:hAnsi="Times New Roman"/>
          <w:b/>
          <w:bCs/>
          <w:szCs w:val="28"/>
        </w:rPr>
        <w:t>2</w:t>
      </w:r>
      <w:r>
        <w:rPr>
          <w:rFonts w:ascii="Times New Roman" w:hAnsi="Times New Roman"/>
          <w:b/>
          <w:bCs/>
          <w:szCs w:val="28"/>
        </w:rPr>
        <w:t>.3.2水环境风险受体</w:t>
      </w:r>
    </w:p>
    <w:p>
      <w:pPr>
        <w:ind w:firstLine="560" w:firstLineChars="200"/>
        <w:rPr>
          <w:rFonts w:hint="eastAsia" w:ascii="仿宋" w:hAnsi="仿宋" w:eastAsia="仿宋" w:cs="仿宋"/>
          <w:szCs w:val="28"/>
          <w:lang w:val="en-US" w:eastAsia="zh-CN"/>
        </w:rPr>
      </w:pPr>
      <w:bookmarkStart w:id="53" w:name="_Hlk89192353"/>
      <w:r>
        <w:rPr>
          <w:rFonts w:hint="eastAsia"/>
          <w:szCs w:val="28"/>
          <w:lang w:val="en-US" w:eastAsia="zh-CN"/>
        </w:rPr>
        <w:t>天津豪骏车业有限公司</w:t>
      </w:r>
      <w:r>
        <w:rPr>
          <w:rFonts w:hint="eastAsia" w:eastAsia="仿宋"/>
          <w:sz w:val="28"/>
          <w:szCs w:val="28"/>
        </w:rPr>
        <w:t>无生产废水外排，生活污水经化粪池沉淀后，通过污水管网排入</w:t>
      </w:r>
      <w:r>
        <w:rPr>
          <w:rFonts w:hint="eastAsia"/>
          <w:sz w:val="28"/>
          <w:szCs w:val="28"/>
          <w:lang w:eastAsia="zh-CN"/>
        </w:rPr>
        <w:t>中塘污水处理厂</w:t>
      </w:r>
      <w:r>
        <w:rPr>
          <w:rFonts w:hint="eastAsia" w:eastAsia="仿宋"/>
          <w:sz w:val="28"/>
          <w:szCs w:val="28"/>
        </w:rPr>
        <w:t>。</w:t>
      </w:r>
      <w:r>
        <w:rPr>
          <w:rFonts w:eastAsia="仿宋"/>
          <w:sz w:val="28"/>
          <w:szCs w:val="28"/>
        </w:rPr>
        <w:t>雨水排放口设于厂区</w:t>
      </w:r>
      <w:r>
        <w:rPr>
          <w:rFonts w:hint="eastAsia"/>
          <w:sz w:val="28"/>
          <w:szCs w:val="28"/>
          <w:lang w:val="en-US" w:eastAsia="zh-CN"/>
        </w:rPr>
        <w:t>北</w:t>
      </w:r>
      <w:r>
        <w:rPr>
          <w:rFonts w:eastAsia="仿宋"/>
          <w:sz w:val="28"/>
          <w:szCs w:val="28"/>
        </w:rPr>
        <w:t>侧</w:t>
      </w:r>
      <w:r>
        <w:rPr>
          <w:rFonts w:hint="eastAsia" w:eastAsia="仿宋"/>
          <w:sz w:val="28"/>
          <w:szCs w:val="28"/>
        </w:rPr>
        <w:t>大门口旁</w:t>
      </w:r>
      <w:r>
        <w:rPr>
          <w:rFonts w:eastAsia="仿宋"/>
          <w:sz w:val="28"/>
          <w:szCs w:val="28"/>
        </w:rPr>
        <w:t>，</w:t>
      </w:r>
      <w:r>
        <w:rPr>
          <w:rFonts w:hint="eastAsia" w:eastAsia="仿宋"/>
          <w:sz w:val="28"/>
          <w:szCs w:val="28"/>
        </w:rPr>
        <w:t>通过园区雨水管道进入到市政雨水管网，进</w:t>
      </w:r>
      <w:r>
        <w:rPr>
          <w:rFonts w:hint="eastAsia"/>
          <w:sz w:val="28"/>
          <w:szCs w:val="28"/>
          <w:lang w:val="en-US" w:eastAsia="zh-CN"/>
        </w:rPr>
        <w:t>入八米河</w:t>
      </w:r>
      <w:r>
        <w:rPr>
          <w:rFonts w:hint="eastAsia" w:eastAsia="仿宋"/>
          <w:sz w:val="28"/>
          <w:szCs w:val="28"/>
        </w:rPr>
        <w:t>排入</w:t>
      </w:r>
      <w:r>
        <w:rPr>
          <w:rFonts w:hint="eastAsia"/>
          <w:sz w:val="28"/>
          <w:szCs w:val="28"/>
          <w:lang w:val="en-US" w:eastAsia="zh-CN"/>
        </w:rPr>
        <w:t>独流减河</w:t>
      </w:r>
      <w:r>
        <w:rPr>
          <w:rFonts w:hint="eastAsia" w:eastAsia="仿宋"/>
          <w:sz w:val="28"/>
          <w:szCs w:val="28"/>
        </w:rPr>
        <w:t>。</w:t>
      </w:r>
      <w:r>
        <w:rPr>
          <w:rFonts w:hint="eastAsia" w:ascii="仿宋" w:hAnsi="仿宋" w:eastAsia="仿宋" w:cs="仿宋"/>
          <w:szCs w:val="28"/>
          <w:lang w:val="en-US" w:eastAsia="zh-CN"/>
        </w:rPr>
        <w:t>根据《企业突发环境事件风险分级方法》（HJ941-2018）中相关要求，调查企业雨水排口下游10公里范围内水环境风险受体情况，以及按最大流速计，水体24小时流经范围内是否涉及国界、省界、市界等情况。</w:t>
      </w:r>
    </w:p>
    <w:p>
      <w:pPr>
        <w:ind w:firstLine="560" w:firstLineChars="200"/>
        <w:rPr>
          <w:rFonts w:hint="eastAsia" w:ascii="仿宋" w:hAnsi="仿宋" w:eastAsia="仿宋" w:cs="仿宋"/>
          <w:szCs w:val="28"/>
          <w:lang w:val="en-US" w:eastAsia="zh-CN"/>
        </w:rPr>
      </w:pPr>
      <w:r>
        <w:rPr>
          <w:rFonts w:hint="eastAsia" w:ascii="仿宋" w:hAnsi="仿宋" w:eastAsia="仿宋" w:cs="仿宋"/>
          <w:szCs w:val="28"/>
          <w:lang w:val="en-US" w:eastAsia="zh-CN"/>
        </w:rPr>
        <w:t>经调查本项目企业排水口下游10公里范围内风险水体见表2</w:t>
      </w:r>
      <w:r>
        <w:rPr>
          <w:rFonts w:hint="eastAsia" w:ascii="仿宋" w:hAnsi="仿宋" w:cs="仿宋"/>
          <w:szCs w:val="28"/>
          <w:lang w:val="en-US" w:eastAsia="zh-CN"/>
        </w:rPr>
        <w:t>-</w:t>
      </w:r>
      <w:r>
        <w:rPr>
          <w:rFonts w:hint="eastAsia" w:ascii="仿宋" w:hAnsi="仿宋" w:eastAsia="仿宋" w:cs="仿宋"/>
          <w:szCs w:val="28"/>
          <w:lang w:val="en-US" w:eastAsia="zh-CN"/>
        </w:rPr>
        <w:t>3-1，不涉及饮用水水源保护区、自来水厂取水口特殊生态系统、水产养殖区、鱼虾产卵场、天然渔场等。</w:t>
      </w:r>
    </w:p>
    <w:bookmarkEnd w:id="53"/>
    <w:p>
      <w:pPr>
        <w:ind w:firstLine="560" w:firstLineChars="200"/>
        <w:rPr>
          <w:szCs w:val="28"/>
        </w:rPr>
      </w:pPr>
      <w:r>
        <w:rPr>
          <w:szCs w:val="28"/>
        </w:rPr>
        <w:t>水环境风险受体</w:t>
      </w:r>
      <w:r>
        <w:rPr>
          <w:rFonts w:hint="eastAsia"/>
          <w:szCs w:val="28"/>
        </w:rPr>
        <w:t>见下表</w:t>
      </w:r>
      <w:r>
        <w:rPr>
          <w:szCs w:val="28"/>
        </w:rPr>
        <w:t>所示。</w:t>
      </w:r>
    </w:p>
    <w:p>
      <w:pPr>
        <w:widowControl/>
        <w:autoSpaceDE w:val="0"/>
        <w:autoSpaceDN w:val="0"/>
        <w:adjustRightInd w:val="0"/>
        <w:snapToGrid w:val="0"/>
        <w:jc w:val="center"/>
        <w:rPr>
          <w:rFonts w:hint="eastAsia" w:ascii="仿宋" w:hAnsi="仿宋" w:eastAsia="仿宋" w:cs="仿宋"/>
          <w:sz w:val="24"/>
          <w:szCs w:val="24"/>
        </w:rPr>
      </w:pPr>
      <w:bookmarkStart w:id="54" w:name="_Hlk89192425"/>
      <w:r>
        <w:rPr>
          <w:rFonts w:hint="eastAsia" w:ascii="仿宋" w:hAnsi="仿宋" w:eastAsia="仿宋" w:cs="仿宋"/>
          <w:sz w:val="24"/>
          <w:szCs w:val="24"/>
          <w:lang w:val="zh-CN"/>
        </w:rPr>
        <w:t>表</w:t>
      </w:r>
      <w:r>
        <w:rPr>
          <w:rFonts w:hint="eastAsia" w:ascii="仿宋" w:hAnsi="仿宋" w:eastAsia="仿宋" w:cs="仿宋"/>
          <w:sz w:val="24"/>
          <w:szCs w:val="24"/>
        </w:rPr>
        <w:t>2</w:t>
      </w:r>
      <w:r>
        <w:rPr>
          <w:rFonts w:hint="eastAsia" w:ascii="仿宋" w:hAnsi="仿宋" w:eastAsia="仿宋" w:cs="仿宋"/>
          <w:sz w:val="24"/>
          <w:szCs w:val="24"/>
          <w:lang w:val="en-US" w:eastAsia="zh-CN"/>
        </w:rPr>
        <w:t>-</w:t>
      </w:r>
      <w:r>
        <w:rPr>
          <w:rFonts w:hint="eastAsia" w:ascii="仿宋" w:hAnsi="仿宋" w:eastAsia="仿宋" w:cs="仿宋"/>
          <w:sz w:val="24"/>
          <w:szCs w:val="24"/>
        </w:rPr>
        <w:t>3</w:t>
      </w:r>
      <w:r>
        <w:rPr>
          <w:rFonts w:hint="eastAsia" w:ascii="仿宋" w:hAnsi="仿宋" w:eastAsia="仿宋" w:cs="仿宋"/>
          <w:sz w:val="24"/>
          <w:szCs w:val="24"/>
          <w:lang w:val="zh-CN"/>
        </w:rPr>
        <w:t>-</w:t>
      </w:r>
      <w:r>
        <w:rPr>
          <w:rFonts w:hint="eastAsia" w:ascii="仿宋" w:hAnsi="仿宋" w:eastAsia="仿宋" w:cs="仿宋"/>
          <w:sz w:val="24"/>
          <w:szCs w:val="24"/>
        </w:rPr>
        <w:t>1</w:t>
      </w:r>
      <w:r>
        <w:rPr>
          <w:rFonts w:hint="eastAsia" w:ascii="仿宋" w:hAnsi="仿宋" w:eastAsia="仿宋" w:cs="仿宋"/>
          <w:sz w:val="24"/>
          <w:szCs w:val="24"/>
          <w:lang w:val="zh-CN"/>
        </w:rPr>
        <w:t xml:space="preserve">  </w:t>
      </w:r>
      <w:r>
        <w:rPr>
          <w:rFonts w:hint="eastAsia" w:ascii="仿宋" w:hAnsi="仿宋" w:eastAsia="仿宋" w:cs="仿宋"/>
          <w:bCs/>
          <w:kern w:val="0"/>
          <w:sz w:val="24"/>
          <w:szCs w:val="24"/>
          <w:lang w:bidi="ar"/>
        </w:rPr>
        <w:t>项目下游</w:t>
      </w:r>
      <w:r>
        <w:rPr>
          <w:rFonts w:hint="eastAsia" w:ascii="仿宋" w:hAnsi="仿宋" w:eastAsia="仿宋" w:cs="仿宋"/>
          <w:bCs/>
          <w:kern w:val="0"/>
          <w:sz w:val="24"/>
          <w:szCs w:val="24"/>
          <w:lang w:val="zh-CN" w:bidi="ar"/>
        </w:rPr>
        <w:t>10km范围内水环境风险受体</w:t>
      </w:r>
      <w:r>
        <w:rPr>
          <w:rFonts w:hint="eastAsia" w:ascii="仿宋" w:hAnsi="仿宋" w:eastAsia="仿宋" w:cs="仿宋"/>
          <w:bCs/>
          <w:kern w:val="0"/>
          <w:sz w:val="24"/>
          <w:szCs w:val="24"/>
          <w:lang w:bidi="ar"/>
        </w:rPr>
        <w:t>信息一览表</w:t>
      </w:r>
    </w:p>
    <w:bookmarkEnd w:id="54"/>
    <w:tbl>
      <w:tblPr>
        <w:tblStyle w:val="40"/>
        <w:tblW w:w="4677"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805"/>
        <w:gridCol w:w="2153"/>
        <w:gridCol w:w="2445"/>
        <w:gridCol w:w="1881"/>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05" w:hRule="atLeast"/>
          <w:jc w:val="center"/>
        </w:trPr>
        <w:tc>
          <w:tcPr>
            <w:tcW w:w="1089" w:type="pct"/>
            <w:noWrap w:val="0"/>
            <w:vAlign w:val="center"/>
          </w:tcPr>
          <w:p>
            <w:pPr>
              <w:autoSpaceDE w:val="0"/>
              <w:autoSpaceDN w:val="0"/>
              <w:adjustRightInd w:val="0"/>
              <w:jc w:val="center"/>
              <w:rPr>
                <w:rFonts w:hint="eastAsia" w:ascii="仿宋" w:hAnsi="仿宋" w:eastAsia="仿宋" w:cs="仿宋"/>
                <w:sz w:val="24"/>
                <w:szCs w:val="24"/>
                <w:lang w:val="en-US" w:eastAsia="zh-CN"/>
              </w:rPr>
            </w:pPr>
            <w:bookmarkStart w:id="55" w:name="_Hlk28162317"/>
            <w:r>
              <w:rPr>
                <w:rFonts w:hint="eastAsia" w:ascii="仿宋" w:hAnsi="仿宋" w:eastAsia="仿宋" w:cs="仿宋"/>
                <w:sz w:val="24"/>
                <w:szCs w:val="24"/>
                <w:lang w:val="en-US" w:eastAsia="zh-CN"/>
              </w:rPr>
              <w:t>名称</w:t>
            </w:r>
          </w:p>
        </w:tc>
        <w:tc>
          <w:tcPr>
            <w:tcW w:w="1299" w:type="pct"/>
            <w:noWrap w:val="0"/>
            <w:vAlign w:val="center"/>
          </w:tcPr>
          <w:p>
            <w:pPr>
              <w:autoSpaceDE w:val="0"/>
              <w:autoSpaceDN w:val="0"/>
              <w:adjustRightInd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方位</w:t>
            </w:r>
          </w:p>
        </w:tc>
        <w:tc>
          <w:tcPr>
            <w:tcW w:w="1475" w:type="pct"/>
            <w:noWrap w:val="0"/>
            <w:vAlign w:val="center"/>
          </w:tcPr>
          <w:p>
            <w:pPr>
              <w:autoSpaceDE w:val="0"/>
              <w:autoSpaceDN w:val="0"/>
              <w:adjustRightInd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距离</w:t>
            </w:r>
          </w:p>
        </w:tc>
        <w:tc>
          <w:tcPr>
            <w:tcW w:w="1134" w:type="pct"/>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cs="仿宋"/>
                <w:sz w:val="24"/>
                <w:szCs w:val="24"/>
                <w:lang w:val="en-US" w:eastAsia="zh-CN"/>
              </w:rPr>
              <w:t>水体功能</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089" w:type="pct"/>
            <w:noWrap w:val="0"/>
            <w:vAlign w:val="center"/>
          </w:tcPr>
          <w:p>
            <w:pPr>
              <w:autoSpaceDE w:val="0"/>
              <w:autoSpaceDN w:val="0"/>
              <w:adjustRightInd w:val="0"/>
              <w:jc w:val="center"/>
              <w:rPr>
                <w:rFonts w:hint="default" w:ascii="仿宋" w:hAnsi="仿宋" w:eastAsia="仿宋" w:cs="仿宋"/>
                <w:sz w:val="24"/>
                <w:szCs w:val="24"/>
                <w:lang w:val="en-US" w:eastAsia="zh-CN"/>
              </w:rPr>
            </w:pPr>
            <w:r>
              <w:rPr>
                <w:rFonts w:hint="eastAsia" w:ascii="仿宋" w:hAnsi="仿宋" w:cs="仿宋"/>
                <w:sz w:val="24"/>
                <w:szCs w:val="24"/>
                <w:lang w:val="en-US" w:eastAsia="zh-CN"/>
              </w:rPr>
              <w:t>八米河</w:t>
            </w:r>
          </w:p>
        </w:tc>
        <w:tc>
          <w:tcPr>
            <w:tcW w:w="1299" w:type="pct"/>
            <w:noWrap w:val="0"/>
            <w:vAlign w:val="center"/>
          </w:tcPr>
          <w:p>
            <w:pPr>
              <w:autoSpaceDE w:val="0"/>
              <w:autoSpaceDN w:val="0"/>
              <w:adjustRightInd w:val="0"/>
              <w:jc w:val="center"/>
              <w:rPr>
                <w:rFonts w:hint="eastAsia" w:ascii="仿宋" w:hAnsi="仿宋" w:eastAsia="仿宋" w:cs="仿宋"/>
                <w:sz w:val="24"/>
                <w:szCs w:val="24"/>
                <w:lang w:val="en-US" w:eastAsia="zh-CN"/>
              </w:rPr>
            </w:pPr>
            <w:r>
              <w:rPr>
                <w:rFonts w:hint="eastAsia" w:ascii="仿宋" w:hAnsi="仿宋" w:cs="仿宋"/>
                <w:sz w:val="24"/>
                <w:szCs w:val="24"/>
                <w:highlight w:val="none"/>
                <w:lang w:val="en-US" w:eastAsia="zh-CN"/>
              </w:rPr>
              <w:t>西北</w:t>
            </w:r>
          </w:p>
        </w:tc>
        <w:tc>
          <w:tcPr>
            <w:tcW w:w="1475" w:type="pct"/>
            <w:noWrap w:val="0"/>
            <w:vAlign w:val="center"/>
          </w:tcPr>
          <w:p>
            <w:pPr>
              <w:autoSpaceDE w:val="0"/>
              <w:autoSpaceDN w:val="0"/>
              <w:adjustRightInd w:val="0"/>
              <w:jc w:val="center"/>
              <w:rPr>
                <w:rFonts w:hint="eastAsia" w:ascii="仿宋" w:hAnsi="仿宋" w:eastAsia="仿宋" w:cs="仿宋"/>
                <w:sz w:val="24"/>
                <w:szCs w:val="24"/>
                <w:lang w:val="en-US" w:eastAsia="zh-CN"/>
              </w:rPr>
            </w:pPr>
            <w:r>
              <w:rPr>
                <w:rFonts w:hint="eastAsia" w:ascii="仿宋" w:hAnsi="仿宋" w:cs="仿宋"/>
                <w:sz w:val="24"/>
                <w:szCs w:val="24"/>
                <w:lang w:val="en-US" w:eastAsia="zh-CN"/>
              </w:rPr>
              <w:t>0.28</w:t>
            </w:r>
            <w:r>
              <w:rPr>
                <w:rFonts w:hint="eastAsia" w:ascii="仿宋" w:hAnsi="仿宋" w:eastAsia="仿宋" w:cs="仿宋"/>
                <w:sz w:val="24"/>
                <w:szCs w:val="24"/>
                <w:lang w:val="en-US" w:eastAsia="zh-CN"/>
              </w:rPr>
              <w:t>km</w:t>
            </w:r>
          </w:p>
        </w:tc>
        <w:tc>
          <w:tcPr>
            <w:tcW w:w="1134" w:type="pct"/>
            <w:noWrap w:val="0"/>
            <w:vAlign w:val="center"/>
          </w:tcPr>
          <w:p>
            <w:pPr>
              <w:autoSpaceDE w:val="0"/>
              <w:autoSpaceDN w:val="0"/>
              <w:adjustRightInd w:val="0"/>
              <w:jc w:val="center"/>
              <w:rPr>
                <w:rFonts w:hint="default" w:ascii="仿宋" w:hAnsi="仿宋" w:cs="仿宋"/>
                <w:sz w:val="24"/>
                <w:szCs w:val="24"/>
                <w:lang w:val="en-US" w:eastAsia="zh-CN"/>
              </w:rPr>
            </w:pPr>
            <w:r>
              <w:rPr>
                <w:rFonts w:hint="eastAsia" w:ascii="仿宋" w:hAnsi="仿宋" w:cs="仿宋"/>
                <w:sz w:val="24"/>
                <w:szCs w:val="24"/>
                <w:lang w:val="en-US" w:eastAsia="zh-CN"/>
              </w:rPr>
              <w:t>排涝</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089" w:type="pct"/>
            <w:noWrap w:val="0"/>
            <w:vAlign w:val="center"/>
          </w:tcPr>
          <w:p>
            <w:pPr>
              <w:autoSpaceDE w:val="0"/>
              <w:autoSpaceDN w:val="0"/>
              <w:adjustRightInd w:val="0"/>
              <w:jc w:val="center"/>
              <w:rPr>
                <w:rFonts w:hint="eastAsia" w:ascii="仿宋" w:hAnsi="仿宋" w:eastAsia="仿宋" w:cs="仿宋"/>
                <w:sz w:val="24"/>
                <w:szCs w:val="24"/>
                <w:lang w:val="en-US" w:eastAsia="zh-CN"/>
              </w:rPr>
            </w:pPr>
            <w:r>
              <w:rPr>
                <w:rFonts w:hint="eastAsia" w:ascii="仿宋" w:hAnsi="仿宋" w:cs="仿宋"/>
                <w:sz w:val="24"/>
                <w:szCs w:val="24"/>
                <w:lang w:val="en-US" w:eastAsia="zh-CN"/>
              </w:rPr>
              <w:t>独流减河</w:t>
            </w:r>
          </w:p>
        </w:tc>
        <w:tc>
          <w:tcPr>
            <w:tcW w:w="1299" w:type="pct"/>
            <w:noWrap w:val="0"/>
            <w:vAlign w:val="center"/>
          </w:tcPr>
          <w:p>
            <w:pPr>
              <w:autoSpaceDE w:val="0"/>
              <w:autoSpaceDN w:val="0"/>
              <w:adjustRightInd w:val="0"/>
              <w:jc w:val="center"/>
              <w:rPr>
                <w:rFonts w:hint="eastAsia" w:ascii="仿宋" w:hAnsi="仿宋" w:eastAsia="仿宋" w:cs="仿宋"/>
                <w:sz w:val="24"/>
                <w:szCs w:val="24"/>
                <w:lang w:val="en-US" w:eastAsia="zh-CN"/>
              </w:rPr>
            </w:pPr>
            <w:r>
              <w:rPr>
                <w:rFonts w:hint="eastAsia" w:ascii="仿宋" w:hAnsi="仿宋" w:cs="仿宋"/>
                <w:sz w:val="24"/>
                <w:szCs w:val="24"/>
                <w:lang w:val="en-US" w:eastAsia="zh-CN"/>
              </w:rPr>
              <w:t>西南</w:t>
            </w:r>
          </w:p>
        </w:tc>
        <w:tc>
          <w:tcPr>
            <w:tcW w:w="1475" w:type="pct"/>
            <w:noWrap w:val="0"/>
            <w:vAlign w:val="center"/>
          </w:tcPr>
          <w:p>
            <w:pPr>
              <w:autoSpaceDE w:val="0"/>
              <w:autoSpaceDN w:val="0"/>
              <w:adjustRightInd w:val="0"/>
              <w:jc w:val="center"/>
              <w:rPr>
                <w:rFonts w:hint="eastAsia" w:ascii="仿宋" w:hAnsi="仿宋" w:eastAsia="仿宋" w:cs="仿宋"/>
                <w:sz w:val="24"/>
                <w:szCs w:val="24"/>
                <w:lang w:val="en-US" w:eastAsia="zh-CN"/>
              </w:rPr>
            </w:pPr>
            <w:r>
              <w:rPr>
                <w:rFonts w:hint="eastAsia" w:ascii="仿宋" w:hAnsi="仿宋" w:cs="仿宋"/>
                <w:sz w:val="24"/>
                <w:szCs w:val="24"/>
                <w:lang w:val="en-US" w:eastAsia="zh-CN"/>
              </w:rPr>
              <w:t>8.6</w:t>
            </w:r>
            <w:r>
              <w:rPr>
                <w:rFonts w:hint="eastAsia" w:ascii="仿宋" w:hAnsi="仿宋" w:eastAsia="仿宋" w:cs="仿宋"/>
                <w:sz w:val="24"/>
                <w:szCs w:val="24"/>
                <w:lang w:val="en-US" w:eastAsia="zh-CN"/>
              </w:rPr>
              <w:t>km</w:t>
            </w:r>
          </w:p>
        </w:tc>
        <w:tc>
          <w:tcPr>
            <w:tcW w:w="1134" w:type="pct"/>
            <w:noWrap w:val="0"/>
            <w:vAlign w:val="center"/>
          </w:tcPr>
          <w:p>
            <w:pPr>
              <w:autoSpaceDE w:val="0"/>
              <w:autoSpaceDN w:val="0"/>
              <w:adjustRightInd w:val="0"/>
              <w:jc w:val="center"/>
              <w:rPr>
                <w:rFonts w:hint="default" w:ascii="仿宋" w:hAnsi="仿宋" w:cs="仿宋"/>
                <w:sz w:val="24"/>
                <w:szCs w:val="24"/>
                <w:lang w:val="en-US" w:eastAsia="zh-CN"/>
              </w:rPr>
            </w:pPr>
            <w:r>
              <w:rPr>
                <w:rFonts w:hint="eastAsia" w:ascii="仿宋" w:hAnsi="仿宋" w:cs="仿宋"/>
                <w:sz w:val="24"/>
                <w:szCs w:val="24"/>
                <w:lang w:val="en-US" w:eastAsia="zh-CN"/>
              </w:rPr>
              <w:t>排涝</w:t>
            </w:r>
          </w:p>
        </w:tc>
      </w:tr>
      <w:bookmarkEnd w:id="55"/>
    </w:tbl>
    <w:p>
      <w:pPr>
        <w:rPr>
          <w:rFonts w:ascii="Times New Roman" w:hAnsi="Times New Roman"/>
          <w:b/>
          <w:bCs/>
          <w:szCs w:val="28"/>
        </w:rPr>
      </w:pPr>
      <w:r>
        <w:rPr>
          <w:rFonts w:hint="eastAsia" w:ascii="Times New Roman" w:hAnsi="Times New Roman"/>
          <w:b/>
          <w:bCs/>
          <w:szCs w:val="28"/>
        </w:rPr>
        <w:t>2</w:t>
      </w:r>
      <w:r>
        <w:rPr>
          <w:rFonts w:ascii="Times New Roman" w:hAnsi="Times New Roman"/>
          <w:b/>
          <w:bCs/>
          <w:szCs w:val="28"/>
        </w:rPr>
        <w:t>.3.3土壤环境风险受体</w:t>
      </w:r>
    </w:p>
    <w:p>
      <w:pPr>
        <w:ind w:firstLine="560" w:firstLineChars="200"/>
        <w:rPr>
          <w:rFonts w:hint="default" w:ascii="仿宋" w:hAnsi="仿宋" w:eastAsia="仿宋" w:cs="仿宋"/>
          <w:szCs w:val="28"/>
          <w:lang w:val="en-US" w:eastAsia="zh-CN"/>
        </w:rPr>
      </w:pPr>
      <w:r>
        <w:rPr>
          <w:rFonts w:hint="eastAsia"/>
          <w:lang w:val="en-US" w:eastAsia="zh-CN"/>
        </w:rPr>
        <w:t xml:space="preserve"> </w:t>
      </w:r>
      <w:r>
        <w:rPr>
          <w:rFonts w:hint="eastAsia" w:ascii="仿宋" w:hAnsi="仿宋" w:eastAsia="仿宋" w:cs="仿宋"/>
          <w:szCs w:val="28"/>
          <w:lang w:val="en-US" w:eastAsia="zh-CN"/>
        </w:rPr>
        <w:t xml:space="preserve"> 厂区位于工业园区内，周边均为工业用地，周边范围内均为工业企业，无土壤环境风险受体。</w:t>
      </w:r>
    </w:p>
    <w:p>
      <w:pPr>
        <w:outlineLvl w:val="0"/>
        <w:rPr>
          <w:rFonts w:ascii="Times New Roman" w:hAnsi="Times New Roman"/>
          <w:b/>
          <w:bCs/>
          <w:szCs w:val="28"/>
        </w:rPr>
      </w:pPr>
      <w:bookmarkStart w:id="56" w:name="_Toc14149"/>
      <w:bookmarkStart w:id="57" w:name="_Toc25612"/>
      <w:r>
        <w:rPr>
          <w:rFonts w:hint="eastAsia" w:ascii="Times New Roman" w:hAnsi="Times New Roman"/>
          <w:b/>
          <w:bCs/>
          <w:szCs w:val="28"/>
        </w:rPr>
        <w:t>3</w:t>
      </w:r>
      <w:r>
        <w:rPr>
          <w:rFonts w:ascii="Times New Roman" w:hAnsi="Times New Roman"/>
          <w:b/>
          <w:bCs/>
          <w:szCs w:val="28"/>
        </w:rPr>
        <w:t>.环境风险源辨识与风险评估</w:t>
      </w:r>
      <w:bookmarkEnd w:id="49"/>
      <w:bookmarkEnd w:id="56"/>
      <w:bookmarkEnd w:id="57"/>
    </w:p>
    <w:p>
      <w:pPr>
        <w:outlineLvl w:val="1"/>
        <w:rPr>
          <w:rFonts w:ascii="Times New Roman" w:hAnsi="Times New Roman"/>
          <w:b/>
          <w:bCs/>
          <w:szCs w:val="28"/>
        </w:rPr>
      </w:pPr>
      <w:bookmarkStart w:id="58" w:name="_Toc14841"/>
      <w:bookmarkStart w:id="59" w:name="_Toc3458"/>
      <w:bookmarkStart w:id="60" w:name="_Toc9434_WPSOffice_Level2"/>
      <w:r>
        <w:rPr>
          <w:rFonts w:hint="eastAsia" w:ascii="Times New Roman" w:hAnsi="Times New Roman"/>
          <w:b/>
          <w:bCs/>
          <w:szCs w:val="28"/>
        </w:rPr>
        <w:t>3</w:t>
      </w:r>
      <w:r>
        <w:rPr>
          <w:rFonts w:ascii="Times New Roman" w:hAnsi="Times New Roman"/>
          <w:b/>
          <w:bCs/>
          <w:szCs w:val="28"/>
        </w:rPr>
        <w:t>.1环境风险源辨识</w:t>
      </w:r>
      <w:bookmarkEnd w:id="58"/>
      <w:bookmarkEnd w:id="59"/>
      <w:bookmarkEnd w:id="60"/>
      <w:bookmarkStart w:id="61" w:name="_Toc6849_WPSOffice_Level2"/>
    </w:p>
    <w:p>
      <w:pPr>
        <w:ind w:firstLine="560" w:firstLineChars="200"/>
        <w:rPr>
          <w:szCs w:val="28"/>
        </w:rPr>
      </w:pPr>
      <w:r>
        <w:rPr>
          <w:rFonts w:hint="eastAsia" w:ascii="仿宋" w:hAnsi="仿宋" w:eastAsia="仿宋" w:cs="仿宋"/>
          <w:szCs w:val="28"/>
          <w:lang w:val="en-US" w:eastAsia="zh-CN"/>
        </w:rPr>
        <w:t>根据《企业突发环境事件风险分级方法》（HJ941-2018）中相关要求</w:t>
      </w:r>
      <w:r>
        <w:rPr>
          <w:szCs w:val="28"/>
        </w:rPr>
        <w:t>，通过对公司原辅材料、</w:t>
      </w:r>
      <w:r>
        <w:rPr>
          <w:rFonts w:hint="eastAsia"/>
          <w:szCs w:val="28"/>
        </w:rPr>
        <w:t>产品</w:t>
      </w:r>
      <w:r>
        <w:rPr>
          <w:szCs w:val="28"/>
        </w:rPr>
        <w:t>、</w:t>
      </w:r>
      <w:r>
        <w:rPr>
          <w:rFonts w:hint="eastAsia"/>
          <w:szCs w:val="28"/>
          <w:lang w:val="en-US" w:eastAsia="zh-CN"/>
        </w:rPr>
        <w:t>危险废物</w:t>
      </w:r>
      <w:r>
        <w:rPr>
          <w:szCs w:val="28"/>
        </w:rPr>
        <w:t>进行危险性</w:t>
      </w:r>
      <w:r>
        <w:rPr>
          <w:rFonts w:hint="eastAsia"/>
          <w:szCs w:val="28"/>
        </w:rPr>
        <w:t>识别，本公司</w:t>
      </w:r>
      <w:r>
        <w:rPr>
          <w:szCs w:val="28"/>
        </w:rPr>
        <w:t>涉及的风险物质为</w:t>
      </w:r>
      <w:r>
        <w:rPr>
          <w:rFonts w:hint="eastAsia"/>
          <w:szCs w:val="28"/>
          <w:lang w:val="en-US" w:eastAsia="zh-CN"/>
        </w:rPr>
        <w:t>液压油、润滑油、废液压油、废润滑油</w:t>
      </w:r>
      <w:r>
        <w:rPr>
          <w:rFonts w:hint="eastAsia"/>
          <w:szCs w:val="28"/>
        </w:rPr>
        <w:t>。</w:t>
      </w:r>
    </w:p>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表3</w:t>
      </w:r>
      <w:r>
        <w:rPr>
          <w:rFonts w:hint="eastAsia" w:ascii="仿宋" w:hAnsi="仿宋" w:eastAsia="仿宋" w:cs="仿宋"/>
          <w:sz w:val="24"/>
          <w:szCs w:val="24"/>
          <w:lang w:val="en-US" w:eastAsia="zh-CN"/>
        </w:rPr>
        <w:t>-</w:t>
      </w:r>
      <w:r>
        <w:rPr>
          <w:rFonts w:hint="eastAsia" w:ascii="仿宋" w:hAnsi="仿宋" w:eastAsia="仿宋" w:cs="仿宋"/>
          <w:sz w:val="24"/>
          <w:szCs w:val="24"/>
        </w:rPr>
        <w:t>1-1  环境风险源识别清单</w:t>
      </w:r>
    </w:p>
    <w:tbl>
      <w:tblPr>
        <w:tblStyle w:val="40"/>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75"/>
        <w:gridCol w:w="1722"/>
        <w:gridCol w:w="1639"/>
        <w:gridCol w:w="39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890" w:type="pct"/>
            <w:shd w:val="clear" w:color="auto" w:fill="auto"/>
            <w:vAlign w:val="center"/>
          </w:tcPr>
          <w:p>
            <w:pPr>
              <w:pStyle w:val="107"/>
              <w:rPr>
                <w:rFonts w:hint="eastAsia" w:ascii="仿宋" w:hAnsi="仿宋" w:eastAsia="仿宋" w:cs="仿宋"/>
                <w:b/>
                <w:bCs/>
                <w:sz w:val="24"/>
                <w:szCs w:val="24"/>
              </w:rPr>
            </w:pPr>
            <w:bookmarkStart w:id="62" w:name="_Toc1899"/>
            <w:bookmarkStart w:id="63" w:name="_Toc13250"/>
            <w:r>
              <w:rPr>
                <w:rFonts w:hint="eastAsia" w:ascii="仿宋" w:hAnsi="仿宋" w:eastAsia="仿宋" w:cs="仿宋"/>
                <w:b/>
                <w:bCs/>
                <w:sz w:val="24"/>
                <w:szCs w:val="24"/>
              </w:rPr>
              <w:t>突发环境事件类型</w:t>
            </w:r>
          </w:p>
        </w:tc>
        <w:tc>
          <w:tcPr>
            <w:tcW w:w="973" w:type="pct"/>
            <w:shd w:val="clear" w:color="auto" w:fill="auto"/>
            <w:vAlign w:val="center"/>
          </w:tcPr>
          <w:p>
            <w:pPr>
              <w:pStyle w:val="107"/>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风险物质</w:t>
            </w:r>
          </w:p>
        </w:tc>
        <w:tc>
          <w:tcPr>
            <w:tcW w:w="926" w:type="pct"/>
            <w:shd w:val="clear" w:color="auto" w:fill="auto"/>
            <w:vAlign w:val="center"/>
          </w:tcPr>
          <w:p>
            <w:pPr>
              <w:pStyle w:val="107"/>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风险单元</w:t>
            </w:r>
          </w:p>
        </w:tc>
        <w:tc>
          <w:tcPr>
            <w:tcW w:w="2210" w:type="pct"/>
            <w:shd w:val="clear" w:color="auto" w:fill="auto"/>
            <w:vAlign w:val="center"/>
          </w:tcPr>
          <w:p>
            <w:pPr>
              <w:pStyle w:val="107"/>
              <w:rPr>
                <w:rFonts w:hint="eastAsia" w:ascii="仿宋" w:hAnsi="仿宋" w:eastAsia="仿宋" w:cs="仿宋"/>
                <w:b/>
                <w:bCs/>
                <w:sz w:val="24"/>
                <w:szCs w:val="24"/>
                <w:lang w:val="en-US" w:eastAsia="zh-CN"/>
              </w:rPr>
            </w:pPr>
            <w:r>
              <w:rPr>
                <w:rFonts w:hint="eastAsia" w:ascii="仿宋" w:hAnsi="仿宋" w:eastAsia="仿宋" w:cs="仿宋"/>
                <w:b/>
                <w:bCs/>
                <w:sz w:val="24"/>
                <w:szCs w:val="24"/>
              </w:rPr>
              <w:t>可能</w:t>
            </w:r>
            <w:r>
              <w:rPr>
                <w:rFonts w:hint="eastAsia" w:ascii="仿宋" w:hAnsi="仿宋" w:eastAsia="仿宋" w:cs="仿宋"/>
                <w:b/>
                <w:bCs/>
                <w:sz w:val="24"/>
                <w:szCs w:val="24"/>
                <w:lang w:val="en-US" w:eastAsia="zh-CN"/>
              </w:rPr>
              <w:t>引发或次生突发环境事件的最坏情景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0" w:type="pct"/>
            <w:vMerge w:val="restart"/>
            <w:vAlign w:val="center"/>
          </w:tcPr>
          <w:p>
            <w:pPr>
              <w:pStyle w:val="107"/>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泄漏</w:t>
            </w:r>
          </w:p>
        </w:tc>
        <w:tc>
          <w:tcPr>
            <w:tcW w:w="973" w:type="pct"/>
            <w:vAlign w:val="center"/>
          </w:tcPr>
          <w:p>
            <w:pPr>
              <w:pStyle w:val="107"/>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机油</w:t>
            </w:r>
          </w:p>
        </w:tc>
        <w:tc>
          <w:tcPr>
            <w:tcW w:w="926" w:type="pct"/>
            <w:vAlign w:val="center"/>
          </w:tcPr>
          <w:p>
            <w:pPr>
              <w:pStyle w:val="107"/>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生产车间</w:t>
            </w:r>
          </w:p>
        </w:tc>
        <w:tc>
          <w:tcPr>
            <w:tcW w:w="2210" w:type="pct"/>
            <w:vAlign w:val="center"/>
          </w:tcPr>
          <w:p>
            <w:pPr>
              <w:pStyle w:val="107"/>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少量泄漏至车间地面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0" w:type="pct"/>
            <w:vMerge w:val="continue"/>
            <w:vAlign w:val="center"/>
          </w:tcPr>
          <w:p>
            <w:pPr>
              <w:pStyle w:val="107"/>
              <w:rPr>
                <w:rFonts w:hint="eastAsia" w:ascii="仿宋" w:hAnsi="仿宋" w:eastAsia="仿宋" w:cs="仿宋"/>
                <w:sz w:val="24"/>
                <w:szCs w:val="24"/>
                <w:lang w:val="en-US" w:eastAsia="zh-CN"/>
              </w:rPr>
            </w:pPr>
          </w:p>
        </w:tc>
        <w:tc>
          <w:tcPr>
            <w:tcW w:w="973" w:type="pct"/>
            <w:vAlign w:val="center"/>
          </w:tcPr>
          <w:p>
            <w:pPr>
              <w:pStyle w:val="107"/>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切削液</w:t>
            </w:r>
          </w:p>
        </w:tc>
        <w:tc>
          <w:tcPr>
            <w:tcW w:w="926" w:type="pct"/>
            <w:vAlign w:val="center"/>
          </w:tcPr>
          <w:p>
            <w:pPr>
              <w:pStyle w:val="107"/>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生产车间</w:t>
            </w:r>
          </w:p>
        </w:tc>
        <w:tc>
          <w:tcPr>
            <w:tcW w:w="2210" w:type="pct"/>
            <w:vAlign w:val="center"/>
          </w:tcPr>
          <w:p>
            <w:pPr>
              <w:pStyle w:val="107"/>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少量泄漏至车间地面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0" w:type="pct"/>
            <w:vMerge w:val="continue"/>
            <w:vAlign w:val="center"/>
          </w:tcPr>
          <w:p>
            <w:pPr>
              <w:pStyle w:val="107"/>
              <w:rPr>
                <w:rFonts w:hint="eastAsia" w:ascii="仿宋" w:hAnsi="仿宋" w:eastAsia="仿宋" w:cs="仿宋"/>
                <w:sz w:val="24"/>
                <w:szCs w:val="24"/>
                <w:lang w:val="en-US" w:eastAsia="zh-CN"/>
              </w:rPr>
            </w:pPr>
          </w:p>
        </w:tc>
        <w:tc>
          <w:tcPr>
            <w:tcW w:w="973" w:type="pct"/>
            <w:vAlign w:val="center"/>
          </w:tcPr>
          <w:p>
            <w:pPr>
              <w:pStyle w:val="107"/>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废机油</w:t>
            </w:r>
          </w:p>
        </w:tc>
        <w:tc>
          <w:tcPr>
            <w:tcW w:w="926" w:type="pct"/>
            <w:vAlign w:val="center"/>
          </w:tcPr>
          <w:p>
            <w:pPr>
              <w:pStyle w:val="107"/>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危废暂存间</w:t>
            </w:r>
          </w:p>
        </w:tc>
        <w:tc>
          <w:tcPr>
            <w:tcW w:w="2210" w:type="pct"/>
            <w:vAlign w:val="center"/>
          </w:tcPr>
          <w:p>
            <w:pPr>
              <w:pStyle w:val="107"/>
              <w:jc w:val="left"/>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厂内转移过程泄漏进入雨水管网。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0" w:type="pct"/>
            <w:vMerge w:val="continue"/>
            <w:vAlign w:val="center"/>
          </w:tcPr>
          <w:p>
            <w:pPr>
              <w:pStyle w:val="107"/>
              <w:rPr>
                <w:rFonts w:hint="eastAsia" w:ascii="仿宋" w:hAnsi="仿宋" w:eastAsia="仿宋" w:cs="仿宋"/>
                <w:sz w:val="24"/>
                <w:szCs w:val="24"/>
                <w:lang w:val="en-US" w:eastAsia="zh-CN"/>
              </w:rPr>
            </w:pPr>
          </w:p>
        </w:tc>
        <w:tc>
          <w:tcPr>
            <w:tcW w:w="973" w:type="pct"/>
            <w:vAlign w:val="center"/>
          </w:tcPr>
          <w:p>
            <w:pPr>
              <w:pStyle w:val="107"/>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废切削油</w:t>
            </w:r>
          </w:p>
        </w:tc>
        <w:tc>
          <w:tcPr>
            <w:tcW w:w="926" w:type="pct"/>
            <w:vAlign w:val="center"/>
          </w:tcPr>
          <w:p>
            <w:pPr>
              <w:pStyle w:val="107"/>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危废暂存间</w:t>
            </w:r>
          </w:p>
        </w:tc>
        <w:tc>
          <w:tcPr>
            <w:tcW w:w="2210" w:type="pct"/>
            <w:vAlign w:val="center"/>
          </w:tcPr>
          <w:p>
            <w:pPr>
              <w:pStyle w:val="107"/>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厂内转移过程泄漏进入雨水管网。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0" w:type="pct"/>
            <w:vMerge w:val="restart"/>
            <w:vAlign w:val="center"/>
          </w:tcPr>
          <w:p>
            <w:pPr>
              <w:pStyle w:val="107"/>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火灾、爆炸</w:t>
            </w:r>
          </w:p>
        </w:tc>
        <w:tc>
          <w:tcPr>
            <w:tcW w:w="973" w:type="pct"/>
            <w:vAlign w:val="center"/>
          </w:tcPr>
          <w:p>
            <w:pPr>
              <w:pStyle w:val="107"/>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机油</w:t>
            </w:r>
          </w:p>
        </w:tc>
        <w:tc>
          <w:tcPr>
            <w:tcW w:w="926" w:type="pct"/>
            <w:vAlign w:val="center"/>
          </w:tcPr>
          <w:p>
            <w:pPr>
              <w:pStyle w:val="107"/>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机械设备</w:t>
            </w:r>
          </w:p>
        </w:tc>
        <w:tc>
          <w:tcPr>
            <w:tcW w:w="2210" w:type="pct"/>
            <w:vAlign w:val="center"/>
          </w:tcPr>
          <w:p>
            <w:pPr>
              <w:pStyle w:val="107"/>
              <w:jc w:val="left"/>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设备内机油在高温火场下可能燃烧，引发爆炸事故，次生有毒有害气体，次生消防废水。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0" w:type="pct"/>
            <w:vMerge w:val="continue"/>
            <w:vAlign w:val="center"/>
          </w:tcPr>
          <w:p>
            <w:pPr>
              <w:pStyle w:val="107"/>
              <w:rPr>
                <w:rFonts w:hint="eastAsia" w:ascii="仿宋" w:hAnsi="仿宋" w:eastAsia="仿宋" w:cs="仿宋"/>
                <w:sz w:val="24"/>
                <w:szCs w:val="24"/>
                <w:lang w:val="en-US" w:eastAsia="zh-CN"/>
              </w:rPr>
            </w:pPr>
          </w:p>
        </w:tc>
        <w:tc>
          <w:tcPr>
            <w:tcW w:w="973" w:type="pct"/>
            <w:vAlign w:val="center"/>
          </w:tcPr>
          <w:p>
            <w:pPr>
              <w:pStyle w:val="107"/>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切削液</w:t>
            </w:r>
          </w:p>
        </w:tc>
        <w:tc>
          <w:tcPr>
            <w:tcW w:w="926" w:type="pct"/>
            <w:vAlign w:val="center"/>
          </w:tcPr>
          <w:p>
            <w:pPr>
              <w:pStyle w:val="107"/>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机械设备</w:t>
            </w:r>
          </w:p>
        </w:tc>
        <w:tc>
          <w:tcPr>
            <w:tcW w:w="2210" w:type="pct"/>
            <w:vAlign w:val="center"/>
          </w:tcPr>
          <w:p>
            <w:pPr>
              <w:pStyle w:val="107"/>
              <w:jc w:val="left"/>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设备内切削液在高温火场下可能燃烧，引发爆炸事故，次生有毒有害气体，次生消防废水。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0" w:type="pct"/>
            <w:vMerge w:val="continue"/>
            <w:vAlign w:val="center"/>
          </w:tcPr>
          <w:p>
            <w:pPr>
              <w:pStyle w:val="107"/>
              <w:rPr>
                <w:rFonts w:hint="eastAsia" w:ascii="仿宋" w:hAnsi="仿宋" w:eastAsia="仿宋" w:cs="仿宋"/>
                <w:sz w:val="24"/>
                <w:szCs w:val="24"/>
                <w:lang w:val="en-US" w:eastAsia="zh-CN"/>
              </w:rPr>
            </w:pPr>
          </w:p>
        </w:tc>
        <w:tc>
          <w:tcPr>
            <w:tcW w:w="973" w:type="pct"/>
            <w:vAlign w:val="center"/>
          </w:tcPr>
          <w:p>
            <w:pPr>
              <w:pStyle w:val="107"/>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废机油</w:t>
            </w:r>
          </w:p>
        </w:tc>
        <w:tc>
          <w:tcPr>
            <w:tcW w:w="926" w:type="pct"/>
            <w:vAlign w:val="center"/>
          </w:tcPr>
          <w:p>
            <w:pPr>
              <w:pStyle w:val="107"/>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危废暂存间</w:t>
            </w:r>
          </w:p>
        </w:tc>
        <w:tc>
          <w:tcPr>
            <w:tcW w:w="2210" w:type="pct"/>
            <w:vAlign w:val="center"/>
          </w:tcPr>
          <w:p>
            <w:pPr>
              <w:pStyle w:val="107"/>
              <w:jc w:val="left"/>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废机油燃烧，引发小型火灾事故。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0" w:type="pct"/>
            <w:vMerge w:val="continue"/>
            <w:vAlign w:val="center"/>
          </w:tcPr>
          <w:p>
            <w:pPr>
              <w:pStyle w:val="107"/>
              <w:rPr>
                <w:rFonts w:hint="eastAsia" w:ascii="仿宋" w:hAnsi="仿宋" w:eastAsia="仿宋" w:cs="仿宋"/>
                <w:sz w:val="24"/>
                <w:szCs w:val="24"/>
                <w:lang w:val="en-US" w:eastAsia="zh-CN"/>
              </w:rPr>
            </w:pPr>
          </w:p>
        </w:tc>
        <w:tc>
          <w:tcPr>
            <w:tcW w:w="973" w:type="pct"/>
            <w:vAlign w:val="center"/>
          </w:tcPr>
          <w:p>
            <w:pPr>
              <w:pStyle w:val="107"/>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废切削液</w:t>
            </w:r>
          </w:p>
        </w:tc>
        <w:tc>
          <w:tcPr>
            <w:tcW w:w="926" w:type="pct"/>
            <w:vAlign w:val="center"/>
          </w:tcPr>
          <w:p>
            <w:pPr>
              <w:pStyle w:val="107"/>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危废暂存间</w:t>
            </w:r>
          </w:p>
        </w:tc>
        <w:tc>
          <w:tcPr>
            <w:tcW w:w="2210" w:type="pct"/>
            <w:vAlign w:val="center"/>
          </w:tcPr>
          <w:p>
            <w:pPr>
              <w:pStyle w:val="107"/>
              <w:jc w:val="left"/>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废切削液燃烧，引发小型火灾事故。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0" w:type="pct"/>
            <w:vAlign w:val="center"/>
          </w:tcPr>
          <w:p>
            <w:pPr>
              <w:pStyle w:val="107"/>
              <w:rPr>
                <w:rFonts w:hint="eastAsia" w:ascii="仿宋" w:hAnsi="仿宋" w:eastAsia="仿宋" w:cs="仿宋"/>
                <w:sz w:val="24"/>
                <w:szCs w:val="24"/>
              </w:rPr>
            </w:pPr>
            <w:r>
              <w:rPr>
                <w:rFonts w:hint="eastAsia" w:ascii="仿宋" w:hAnsi="仿宋" w:eastAsia="仿宋" w:cs="仿宋"/>
                <w:sz w:val="24"/>
                <w:szCs w:val="24"/>
              </w:rPr>
              <w:t>环境风险防控设施失灵</w:t>
            </w:r>
          </w:p>
        </w:tc>
        <w:tc>
          <w:tcPr>
            <w:tcW w:w="4109" w:type="pct"/>
            <w:gridSpan w:val="3"/>
            <w:vAlign w:val="center"/>
          </w:tcPr>
          <w:p>
            <w:pPr>
              <w:pStyle w:val="107"/>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不涉及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0" w:type="pct"/>
            <w:vAlign w:val="center"/>
          </w:tcPr>
          <w:p>
            <w:pPr>
              <w:pStyle w:val="107"/>
              <w:rPr>
                <w:rFonts w:hint="eastAsia" w:ascii="仿宋" w:hAnsi="仿宋" w:eastAsia="仿宋" w:cs="仿宋"/>
                <w:sz w:val="24"/>
                <w:szCs w:val="24"/>
              </w:rPr>
            </w:pPr>
            <w:r>
              <w:rPr>
                <w:rFonts w:hint="eastAsia" w:ascii="仿宋" w:hAnsi="仿宋" w:eastAsia="仿宋" w:cs="仿宋"/>
                <w:sz w:val="24"/>
                <w:szCs w:val="24"/>
              </w:rPr>
              <w:t>污染治理设施非正常运行</w:t>
            </w:r>
          </w:p>
        </w:tc>
        <w:tc>
          <w:tcPr>
            <w:tcW w:w="4109" w:type="pct"/>
            <w:gridSpan w:val="3"/>
            <w:vAlign w:val="center"/>
          </w:tcPr>
          <w:p>
            <w:pPr>
              <w:pStyle w:val="107"/>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废气治理设施主要针对颗粒物、焊接烟尘进行处理。厂区无生产废水，不涉及废水治理设施。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0" w:type="pct"/>
            <w:vAlign w:val="center"/>
          </w:tcPr>
          <w:p>
            <w:pPr>
              <w:pStyle w:val="107"/>
              <w:rPr>
                <w:rFonts w:hint="eastAsia" w:ascii="仿宋" w:hAnsi="仿宋" w:eastAsia="仿宋" w:cs="仿宋"/>
                <w:sz w:val="24"/>
                <w:szCs w:val="24"/>
              </w:rPr>
            </w:pPr>
            <w:r>
              <w:rPr>
                <w:rFonts w:hint="eastAsia" w:ascii="仿宋" w:hAnsi="仿宋" w:eastAsia="仿宋" w:cs="仿宋"/>
                <w:sz w:val="24"/>
                <w:szCs w:val="24"/>
              </w:rPr>
              <w:t>停电、断水、断气</w:t>
            </w:r>
          </w:p>
        </w:tc>
        <w:tc>
          <w:tcPr>
            <w:tcW w:w="4109" w:type="pct"/>
            <w:gridSpan w:val="3"/>
            <w:vAlign w:val="center"/>
          </w:tcPr>
          <w:p>
            <w:pPr>
              <w:pStyle w:val="107"/>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停电、断水、断气不会造成环境风险事故。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0" w:type="pct"/>
            <w:vAlign w:val="center"/>
          </w:tcPr>
          <w:p>
            <w:pPr>
              <w:pStyle w:val="107"/>
              <w:rPr>
                <w:rFonts w:hint="eastAsia" w:ascii="仿宋" w:hAnsi="仿宋" w:eastAsia="仿宋" w:cs="仿宋"/>
                <w:sz w:val="24"/>
                <w:szCs w:val="24"/>
              </w:rPr>
            </w:pPr>
            <w:r>
              <w:rPr>
                <w:rFonts w:hint="eastAsia" w:ascii="仿宋" w:hAnsi="仿宋" w:eastAsia="仿宋" w:cs="仿宋"/>
                <w:sz w:val="24"/>
                <w:szCs w:val="24"/>
              </w:rPr>
              <w:t>通讯或运输系统故障</w:t>
            </w:r>
          </w:p>
        </w:tc>
        <w:tc>
          <w:tcPr>
            <w:tcW w:w="4109" w:type="pct"/>
            <w:gridSpan w:val="3"/>
            <w:vAlign w:val="center"/>
          </w:tcPr>
          <w:p>
            <w:pPr>
              <w:pStyle w:val="107"/>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通讯或运输系统故障不会造成环境风险事故。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0" w:type="pct"/>
            <w:vAlign w:val="center"/>
          </w:tcPr>
          <w:p>
            <w:pPr>
              <w:pStyle w:val="107"/>
              <w:rPr>
                <w:rFonts w:hint="eastAsia" w:ascii="仿宋" w:hAnsi="仿宋" w:eastAsia="仿宋" w:cs="仿宋"/>
                <w:sz w:val="24"/>
                <w:szCs w:val="24"/>
              </w:rPr>
            </w:pPr>
            <w:r>
              <w:rPr>
                <w:rFonts w:hint="eastAsia" w:ascii="仿宋" w:hAnsi="仿宋" w:eastAsia="仿宋" w:cs="仿宋"/>
                <w:sz w:val="24"/>
                <w:szCs w:val="24"/>
              </w:rPr>
              <w:t>各种自然灾害、极端天气或不利气象条件</w:t>
            </w:r>
          </w:p>
        </w:tc>
        <w:tc>
          <w:tcPr>
            <w:tcW w:w="4109" w:type="pct"/>
            <w:gridSpan w:val="3"/>
            <w:vAlign w:val="center"/>
          </w:tcPr>
          <w:p>
            <w:pPr>
              <w:pStyle w:val="107"/>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所在地区最常见气象灾害为暴雨，若事故状态下遇暴雨天气，可能造成风险物质混入雨水，在收集防控不当的情形下可能流出外环境。</w:t>
            </w:r>
          </w:p>
        </w:tc>
      </w:tr>
    </w:tbl>
    <w:p>
      <w:pPr>
        <w:outlineLvl w:val="1"/>
        <w:rPr>
          <w:rFonts w:hint="eastAsia" w:ascii="Times New Roman" w:hAnsi="Times New Roman"/>
          <w:b/>
          <w:bCs/>
          <w:szCs w:val="28"/>
        </w:rPr>
      </w:pPr>
    </w:p>
    <w:p>
      <w:pPr>
        <w:outlineLvl w:val="1"/>
        <w:rPr>
          <w:rFonts w:ascii="Times New Roman" w:hAnsi="Times New Roman"/>
          <w:b/>
          <w:bCs/>
          <w:szCs w:val="28"/>
        </w:rPr>
      </w:pPr>
      <w:r>
        <w:rPr>
          <w:rFonts w:hint="eastAsia" w:ascii="Times New Roman" w:hAnsi="Times New Roman"/>
          <w:b/>
          <w:bCs/>
          <w:szCs w:val="28"/>
        </w:rPr>
        <w:t>3</w:t>
      </w:r>
      <w:r>
        <w:rPr>
          <w:rFonts w:ascii="Times New Roman" w:hAnsi="Times New Roman"/>
          <w:b/>
          <w:bCs/>
          <w:szCs w:val="28"/>
        </w:rPr>
        <w:t>.2环境风险评估</w:t>
      </w:r>
      <w:bookmarkEnd w:id="61"/>
      <w:bookmarkEnd w:id="62"/>
      <w:bookmarkEnd w:id="63"/>
    </w:p>
    <w:p>
      <w:pPr>
        <w:ind w:firstLine="560" w:firstLineChars="200"/>
        <w:rPr>
          <w:rFonts w:ascii="Times New Roman" w:hAnsi="Times New Roman"/>
          <w:szCs w:val="28"/>
        </w:rPr>
      </w:pPr>
      <w:r>
        <w:rPr>
          <w:rFonts w:ascii="Times New Roman" w:hAnsi="Times New Roman"/>
          <w:szCs w:val="28"/>
        </w:rPr>
        <w:t>本公司单独编制了《</w:t>
      </w:r>
      <w:r>
        <w:rPr>
          <w:rFonts w:hint="eastAsia" w:ascii="Times New Roman" w:hAnsi="Times New Roman"/>
          <w:szCs w:val="28"/>
          <w:lang w:val="en-US" w:eastAsia="zh-CN"/>
        </w:rPr>
        <w:t>天津豪骏车业有限公司</w:t>
      </w:r>
      <w:r>
        <w:rPr>
          <w:rFonts w:ascii="Times New Roman" w:hAnsi="Times New Roman"/>
          <w:szCs w:val="28"/>
        </w:rPr>
        <w:t>突发环境事件风险评估报告》，对本公司进行了环境风险源辩识和风险评估，详细分析参见该报告。根据该报告的评估结论，企业的风险等级为：一般[一般-大气(Q0)+一般-水(Q0)</w:t>
      </w:r>
      <w:bookmarkStart w:id="64" w:name="_Toc462336201"/>
      <w:bookmarkEnd w:id="64"/>
      <w:r>
        <w:rPr>
          <w:rFonts w:ascii="Times New Roman" w:hAnsi="Times New Roman"/>
          <w:szCs w:val="28"/>
        </w:rPr>
        <w:t>]。</w:t>
      </w:r>
    </w:p>
    <w:p>
      <w:pPr>
        <w:rPr>
          <w:rFonts w:ascii="Times New Roman" w:hAnsi="Times New Roman"/>
        </w:rPr>
        <w:sectPr>
          <w:pgSz w:w="12240" w:h="15840"/>
          <w:pgMar w:top="1440" w:right="1800" w:bottom="1440" w:left="1800" w:header="720" w:footer="720" w:gutter="0"/>
          <w:cols w:space="720" w:num="1"/>
        </w:sectPr>
      </w:pPr>
    </w:p>
    <w:p>
      <w:pPr>
        <w:outlineLvl w:val="0"/>
        <w:rPr>
          <w:rFonts w:ascii="Times New Roman" w:hAnsi="Times New Roman"/>
          <w:b/>
          <w:bCs/>
          <w:szCs w:val="28"/>
        </w:rPr>
      </w:pPr>
      <w:bookmarkStart w:id="65" w:name="_Toc25216"/>
      <w:bookmarkStart w:id="66" w:name="_Toc27113"/>
      <w:r>
        <w:rPr>
          <w:rFonts w:hint="eastAsia" w:ascii="Times New Roman" w:hAnsi="Times New Roman"/>
          <w:b/>
          <w:bCs/>
          <w:szCs w:val="28"/>
        </w:rPr>
        <w:t>4</w:t>
      </w:r>
      <w:r>
        <w:rPr>
          <w:rFonts w:ascii="Times New Roman" w:hAnsi="Times New Roman"/>
          <w:b/>
          <w:bCs/>
          <w:szCs w:val="28"/>
        </w:rPr>
        <w:t>.组织</w:t>
      </w:r>
      <w:bookmarkEnd w:id="50"/>
      <w:r>
        <w:rPr>
          <w:rFonts w:ascii="Times New Roman" w:hAnsi="Times New Roman"/>
          <w:b/>
          <w:bCs/>
          <w:szCs w:val="28"/>
        </w:rPr>
        <w:t>指挥机制</w:t>
      </w:r>
      <w:bookmarkEnd w:id="65"/>
      <w:bookmarkEnd w:id="66"/>
    </w:p>
    <w:p>
      <w:pPr>
        <w:outlineLvl w:val="1"/>
        <w:rPr>
          <w:rFonts w:ascii="Times New Roman" w:hAnsi="Times New Roman"/>
          <w:b/>
          <w:bCs/>
          <w:szCs w:val="28"/>
        </w:rPr>
      </w:pPr>
      <w:bookmarkStart w:id="67" w:name="_Toc31425"/>
      <w:bookmarkStart w:id="68" w:name="_Toc23136"/>
      <w:bookmarkStart w:id="69" w:name="_Toc16574_WPSOffice_Level2"/>
      <w:r>
        <w:rPr>
          <w:rFonts w:hint="eastAsia" w:ascii="Times New Roman" w:hAnsi="Times New Roman"/>
          <w:b/>
          <w:bCs/>
          <w:szCs w:val="28"/>
        </w:rPr>
        <w:t>4</w:t>
      </w:r>
      <w:r>
        <w:rPr>
          <w:rFonts w:ascii="Times New Roman" w:hAnsi="Times New Roman"/>
          <w:b/>
          <w:bCs/>
          <w:szCs w:val="28"/>
        </w:rPr>
        <w:t>.1指挥机构组成</w:t>
      </w:r>
      <w:bookmarkEnd w:id="67"/>
      <w:bookmarkEnd w:id="68"/>
      <w:bookmarkEnd w:id="69"/>
    </w:p>
    <w:p>
      <w:pPr>
        <w:ind w:firstLine="560" w:firstLineChars="200"/>
        <w:rPr>
          <w:rFonts w:ascii="Times New Roman" w:hAnsi="Times New Roman"/>
          <w:szCs w:val="28"/>
        </w:rPr>
      </w:pPr>
      <w:bookmarkStart w:id="70" w:name="_Hlk12370406"/>
      <w:r>
        <w:rPr>
          <w:rFonts w:hint="eastAsia" w:ascii="Times New Roman" w:hAnsi="Times New Roman"/>
          <w:szCs w:val="28"/>
          <w:lang w:val="en-US" w:eastAsia="zh-CN"/>
        </w:rPr>
        <w:t>天津豪骏车业有限公司</w:t>
      </w:r>
      <w:r>
        <w:rPr>
          <w:rFonts w:hint="eastAsia" w:ascii="Times New Roman" w:hAnsi="Times New Roman"/>
          <w:szCs w:val="28"/>
        </w:rPr>
        <w:t>突发环境事件与生产安全事故应急管理工作相协调，由公司生产安全事故应急指挥中心（以下简称“应急指挥中心”）统一领导，统一指挥。应急指挥中心下设应急指挥中心办公室，设在</w:t>
      </w:r>
      <w:r>
        <w:rPr>
          <w:rFonts w:hint="eastAsia" w:ascii="Times New Roman" w:hAnsi="Times New Roman"/>
          <w:szCs w:val="28"/>
          <w:lang w:val="en-US" w:eastAsia="zh-CN"/>
        </w:rPr>
        <w:t>财务部</w:t>
      </w:r>
      <w:r>
        <w:rPr>
          <w:rFonts w:hint="eastAsia" w:ascii="Times New Roman" w:hAnsi="Times New Roman"/>
          <w:szCs w:val="28"/>
        </w:rPr>
        <w:t>。</w:t>
      </w:r>
    </w:p>
    <w:p>
      <w:pPr>
        <w:ind w:firstLine="560" w:firstLineChars="200"/>
        <w:rPr>
          <w:rFonts w:ascii="Times New Roman" w:hAnsi="Times New Roman"/>
          <w:szCs w:val="28"/>
        </w:rPr>
      </w:pPr>
      <w:r>
        <w:rPr>
          <w:rFonts w:hint="eastAsia" w:ascii="Times New Roman" w:hAnsi="Times New Roman"/>
          <w:szCs w:val="28"/>
        </w:rPr>
        <w:t>应急指挥中心为公司应急管理的领导机构，应急指挥中心总指挥由法定代表人</w:t>
      </w:r>
      <w:r>
        <w:rPr>
          <w:rFonts w:hint="eastAsia" w:ascii="Times New Roman" w:hAnsi="Times New Roman"/>
          <w:szCs w:val="28"/>
          <w:lang w:val="en-US" w:eastAsia="zh-CN"/>
        </w:rPr>
        <w:t>总经理</w:t>
      </w:r>
      <w:r>
        <w:rPr>
          <w:rFonts w:hint="eastAsia" w:ascii="Times New Roman" w:hAnsi="Times New Roman"/>
          <w:szCs w:val="28"/>
        </w:rPr>
        <w:t>担任，副总指挥由</w:t>
      </w:r>
      <w:r>
        <w:rPr>
          <w:rFonts w:hint="eastAsia" w:ascii="Times New Roman" w:hAnsi="Times New Roman"/>
          <w:szCs w:val="28"/>
          <w:lang w:val="en-US" w:eastAsia="zh-CN"/>
        </w:rPr>
        <w:t>副总</w:t>
      </w:r>
      <w:r>
        <w:rPr>
          <w:rFonts w:ascii="Times New Roman" w:hAnsi="Times New Roman"/>
          <w:szCs w:val="28"/>
        </w:rPr>
        <w:t>经理</w:t>
      </w:r>
      <w:r>
        <w:rPr>
          <w:rFonts w:hint="eastAsia" w:ascii="Times New Roman" w:hAnsi="Times New Roman"/>
          <w:szCs w:val="28"/>
        </w:rPr>
        <w:t>担任。</w:t>
      </w:r>
    </w:p>
    <w:p>
      <w:pPr>
        <w:ind w:firstLine="560" w:firstLineChars="200"/>
        <w:rPr>
          <w:rFonts w:ascii="Times New Roman" w:hAnsi="Times New Roman"/>
          <w:szCs w:val="28"/>
        </w:rPr>
      </w:pPr>
      <w:r>
        <w:rPr>
          <w:rFonts w:hint="eastAsia" w:ascii="Times New Roman" w:hAnsi="Times New Roman"/>
          <w:szCs w:val="28"/>
        </w:rPr>
        <w:t>应急办公室为日常应急管理的工作机构，负责人由</w:t>
      </w:r>
      <w:r>
        <w:rPr>
          <w:rFonts w:hint="eastAsia" w:ascii="Times New Roman" w:hAnsi="Times New Roman"/>
          <w:szCs w:val="28"/>
          <w:lang w:val="en-US" w:eastAsia="zh-CN"/>
        </w:rPr>
        <w:t>办公室主管</w:t>
      </w:r>
      <w:r>
        <w:rPr>
          <w:rFonts w:hint="eastAsia" w:ascii="Times New Roman" w:hAnsi="Times New Roman"/>
          <w:szCs w:val="28"/>
        </w:rPr>
        <w:t>担任。</w:t>
      </w:r>
    </w:p>
    <w:p>
      <w:pPr>
        <w:ind w:firstLine="560" w:firstLineChars="200"/>
        <w:rPr>
          <w:rFonts w:ascii="Times New Roman" w:hAnsi="Times New Roman"/>
          <w:szCs w:val="28"/>
        </w:rPr>
      </w:pPr>
      <w:r>
        <w:rPr>
          <w:rFonts w:hint="eastAsia" w:ascii="Times New Roman" w:hAnsi="Times New Roman"/>
          <w:szCs w:val="28"/>
        </w:rPr>
        <w:t>在应急指挥中心的统一领导下，公司下设2个应急救援小组，分别为</w:t>
      </w:r>
      <w:r>
        <w:rPr>
          <w:rFonts w:hint="eastAsia" w:ascii="Times New Roman" w:hAnsi="Times New Roman"/>
          <w:szCs w:val="28"/>
          <w:lang w:val="en-US" w:eastAsia="zh-CN"/>
        </w:rPr>
        <w:t>现场处置</w:t>
      </w:r>
      <w:r>
        <w:rPr>
          <w:rFonts w:hint="eastAsia" w:ascii="Times New Roman" w:hAnsi="Times New Roman"/>
          <w:szCs w:val="28"/>
        </w:rPr>
        <w:t>组、后勤保障组，各应急救援小组设成员</w:t>
      </w:r>
      <w:r>
        <w:rPr>
          <w:rFonts w:ascii="Times New Roman" w:hAnsi="Times New Roman"/>
          <w:szCs w:val="28"/>
        </w:rPr>
        <w:t>2</w:t>
      </w:r>
      <w:r>
        <w:rPr>
          <w:rFonts w:hint="eastAsia" w:ascii="Times New Roman" w:hAnsi="Times New Roman"/>
          <w:szCs w:val="28"/>
        </w:rPr>
        <w:t>名，负责指挥该应急救援小组的各项应急活动。</w:t>
      </w:r>
      <w:r>
        <w:rPr>
          <w:rFonts w:hint="eastAsia" w:ascii="Times New Roman" w:hAnsi="Times New Roman"/>
          <w:szCs w:val="28"/>
          <w:lang w:val="en-US" w:eastAsia="zh-CN"/>
        </w:rPr>
        <w:t>现场处置</w:t>
      </w:r>
      <w:r>
        <w:rPr>
          <w:rFonts w:hint="eastAsia" w:ascii="Times New Roman" w:hAnsi="Times New Roman"/>
          <w:szCs w:val="28"/>
        </w:rPr>
        <w:t>组同时负责现场环境事件的处置，后勤保障组需同时负责应急监测工作的联络及协调</w:t>
      </w:r>
      <w:r>
        <w:rPr>
          <w:rFonts w:ascii="Times New Roman" w:hAnsi="Times New Roman"/>
          <w:szCs w:val="28"/>
        </w:rPr>
        <w:t>。</w:t>
      </w:r>
      <w:bookmarkEnd w:id="70"/>
    </w:p>
    <w:p>
      <w:pPr>
        <w:ind w:firstLine="560" w:firstLineChars="200"/>
        <w:jc w:val="center"/>
        <w:rPr>
          <w:rFonts w:hint="eastAsia" w:eastAsia="仿宋"/>
          <w:lang w:eastAsia="zh-CN"/>
        </w:rPr>
      </w:pPr>
      <w:r>
        <w:rPr>
          <w:rFonts w:hint="eastAsia" w:ascii="Times New Roman" w:hAnsi="Times New Roman"/>
          <w:szCs w:val="28"/>
        </w:rPr>
        <w:t>应急组织机构设置见图4</w:t>
      </w:r>
      <w:r>
        <w:rPr>
          <w:rFonts w:hint="eastAsia" w:ascii="Times New Roman" w:hAnsi="Times New Roman"/>
          <w:szCs w:val="28"/>
          <w:lang w:val="en-US" w:eastAsia="zh-CN"/>
        </w:rPr>
        <w:t>-</w:t>
      </w:r>
      <w:r>
        <w:rPr>
          <w:rFonts w:hint="eastAsia" w:ascii="Times New Roman" w:hAnsi="Times New Roman"/>
          <w:szCs w:val="28"/>
        </w:rPr>
        <w:t>1</w:t>
      </w:r>
      <w:r>
        <w:rPr>
          <w:rFonts w:ascii="Times New Roman" w:hAnsi="Times New Roman"/>
          <w:szCs w:val="28"/>
        </w:rPr>
        <w:t>-1</w:t>
      </w:r>
      <w:r>
        <w:rPr>
          <w:rFonts w:hint="eastAsia" w:ascii="Times New Roman" w:hAnsi="Times New Roman"/>
          <w:szCs w:val="28"/>
        </w:rPr>
        <w:t>。</w:t>
      </w:r>
      <w:r>
        <w:rPr>
          <w:rFonts w:hint="eastAsia" w:eastAsia="仿宋"/>
          <w:lang w:eastAsia="zh-CN"/>
        </w:rPr>
        <w:pict>
          <v:shape id="ECB019B1-382A-4266-B25C-5B523AA43C14-2" o:spid="ECB019B1-382A-4266-B25C-5B523AA43C14-2" o:spt="75" alt="wps" type="#_x0000_t75" style="height:174.55pt;width:293.95pt;" filled="f" o:preferrelative="t" stroked="f" coordsize="21600,21600">
            <v:path/>
            <v:fill on="f" focussize="0,0"/>
            <v:stroke on="f"/>
            <v:imagedata r:id="rId16" cropleft="5218f" croptop="8663f" cropright="3407f" cropbottom="3998f" o:title=""/>
            <o:lock v:ext="edit" aspectratio="t"/>
            <w10:wrap type="none"/>
            <w10:anchorlock/>
          </v:shape>
        </w:pict>
      </w:r>
    </w:p>
    <w:p>
      <w:pPr>
        <w:pStyle w:val="39"/>
        <w:ind w:left="0" w:leftChars="0" w:firstLine="0" w:firstLineChars="0"/>
        <w:jc w:val="center"/>
        <w:rPr>
          <w:rFonts w:ascii="Times New Roman" w:hAnsi="Times New Roman"/>
          <w:szCs w:val="28"/>
        </w:rPr>
      </w:pPr>
    </w:p>
    <w:p>
      <w:pPr>
        <w:jc w:val="center"/>
        <w:rPr>
          <w:rFonts w:hint="eastAsia" w:ascii="仿宋" w:hAnsi="仿宋" w:eastAsia="仿宋" w:cs="仿宋"/>
          <w:b/>
          <w:bCs/>
          <w:sz w:val="24"/>
          <w:szCs w:val="24"/>
        </w:rPr>
      </w:pPr>
      <w:r>
        <w:rPr>
          <w:rFonts w:hint="eastAsia" w:ascii="仿宋" w:hAnsi="仿宋" w:eastAsia="仿宋" w:cs="仿宋"/>
          <w:sz w:val="24"/>
          <w:szCs w:val="24"/>
        </w:rPr>
        <w:t>图4</w:t>
      </w:r>
      <w:r>
        <w:rPr>
          <w:rFonts w:hint="eastAsia" w:ascii="仿宋" w:hAnsi="仿宋" w:eastAsia="仿宋" w:cs="仿宋"/>
          <w:sz w:val="24"/>
          <w:szCs w:val="24"/>
          <w:lang w:val="en-US" w:eastAsia="zh-CN"/>
        </w:rPr>
        <w:t>-</w:t>
      </w:r>
      <w:r>
        <w:rPr>
          <w:rFonts w:hint="eastAsia" w:ascii="仿宋" w:hAnsi="仿宋" w:eastAsia="仿宋" w:cs="仿宋"/>
          <w:sz w:val="24"/>
          <w:szCs w:val="24"/>
        </w:rPr>
        <w:t>1-1  应急组织机构图</w:t>
      </w:r>
      <w:bookmarkStart w:id="71" w:name="_Toc15520_WPSOffice_Level2"/>
    </w:p>
    <w:p>
      <w:pPr>
        <w:rPr>
          <w:rFonts w:ascii="Times New Roman" w:hAnsi="Times New Roman"/>
          <w:b/>
          <w:bCs/>
          <w:szCs w:val="24"/>
        </w:rPr>
      </w:pPr>
      <w:r>
        <w:rPr>
          <w:rFonts w:hint="eastAsia" w:ascii="Times New Roman" w:hAnsi="Times New Roman"/>
          <w:b/>
          <w:bCs/>
          <w:szCs w:val="28"/>
        </w:rPr>
        <w:t>4</w:t>
      </w:r>
      <w:r>
        <w:rPr>
          <w:rFonts w:ascii="Times New Roman" w:hAnsi="Times New Roman"/>
          <w:b/>
          <w:bCs/>
          <w:szCs w:val="28"/>
        </w:rPr>
        <w:t>.1.1指挥机构的主要职责</w:t>
      </w:r>
      <w:bookmarkEnd w:id="71"/>
    </w:p>
    <w:p>
      <w:pPr>
        <w:jc w:val="center"/>
        <w:rPr>
          <w:rFonts w:hint="eastAsia" w:ascii="仿宋" w:hAnsi="仿宋" w:eastAsia="仿宋" w:cs="仿宋"/>
          <w:sz w:val="24"/>
          <w:szCs w:val="24"/>
        </w:rPr>
      </w:pPr>
      <w:r>
        <w:rPr>
          <w:rFonts w:hint="eastAsia" w:ascii="仿宋" w:hAnsi="仿宋" w:eastAsia="仿宋" w:cs="仿宋"/>
          <w:sz w:val="24"/>
          <w:szCs w:val="24"/>
        </w:rPr>
        <w:t>表4</w:t>
      </w:r>
      <w:r>
        <w:rPr>
          <w:rFonts w:hint="eastAsia" w:ascii="仿宋" w:hAnsi="仿宋" w:eastAsia="仿宋" w:cs="仿宋"/>
          <w:sz w:val="24"/>
          <w:szCs w:val="24"/>
          <w:lang w:val="en-US" w:eastAsia="zh-CN"/>
        </w:rPr>
        <w:t>-</w:t>
      </w:r>
      <w:r>
        <w:rPr>
          <w:rFonts w:hint="eastAsia" w:ascii="仿宋" w:hAnsi="仿宋" w:eastAsia="仿宋" w:cs="仿宋"/>
          <w:sz w:val="24"/>
          <w:szCs w:val="24"/>
        </w:rPr>
        <w:t>1-1  应急指挥机构主要职责</w:t>
      </w:r>
    </w:p>
    <w:tbl>
      <w:tblPr>
        <w:tblStyle w:val="40"/>
        <w:tblW w:w="8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7"/>
        <w:gridCol w:w="6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757" w:type="dxa"/>
            <w:shd w:val="clear" w:color="auto" w:fill="D7D7D7"/>
            <w:vAlign w:val="center"/>
          </w:tcPr>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分类</w:t>
            </w:r>
          </w:p>
        </w:tc>
        <w:tc>
          <w:tcPr>
            <w:tcW w:w="6862" w:type="dxa"/>
            <w:shd w:val="clear" w:color="auto" w:fill="D7D7D7"/>
            <w:vAlign w:val="center"/>
          </w:tcPr>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9" w:hRule="atLeast"/>
          <w:jc w:val="center"/>
        </w:trPr>
        <w:tc>
          <w:tcPr>
            <w:tcW w:w="1757" w:type="dxa"/>
            <w:vAlign w:val="center"/>
          </w:tcPr>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总指挥</w:t>
            </w:r>
          </w:p>
        </w:tc>
        <w:tc>
          <w:tcPr>
            <w:tcW w:w="6862" w:type="dxa"/>
            <w:vAlign w:val="center"/>
          </w:tcPr>
          <w:p>
            <w:pPr>
              <w:spacing w:line="288" w:lineRule="auto"/>
              <w:rPr>
                <w:rFonts w:hint="eastAsia" w:ascii="仿宋" w:hAnsi="仿宋" w:eastAsia="仿宋" w:cs="仿宋"/>
                <w:sz w:val="24"/>
                <w:szCs w:val="24"/>
              </w:rPr>
            </w:pPr>
            <w:r>
              <w:rPr>
                <w:rFonts w:hint="eastAsia" w:ascii="仿宋" w:hAnsi="仿宋" w:eastAsia="仿宋" w:cs="仿宋"/>
                <w:sz w:val="24"/>
                <w:szCs w:val="24"/>
              </w:rPr>
              <w:t>（1）担负应急救援行动的最高指挥，分析事件类别、灾害程度，确定事件应急救援最佳方案；</w:t>
            </w:r>
          </w:p>
          <w:p>
            <w:pPr>
              <w:spacing w:line="288" w:lineRule="auto"/>
              <w:rPr>
                <w:rFonts w:hint="eastAsia" w:ascii="仿宋" w:hAnsi="仿宋" w:eastAsia="仿宋" w:cs="仿宋"/>
                <w:sz w:val="24"/>
                <w:szCs w:val="24"/>
              </w:rPr>
            </w:pPr>
            <w:r>
              <w:rPr>
                <w:rFonts w:hint="eastAsia" w:ascii="仿宋" w:hAnsi="仿宋" w:eastAsia="仿宋" w:cs="仿宋"/>
                <w:sz w:val="24"/>
                <w:szCs w:val="24"/>
              </w:rPr>
              <w:t>（2）确定预案响应级别；确定现场指挥人员；发布应急救援命令；批准本预案的启动和终止；监督现场指挥，协调事故现场有关工作，对外信息发布，协助事故处理及调查。</w:t>
            </w:r>
          </w:p>
          <w:p>
            <w:pPr>
              <w:spacing w:line="288" w:lineRule="auto"/>
              <w:rPr>
                <w:rFonts w:hint="eastAsia" w:ascii="仿宋" w:hAnsi="仿宋" w:eastAsia="仿宋" w:cs="仿宋"/>
                <w:sz w:val="24"/>
                <w:szCs w:val="24"/>
              </w:rPr>
            </w:pPr>
            <w:r>
              <w:rPr>
                <w:rFonts w:hint="eastAsia" w:ascii="仿宋" w:hAnsi="仿宋" w:eastAsia="仿宋" w:cs="仿宋"/>
                <w:sz w:val="24"/>
                <w:szCs w:val="24"/>
              </w:rPr>
              <w:t>（3）审批应急预案。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2" w:hRule="atLeast"/>
          <w:jc w:val="center"/>
        </w:trPr>
        <w:tc>
          <w:tcPr>
            <w:tcW w:w="1757" w:type="dxa"/>
            <w:vAlign w:val="center"/>
          </w:tcPr>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副总指挥</w:t>
            </w:r>
          </w:p>
        </w:tc>
        <w:tc>
          <w:tcPr>
            <w:tcW w:w="6862" w:type="dxa"/>
            <w:vAlign w:val="center"/>
          </w:tcPr>
          <w:p>
            <w:pPr>
              <w:spacing w:line="288" w:lineRule="auto"/>
              <w:rPr>
                <w:rFonts w:hint="eastAsia" w:ascii="仿宋" w:hAnsi="仿宋" w:eastAsia="仿宋" w:cs="仿宋"/>
                <w:sz w:val="24"/>
                <w:szCs w:val="24"/>
              </w:rPr>
            </w:pPr>
            <w:r>
              <w:rPr>
                <w:rFonts w:hint="eastAsia" w:ascii="仿宋" w:hAnsi="仿宋" w:eastAsia="仿宋" w:cs="仿宋"/>
                <w:sz w:val="24"/>
                <w:szCs w:val="24"/>
              </w:rPr>
              <w:t>（1）根据总指挥指示负责现场指挥，完成总指挥指派的其他工作。</w:t>
            </w:r>
          </w:p>
          <w:p>
            <w:pPr>
              <w:spacing w:line="288" w:lineRule="auto"/>
              <w:rPr>
                <w:rFonts w:hint="eastAsia" w:ascii="仿宋" w:hAnsi="仿宋" w:eastAsia="仿宋" w:cs="仿宋"/>
                <w:sz w:val="24"/>
                <w:szCs w:val="24"/>
              </w:rPr>
            </w:pPr>
            <w:r>
              <w:rPr>
                <w:rFonts w:hint="eastAsia" w:ascii="仿宋" w:hAnsi="仿宋" w:eastAsia="仿宋" w:cs="仿宋"/>
                <w:sz w:val="24"/>
                <w:szCs w:val="24"/>
              </w:rPr>
              <w:t>（2）在总指挥不能到位时按照总指挥的授权承担总指挥职责。</w:t>
            </w:r>
          </w:p>
          <w:p>
            <w:pPr>
              <w:spacing w:line="288" w:lineRule="auto"/>
              <w:rPr>
                <w:rFonts w:hint="eastAsia" w:ascii="仿宋" w:hAnsi="仿宋" w:eastAsia="仿宋" w:cs="仿宋"/>
                <w:sz w:val="24"/>
                <w:szCs w:val="24"/>
              </w:rPr>
            </w:pPr>
            <w:r>
              <w:rPr>
                <w:rFonts w:hint="eastAsia" w:ascii="仿宋" w:hAnsi="仿宋" w:eastAsia="仿宋" w:cs="仿宋"/>
                <w:sz w:val="24"/>
                <w:szCs w:val="24"/>
              </w:rPr>
              <w:t>（3）组织日常应急工作准备和预案执行情况评估。审核批准年度应急演练计划。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9" w:hRule="atLeast"/>
          <w:jc w:val="center"/>
        </w:trPr>
        <w:tc>
          <w:tcPr>
            <w:tcW w:w="1757" w:type="dxa"/>
            <w:vAlign w:val="center"/>
          </w:tcPr>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应急指挥办公室</w:t>
            </w:r>
          </w:p>
        </w:tc>
        <w:tc>
          <w:tcPr>
            <w:tcW w:w="6862" w:type="dxa"/>
            <w:vAlign w:val="center"/>
          </w:tcPr>
          <w:p>
            <w:pPr>
              <w:numPr>
                <w:ilvl w:val="0"/>
                <w:numId w:val="2"/>
              </w:numPr>
              <w:spacing w:line="288" w:lineRule="auto"/>
              <w:rPr>
                <w:rFonts w:hint="eastAsia" w:ascii="仿宋" w:hAnsi="仿宋" w:eastAsia="仿宋" w:cs="仿宋"/>
                <w:sz w:val="24"/>
                <w:szCs w:val="24"/>
              </w:rPr>
            </w:pPr>
            <w:r>
              <w:rPr>
                <w:rFonts w:hint="eastAsia" w:ascii="仿宋" w:hAnsi="仿宋" w:eastAsia="仿宋" w:cs="仿宋"/>
                <w:sz w:val="24"/>
                <w:szCs w:val="24"/>
              </w:rPr>
              <w:t>负责应急指挥机构的日常工作；</w:t>
            </w:r>
          </w:p>
          <w:p>
            <w:pPr>
              <w:numPr>
                <w:ilvl w:val="0"/>
                <w:numId w:val="2"/>
              </w:numPr>
              <w:spacing w:line="288" w:lineRule="auto"/>
              <w:rPr>
                <w:rFonts w:hint="eastAsia" w:ascii="仿宋" w:hAnsi="仿宋" w:eastAsia="仿宋" w:cs="仿宋"/>
                <w:sz w:val="24"/>
                <w:szCs w:val="24"/>
              </w:rPr>
            </w:pPr>
            <w:r>
              <w:rPr>
                <w:rFonts w:hint="eastAsia" w:ascii="仿宋" w:hAnsi="仿宋" w:eastAsia="仿宋" w:cs="仿宋"/>
                <w:sz w:val="24"/>
                <w:szCs w:val="24"/>
              </w:rPr>
              <w:t>组织制定突发环境事件应急预案并交由上级环保主管部门备案。</w:t>
            </w:r>
          </w:p>
          <w:p>
            <w:pPr>
              <w:numPr>
                <w:ilvl w:val="0"/>
                <w:numId w:val="2"/>
              </w:numPr>
              <w:spacing w:line="288" w:lineRule="auto"/>
              <w:rPr>
                <w:rFonts w:hint="eastAsia" w:ascii="仿宋" w:hAnsi="仿宋" w:eastAsia="仿宋" w:cs="仿宋"/>
                <w:sz w:val="24"/>
                <w:szCs w:val="24"/>
              </w:rPr>
            </w:pPr>
            <w:r>
              <w:rPr>
                <w:rFonts w:hint="eastAsia" w:ascii="仿宋" w:hAnsi="仿宋" w:eastAsia="仿宋" w:cs="仿宋"/>
                <w:sz w:val="24"/>
                <w:szCs w:val="24"/>
              </w:rPr>
              <w:t>组建突发环境事件应急处置队伍。</w:t>
            </w:r>
          </w:p>
          <w:p>
            <w:pPr>
              <w:numPr>
                <w:ilvl w:val="0"/>
                <w:numId w:val="2"/>
              </w:numPr>
              <w:spacing w:line="288" w:lineRule="auto"/>
              <w:rPr>
                <w:rFonts w:hint="eastAsia" w:ascii="仿宋" w:hAnsi="仿宋" w:eastAsia="仿宋" w:cs="仿宋"/>
                <w:sz w:val="24"/>
                <w:szCs w:val="24"/>
              </w:rPr>
            </w:pPr>
            <w:r>
              <w:rPr>
                <w:rFonts w:hint="eastAsia" w:ascii="仿宋" w:hAnsi="仿宋" w:eastAsia="仿宋" w:cs="仿宋"/>
                <w:sz w:val="24"/>
                <w:szCs w:val="24"/>
              </w:rPr>
              <w:t>负责应急防范设施（备）的建设，以及应急处置物资，特别是处理泄漏物、消解和吸收污染物的物资储备。</w:t>
            </w:r>
          </w:p>
          <w:p>
            <w:pPr>
              <w:numPr>
                <w:ilvl w:val="0"/>
                <w:numId w:val="2"/>
              </w:numPr>
              <w:spacing w:line="288" w:lineRule="auto"/>
              <w:rPr>
                <w:rFonts w:hint="eastAsia" w:ascii="仿宋" w:hAnsi="仿宋" w:eastAsia="仿宋" w:cs="仿宋"/>
                <w:sz w:val="24"/>
                <w:szCs w:val="24"/>
              </w:rPr>
            </w:pPr>
            <w:r>
              <w:rPr>
                <w:rFonts w:hint="eastAsia" w:ascii="仿宋" w:hAnsi="仿宋" w:eastAsia="仿宋" w:cs="仿宋"/>
                <w:sz w:val="24"/>
                <w:szCs w:val="24"/>
              </w:rPr>
              <w:t>检查、督促做好突发环境事件的预防措施和应急处置的各项准备工作，督促、协助内部相关部门及时消除环境风险物质的跑、冒、滴、漏。</w:t>
            </w:r>
          </w:p>
          <w:p>
            <w:pPr>
              <w:numPr>
                <w:ilvl w:val="0"/>
                <w:numId w:val="2"/>
              </w:numPr>
              <w:spacing w:line="288" w:lineRule="auto"/>
              <w:rPr>
                <w:rFonts w:hint="eastAsia" w:ascii="仿宋" w:hAnsi="仿宋" w:eastAsia="仿宋" w:cs="仿宋"/>
                <w:sz w:val="24"/>
                <w:szCs w:val="24"/>
              </w:rPr>
            </w:pPr>
            <w:r>
              <w:rPr>
                <w:rFonts w:hint="eastAsia" w:ascii="仿宋" w:hAnsi="仿宋" w:eastAsia="仿宋" w:cs="仿宋"/>
                <w:sz w:val="24"/>
                <w:szCs w:val="24"/>
              </w:rPr>
              <w:t>负责组织预案的更新。</w:t>
            </w:r>
          </w:p>
          <w:p>
            <w:pPr>
              <w:numPr>
                <w:ilvl w:val="0"/>
                <w:numId w:val="2"/>
              </w:numPr>
              <w:spacing w:line="288" w:lineRule="auto"/>
              <w:rPr>
                <w:rFonts w:hint="eastAsia" w:ascii="仿宋" w:hAnsi="仿宋" w:eastAsia="仿宋" w:cs="仿宋"/>
                <w:sz w:val="24"/>
                <w:szCs w:val="24"/>
              </w:rPr>
            </w:pPr>
            <w:r>
              <w:rPr>
                <w:rFonts w:hint="eastAsia" w:ascii="仿宋" w:hAnsi="仿宋" w:eastAsia="仿宋" w:cs="仿宋"/>
                <w:sz w:val="24"/>
                <w:szCs w:val="24"/>
              </w:rPr>
              <w:t>有计划地组织实施突发环境事件应急处置的培训和应急预案的演习，负责对员工进行应急知识和基本防护方法的培训。</w:t>
            </w:r>
          </w:p>
          <w:p>
            <w:pPr>
              <w:numPr>
                <w:ilvl w:val="0"/>
                <w:numId w:val="2"/>
              </w:numPr>
              <w:spacing w:line="288" w:lineRule="auto"/>
              <w:rPr>
                <w:rFonts w:hint="eastAsia" w:ascii="仿宋" w:hAnsi="仿宋" w:eastAsia="仿宋" w:cs="仿宋"/>
                <w:sz w:val="24"/>
                <w:szCs w:val="24"/>
              </w:rPr>
            </w:pPr>
            <w:r>
              <w:rPr>
                <w:rFonts w:hint="eastAsia" w:ascii="仿宋" w:hAnsi="仿宋" w:eastAsia="仿宋" w:cs="仿宋"/>
                <w:sz w:val="24"/>
                <w:szCs w:val="24"/>
              </w:rPr>
              <w:t>编写总结报告。</w:t>
            </w:r>
          </w:p>
        </w:tc>
      </w:tr>
    </w:tbl>
    <w:p>
      <w:pPr>
        <w:rPr>
          <w:rFonts w:ascii="Times New Roman" w:hAnsi="Times New Roman"/>
          <w:szCs w:val="28"/>
        </w:rPr>
      </w:pPr>
      <w:bookmarkStart w:id="72" w:name="_Toc19744_WPSOffice_Level2"/>
      <w:r>
        <w:rPr>
          <w:rFonts w:hint="eastAsia" w:ascii="Times New Roman" w:hAnsi="Times New Roman"/>
          <w:b/>
          <w:bCs/>
          <w:szCs w:val="28"/>
        </w:rPr>
        <w:t>4</w:t>
      </w:r>
      <w:r>
        <w:rPr>
          <w:rFonts w:ascii="Times New Roman" w:hAnsi="Times New Roman"/>
          <w:b/>
          <w:bCs/>
          <w:szCs w:val="28"/>
        </w:rPr>
        <w:t>.1.2应急处置队伍</w:t>
      </w:r>
      <w:bookmarkEnd w:id="72"/>
      <w:r>
        <w:rPr>
          <w:rFonts w:ascii="Times New Roman" w:hAnsi="Times New Roman"/>
          <w:b/>
          <w:bCs/>
          <w:szCs w:val="28"/>
        </w:rPr>
        <w:t>主要职责</w:t>
      </w:r>
    </w:p>
    <w:p>
      <w:pPr>
        <w:ind w:firstLine="560" w:firstLineChars="200"/>
        <w:rPr>
          <w:rFonts w:ascii="Times New Roman" w:hAnsi="Times New Roman"/>
          <w:b/>
          <w:bCs/>
          <w:szCs w:val="24"/>
        </w:rPr>
      </w:pPr>
      <w:r>
        <w:rPr>
          <w:rFonts w:ascii="Times New Roman" w:hAnsi="Times New Roman"/>
          <w:szCs w:val="28"/>
        </w:rPr>
        <w:t>应急处置队伍包括：</w:t>
      </w:r>
      <w:r>
        <w:rPr>
          <w:rFonts w:hint="eastAsia" w:ascii="Times New Roman" w:hAnsi="Times New Roman"/>
          <w:szCs w:val="28"/>
          <w:lang w:val="en-US" w:eastAsia="zh-CN"/>
        </w:rPr>
        <w:t>现场处置</w:t>
      </w:r>
      <w:r>
        <w:rPr>
          <w:rFonts w:ascii="Times New Roman" w:hAnsi="Times New Roman"/>
          <w:szCs w:val="28"/>
        </w:rPr>
        <w:t>组、后勤保障组</w:t>
      </w:r>
      <w:r>
        <w:rPr>
          <w:rFonts w:hint="eastAsia" w:ascii="Times New Roman" w:hAnsi="Times New Roman"/>
          <w:szCs w:val="28"/>
        </w:rPr>
        <w:t>。</w:t>
      </w:r>
      <w:r>
        <w:rPr>
          <w:rFonts w:ascii="Times New Roman" w:hAnsi="Times New Roman"/>
          <w:szCs w:val="28"/>
        </w:rPr>
        <w:t>各小组具体职责和任务如表</w:t>
      </w:r>
      <w:r>
        <w:rPr>
          <w:rFonts w:hint="eastAsia" w:ascii="Times New Roman" w:hAnsi="Times New Roman"/>
          <w:szCs w:val="28"/>
        </w:rPr>
        <w:t>4</w:t>
      </w:r>
      <w:r>
        <w:rPr>
          <w:rFonts w:hint="eastAsia" w:ascii="Times New Roman" w:hAnsi="Times New Roman"/>
          <w:szCs w:val="28"/>
          <w:lang w:val="en-US" w:eastAsia="zh-CN"/>
        </w:rPr>
        <w:t>-</w:t>
      </w:r>
      <w:r>
        <w:rPr>
          <w:rFonts w:hint="eastAsia" w:ascii="Times New Roman" w:hAnsi="Times New Roman"/>
          <w:szCs w:val="28"/>
        </w:rPr>
        <w:t>1-2</w:t>
      </w:r>
      <w:r>
        <w:rPr>
          <w:rFonts w:ascii="Times New Roman" w:hAnsi="Times New Roman"/>
          <w:szCs w:val="28"/>
        </w:rPr>
        <w:t>所示。</w:t>
      </w:r>
    </w:p>
    <w:p>
      <w:pPr>
        <w:jc w:val="center"/>
        <w:rPr>
          <w:rFonts w:ascii="仿宋" w:hAnsi="仿宋"/>
          <w:b/>
          <w:bCs/>
          <w:sz w:val="24"/>
          <w:szCs w:val="24"/>
        </w:rPr>
      </w:pPr>
      <w:r>
        <w:rPr>
          <w:rFonts w:ascii="仿宋" w:hAnsi="仿宋"/>
          <w:sz w:val="24"/>
          <w:szCs w:val="24"/>
        </w:rPr>
        <w:t>表</w:t>
      </w:r>
      <w:r>
        <w:rPr>
          <w:rFonts w:hint="eastAsia" w:ascii="仿宋" w:hAnsi="仿宋"/>
          <w:sz w:val="24"/>
          <w:szCs w:val="24"/>
        </w:rPr>
        <w:t>4</w:t>
      </w:r>
      <w:r>
        <w:rPr>
          <w:rFonts w:hint="eastAsia" w:ascii="仿宋" w:hAnsi="仿宋"/>
          <w:sz w:val="24"/>
          <w:szCs w:val="24"/>
          <w:lang w:val="en-US" w:eastAsia="zh-CN"/>
        </w:rPr>
        <w:t>-</w:t>
      </w:r>
      <w:r>
        <w:rPr>
          <w:rFonts w:hint="eastAsia" w:ascii="仿宋" w:hAnsi="仿宋"/>
          <w:sz w:val="24"/>
          <w:szCs w:val="24"/>
        </w:rPr>
        <w:t>1-2</w:t>
      </w:r>
      <w:r>
        <w:rPr>
          <w:rFonts w:ascii="仿宋" w:hAnsi="仿宋"/>
          <w:sz w:val="24"/>
          <w:szCs w:val="24"/>
        </w:rPr>
        <w:t xml:space="preserve">  </w:t>
      </w:r>
      <w:bookmarkStart w:id="73" w:name="_Toc28155_WPSOffice_Level2"/>
      <w:r>
        <w:rPr>
          <w:rFonts w:ascii="仿宋" w:hAnsi="仿宋"/>
          <w:sz w:val="24"/>
          <w:szCs w:val="24"/>
        </w:rPr>
        <w:t>应急处置队伍职责一</w:t>
      </w:r>
      <w:bookmarkEnd w:id="73"/>
      <w:r>
        <w:rPr>
          <w:rFonts w:ascii="仿宋" w:hAnsi="仿宋"/>
          <w:sz w:val="24"/>
          <w:szCs w:val="24"/>
        </w:rPr>
        <w:t>览表</w:t>
      </w:r>
    </w:p>
    <w:tbl>
      <w:tblPr>
        <w:tblStyle w:val="40"/>
        <w:tblW w:w="8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393"/>
        <w:gridCol w:w="6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91" w:type="dxa"/>
            <w:shd w:val="clear" w:color="auto" w:fill="D7D7D7"/>
            <w:vAlign w:val="center"/>
          </w:tcPr>
          <w:p>
            <w:pPr>
              <w:spacing w:line="288" w:lineRule="auto"/>
              <w:jc w:val="center"/>
              <w:rPr>
                <w:rFonts w:ascii="仿宋" w:hAnsi="仿宋"/>
                <w:sz w:val="24"/>
                <w:szCs w:val="24"/>
              </w:rPr>
            </w:pPr>
            <w:r>
              <w:rPr>
                <w:rFonts w:ascii="仿宋" w:hAnsi="仿宋"/>
                <w:sz w:val="24"/>
                <w:szCs w:val="24"/>
              </w:rPr>
              <w:t>序号</w:t>
            </w:r>
          </w:p>
        </w:tc>
        <w:tc>
          <w:tcPr>
            <w:tcW w:w="1393" w:type="dxa"/>
            <w:shd w:val="clear" w:color="auto" w:fill="D7D7D7"/>
            <w:vAlign w:val="center"/>
          </w:tcPr>
          <w:p>
            <w:pPr>
              <w:spacing w:line="288" w:lineRule="auto"/>
              <w:jc w:val="center"/>
              <w:rPr>
                <w:rFonts w:ascii="仿宋" w:hAnsi="仿宋"/>
                <w:sz w:val="24"/>
                <w:szCs w:val="24"/>
              </w:rPr>
            </w:pPr>
            <w:r>
              <w:rPr>
                <w:rFonts w:ascii="仿宋" w:hAnsi="仿宋"/>
                <w:sz w:val="24"/>
                <w:szCs w:val="24"/>
              </w:rPr>
              <w:t>职能</w:t>
            </w:r>
          </w:p>
        </w:tc>
        <w:tc>
          <w:tcPr>
            <w:tcW w:w="6395" w:type="dxa"/>
            <w:shd w:val="clear" w:color="auto" w:fill="D7D7D7"/>
            <w:vAlign w:val="center"/>
          </w:tcPr>
          <w:p>
            <w:pPr>
              <w:spacing w:line="288" w:lineRule="auto"/>
              <w:jc w:val="center"/>
              <w:rPr>
                <w:rFonts w:ascii="仿宋" w:hAnsi="仿宋"/>
                <w:sz w:val="24"/>
                <w:szCs w:val="24"/>
              </w:rPr>
            </w:pPr>
            <w:r>
              <w:rPr>
                <w:rFonts w:ascii="仿宋" w:hAnsi="仿宋"/>
                <w:sz w:val="24"/>
                <w:szCs w:val="24"/>
              </w:rPr>
              <w:t>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6" w:hRule="atLeast"/>
          <w:jc w:val="center"/>
        </w:trPr>
        <w:tc>
          <w:tcPr>
            <w:tcW w:w="691" w:type="dxa"/>
            <w:vAlign w:val="center"/>
          </w:tcPr>
          <w:p>
            <w:pPr>
              <w:spacing w:line="288" w:lineRule="auto"/>
              <w:jc w:val="center"/>
              <w:rPr>
                <w:rFonts w:ascii="仿宋" w:hAnsi="仿宋"/>
                <w:sz w:val="24"/>
                <w:szCs w:val="24"/>
              </w:rPr>
            </w:pPr>
            <w:r>
              <w:rPr>
                <w:rFonts w:ascii="仿宋" w:hAnsi="仿宋"/>
                <w:sz w:val="24"/>
                <w:szCs w:val="24"/>
              </w:rPr>
              <w:t>1</w:t>
            </w:r>
          </w:p>
        </w:tc>
        <w:tc>
          <w:tcPr>
            <w:tcW w:w="1393" w:type="dxa"/>
            <w:vAlign w:val="center"/>
          </w:tcPr>
          <w:p>
            <w:pPr>
              <w:spacing w:line="288" w:lineRule="auto"/>
              <w:jc w:val="center"/>
              <w:rPr>
                <w:rFonts w:hint="default" w:ascii="仿宋" w:hAnsi="仿宋" w:eastAsia="仿宋"/>
                <w:sz w:val="24"/>
                <w:szCs w:val="24"/>
                <w:lang w:val="en-US" w:eastAsia="zh-CN"/>
              </w:rPr>
            </w:pPr>
            <w:r>
              <w:rPr>
                <w:rFonts w:hint="eastAsia" w:ascii="仿宋" w:hAnsi="仿宋"/>
                <w:sz w:val="24"/>
                <w:szCs w:val="24"/>
                <w:lang w:val="en-US" w:eastAsia="zh-CN"/>
              </w:rPr>
              <w:t>现场处置组</w:t>
            </w:r>
          </w:p>
        </w:tc>
        <w:tc>
          <w:tcPr>
            <w:tcW w:w="6395" w:type="dxa"/>
            <w:vAlign w:val="center"/>
          </w:tcPr>
          <w:p>
            <w:pPr>
              <w:numPr>
                <w:ilvl w:val="0"/>
                <w:numId w:val="3"/>
              </w:numPr>
              <w:spacing w:line="288" w:lineRule="auto"/>
              <w:rPr>
                <w:rFonts w:ascii="仿宋" w:hAnsi="仿宋"/>
                <w:sz w:val="24"/>
                <w:szCs w:val="24"/>
              </w:rPr>
            </w:pPr>
            <w:r>
              <w:rPr>
                <w:rFonts w:ascii="仿宋" w:hAnsi="仿宋"/>
                <w:sz w:val="24"/>
                <w:szCs w:val="24"/>
              </w:rPr>
              <w:t>控制污染物：</w:t>
            </w:r>
            <w:r>
              <w:rPr>
                <w:rFonts w:hint="eastAsia" w:ascii="仿宋" w:hAnsi="仿宋"/>
                <w:sz w:val="24"/>
                <w:szCs w:val="24"/>
              </w:rPr>
              <w:t>泄漏事故情形下及时找到泄漏源并修复，避免持续泄漏</w:t>
            </w:r>
            <w:r>
              <w:rPr>
                <w:rFonts w:ascii="仿宋" w:hAnsi="仿宋"/>
                <w:sz w:val="24"/>
                <w:szCs w:val="24"/>
              </w:rPr>
              <w:t>。</w:t>
            </w:r>
          </w:p>
          <w:p>
            <w:pPr>
              <w:numPr>
                <w:ilvl w:val="0"/>
                <w:numId w:val="3"/>
              </w:numPr>
              <w:spacing w:line="288" w:lineRule="auto"/>
              <w:rPr>
                <w:rFonts w:ascii="仿宋" w:hAnsi="仿宋"/>
                <w:sz w:val="24"/>
                <w:szCs w:val="24"/>
              </w:rPr>
            </w:pPr>
            <w:r>
              <w:rPr>
                <w:rFonts w:ascii="仿宋" w:hAnsi="仿宋"/>
                <w:sz w:val="24"/>
                <w:szCs w:val="24"/>
              </w:rPr>
              <w:t>收集污染物：</w:t>
            </w:r>
            <w:r>
              <w:rPr>
                <w:rFonts w:hint="eastAsia" w:ascii="仿宋" w:hAnsi="仿宋"/>
                <w:sz w:val="24"/>
                <w:szCs w:val="24"/>
              </w:rPr>
              <w:t>泄漏至地面的风险物质，利用吸附材料吸附，避免泄漏物扩散。</w:t>
            </w:r>
          </w:p>
          <w:p>
            <w:pPr>
              <w:numPr>
                <w:ilvl w:val="0"/>
                <w:numId w:val="3"/>
              </w:numPr>
              <w:spacing w:line="288" w:lineRule="auto"/>
              <w:rPr>
                <w:rFonts w:ascii="仿宋" w:hAnsi="仿宋"/>
                <w:sz w:val="24"/>
                <w:szCs w:val="24"/>
              </w:rPr>
            </w:pPr>
            <w:r>
              <w:rPr>
                <w:rFonts w:ascii="仿宋" w:hAnsi="仿宋"/>
                <w:sz w:val="24"/>
                <w:szCs w:val="24"/>
              </w:rPr>
              <w:t>指导人员疏散至紧急集合点，清点人数并维护秩序。</w:t>
            </w:r>
          </w:p>
          <w:p>
            <w:pPr>
              <w:spacing w:line="288" w:lineRule="auto"/>
              <w:rPr>
                <w:rFonts w:ascii="仿宋" w:hAnsi="仿宋"/>
                <w:sz w:val="24"/>
                <w:szCs w:val="24"/>
              </w:rPr>
            </w:pPr>
            <w:r>
              <w:rPr>
                <w:rFonts w:ascii="仿宋" w:hAnsi="仿宋"/>
                <w:sz w:val="24"/>
                <w:szCs w:val="24"/>
              </w:rPr>
              <w:t>（4）交通保障：负责事故现场的警戒和治安管理，禁止无关</w:t>
            </w:r>
            <w:r>
              <w:rPr>
                <w:rFonts w:hint="eastAsia" w:ascii="仿宋" w:hAnsi="仿宋"/>
                <w:sz w:val="24"/>
                <w:szCs w:val="24"/>
              </w:rPr>
              <w:t>人员</w:t>
            </w:r>
            <w:r>
              <w:rPr>
                <w:rFonts w:ascii="仿宋" w:hAnsi="仿宋"/>
                <w:sz w:val="24"/>
                <w:szCs w:val="24"/>
              </w:rPr>
              <w:t>进入危险区域，</w:t>
            </w:r>
            <w:r>
              <w:rPr>
                <w:rFonts w:hint="eastAsia" w:ascii="仿宋" w:hAnsi="仿宋"/>
                <w:sz w:val="24"/>
                <w:szCs w:val="24"/>
              </w:rPr>
              <w:t>防止楼内消防通道拥堵，</w:t>
            </w:r>
            <w:r>
              <w:rPr>
                <w:rFonts w:ascii="仿宋" w:hAnsi="仿宋"/>
                <w:sz w:val="24"/>
                <w:szCs w:val="24"/>
              </w:rPr>
              <w:t>保障救援道路的畅通。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9" w:hRule="atLeast"/>
          <w:jc w:val="center"/>
        </w:trPr>
        <w:tc>
          <w:tcPr>
            <w:tcW w:w="691" w:type="dxa"/>
            <w:vAlign w:val="center"/>
          </w:tcPr>
          <w:p>
            <w:pPr>
              <w:spacing w:line="288" w:lineRule="auto"/>
              <w:jc w:val="center"/>
              <w:rPr>
                <w:rFonts w:ascii="仿宋" w:hAnsi="仿宋"/>
                <w:sz w:val="24"/>
                <w:szCs w:val="24"/>
              </w:rPr>
            </w:pPr>
            <w:r>
              <w:rPr>
                <w:rFonts w:ascii="仿宋" w:hAnsi="仿宋"/>
                <w:sz w:val="24"/>
                <w:szCs w:val="24"/>
              </w:rPr>
              <w:t>2</w:t>
            </w:r>
          </w:p>
        </w:tc>
        <w:tc>
          <w:tcPr>
            <w:tcW w:w="1393" w:type="dxa"/>
            <w:vAlign w:val="center"/>
          </w:tcPr>
          <w:p>
            <w:pPr>
              <w:spacing w:line="288" w:lineRule="auto"/>
              <w:jc w:val="center"/>
              <w:rPr>
                <w:rFonts w:hint="eastAsia" w:ascii="仿宋" w:hAnsi="仿宋" w:eastAsia="仿宋"/>
                <w:sz w:val="24"/>
                <w:szCs w:val="24"/>
                <w:lang w:eastAsia="zh-CN"/>
              </w:rPr>
            </w:pPr>
            <w:r>
              <w:rPr>
                <w:rFonts w:hint="eastAsia" w:ascii="仿宋" w:hAnsi="仿宋"/>
                <w:sz w:val="24"/>
                <w:szCs w:val="24"/>
                <w:lang w:val="en-US" w:eastAsia="zh-CN"/>
              </w:rPr>
              <w:t>后勤保障组</w:t>
            </w:r>
          </w:p>
        </w:tc>
        <w:tc>
          <w:tcPr>
            <w:tcW w:w="6395" w:type="dxa"/>
            <w:vAlign w:val="center"/>
          </w:tcPr>
          <w:p>
            <w:pPr>
              <w:numPr>
                <w:ilvl w:val="0"/>
                <w:numId w:val="4"/>
              </w:numPr>
              <w:spacing w:line="288" w:lineRule="auto"/>
              <w:rPr>
                <w:rFonts w:ascii="仿宋" w:hAnsi="仿宋"/>
                <w:sz w:val="24"/>
                <w:szCs w:val="24"/>
              </w:rPr>
            </w:pPr>
            <w:r>
              <w:rPr>
                <w:rFonts w:ascii="仿宋" w:hAnsi="仿宋"/>
                <w:sz w:val="24"/>
                <w:szCs w:val="24"/>
              </w:rPr>
              <w:t>物资保障：保障应急物资的及时供应</w:t>
            </w:r>
            <w:r>
              <w:rPr>
                <w:rFonts w:hint="eastAsia" w:ascii="仿宋" w:hAnsi="仿宋"/>
                <w:sz w:val="24"/>
                <w:szCs w:val="24"/>
              </w:rPr>
              <w:t>。</w:t>
            </w:r>
          </w:p>
          <w:p>
            <w:pPr>
              <w:spacing w:line="288" w:lineRule="auto"/>
              <w:rPr>
                <w:rFonts w:ascii="仿宋" w:hAnsi="仿宋"/>
                <w:sz w:val="24"/>
                <w:szCs w:val="24"/>
              </w:rPr>
            </w:pPr>
            <w:r>
              <w:rPr>
                <w:rFonts w:ascii="仿宋" w:hAnsi="仿宋"/>
                <w:sz w:val="24"/>
                <w:szCs w:val="24"/>
              </w:rPr>
              <w:t>（2）通讯保障：保障现场人员的通讯畅通</w:t>
            </w:r>
            <w:r>
              <w:rPr>
                <w:rFonts w:hint="eastAsia" w:ascii="仿宋" w:hAnsi="仿宋"/>
                <w:sz w:val="24"/>
                <w:szCs w:val="24"/>
              </w:rPr>
              <w:t>。</w:t>
            </w:r>
          </w:p>
          <w:p>
            <w:pPr>
              <w:spacing w:line="288" w:lineRule="auto"/>
              <w:rPr>
                <w:rFonts w:ascii="仿宋" w:hAnsi="仿宋"/>
                <w:sz w:val="24"/>
                <w:szCs w:val="24"/>
              </w:rPr>
            </w:pPr>
            <w:r>
              <w:rPr>
                <w:rFonts w:ascii="仿宋" w:hAnsi="仿宋"/>
                <w:sz w:val="24"/>
                <w:szCs w:val="24"/>
              </w:rPr>
              <w:t>（3）医疗保障：若发生人员</w:t>
            </w:r>
            <w:r>
              <w:rPr>
                <w:rFonts w:hint="eastAsia" w:ascii="仿宋" w:hAnsi="仿宋"/>
                <w:sz w:val="24"/>
                <w:szCs w:val="24"/>
              </w:rPr>
              <w:t>受</w:t>
            </w:r>
            <w:r>
              <w:rPr>
                <w:rFonts w:ascii="仿宋" w:hAnsi="仿宋"/>
                <w:sz w:val="24"/>
                <w:szCs w:val="24"/>
              </w:rPr>
              <w:t>伤事件，及时利用厂内医疗资源提供救助；若厂内医疗力量无法满足需求，及时联系医疗机构，或拨打120申请救援并协助转送伤者。</w:t>
            </w:r>
          </w:p>
          <w:p>
            <w:pPr>
              <w:spacing w:line="288" w:lineRule="auto"/>
              <w:rPr>
                <w:rFonts w:ascii="仿宋" w:hAnsi="仿宋"/>
                <w:sz w:val="24"/>
                <w:szCs w:val="24"/>
              </w:rPr>
            </w:pPr>
            <w:r>
              <w:rPr>
                <w:rFonts w:hint="eastAsia" w:ascii="仿宋" w:hAnsi="仿宋"/>
                <w:sz w:val="24"/>
                <w:szCs w:val="24"/>
              </w:rPr>
              <w:t>（</w:t>
            </w:r>
            <w:r>
              <w:rPr>
                <w:rFonts w:ascii="仿宋" w:hAnsi="仿宋"/>
                <w:sz w:val="24"/>
                <w:szCs w:val="24"/>
              </w:rPr>
              <w:t>4</w:t>
            </w:r>
            <w:r>
              <w:rPr>
                <w:rFonts w:hint="eastAsia" w:ascii="仿宋" w:hAnsi="仿宋"/>
                <w:sz w:val="24"/>
                <w:szCs w:val="24"/>
              </w:rPr>
              <w:t>）</w:t>
            </w:r>
            <w:r>
              <w:rPr>
                <w:rFonts w:hint="eastAsia" w:ascii="仿宋" w:hAnsi="仿宋"/>
                <w:sz w:val="24"/>
                <w:szCs w:val="24"/>
                <w:lang w:val="en-US" w:eastAsia="zh-CN"/>
              </w:rPr>
              <w:t>联系并配合</w:t>
            </w:r>
            <w:r>
              <w:rPr>
                <w:rFonts w:hint="eastAsia" w:ascii="仿宋" w:hAnsi="仿宋"/>
                <w:sz w:val="24"/>
                <w:szCs w:val="24"/>
              </w:rPr>
              <w:t>监测单位进行应急监测，并将监测结果实时汇报至总指挥。</w:t>
            </w:r>
          </w:p>
        </w:tc>
      </w:tr>
    </w:tbl>
    <w:p>
      <w:pPr>
        <w:spacing w:before="120" w:beforeLines="50"/>
        <w:outlineLvl w:val="1"/>
        <w:rPr>
          <w:rFonts w:ascii="Times New Roman" w:hAnsi="Times New Roman"/>
          <w:b/>
          <w:bCs/>
          <w:szCs w:val="24"/>
        </w:rPr>
      </w:pPr>
      <w:bookmarkStart w:id="74" w:name="_Toc6113"/>
      <w:bookmarkStart w:id="75" w:name="_Toc27057"/>
      <w:bookmarkStart w:id="76" w:name="_Toc27297_WPSOffice_Level2"/>
      <w:r>
        <w:rPr>
          <w:rFonts w:hint="eastAsia" w:ascii="Times New Roman" w:hAnsi="Times New Roman"/>
          <w:b/>
          <w:bCs/>
          <w:szCs w:val="28"/>
        </w:rPr>
        <w:t>4</w:t>
      </w:r>
      <w:r>
        <w:rPr>
          <w:rFonts w:ascii="Times New Roman" w:hAnsi="Times New Roman"/>
          <w:b/>
          <w:bCs/>
          <w:szCs w:val="28"/>
        </w:rPr>
        <w:t>.2应急成员名单及联系方式</w:t>
      </w:r>
      <w:bookmarkEnd w:id="74"/>
      <w:bookmarkEnd w:id="75"/>
    </w:p>
    <w:p>
      <w:pPr>
        <w:jc w:val="center"/>
        <w:rPr>
          <w:rFonts w:hint="eastAsia" w:ascii="仿宋" w:hAnsi="仿宋" w:eastAsia="仿宋" w:cs="仿宋"/>
          <w:sz w:val="24"/>
          <w:szCs w:val="24"/>
        </w:rPr>
      </w:pPr>
      <w:r>
        <w:rPr>
          <w:rFonts w:hint="eastAsia" w:ascii="仿宋" w:hAnsi="仿宋" w:eastAsia="仿宋" w:cs="仿宋"/>
          <w:sz w:val="24"/>
          <w:szCs w:val="24"/>
        </w:rPr>
        <w:t>表4</w:t>
      </w:r>
      <w:r>
        <w:rPr>
          <w:rFonts w:hint="eastAsia" w:ascii="仿宋" w:hAnsi="仿宋" w:eastAsia="仿宋" w:cs="仿宋"/>
          <w:sz w:val="24"/>
          <w:szCs w:val="24"/>
          <w:lang w:val="en-US" w:eastAsia="zh-CN"/>
        </w:rPr>
        <w:t>-</w:t>
      </w:r>
      <w:r>
        <w:rPr>
          <w:rFonts w:hint="eastAsia" w:ascii="仿宋" w:hAnsi="仿宋" w:eastAsia="仿宋" w:cs="仿宋"/>
          <w:sz w:val="24"/>
          <w:szCs w:val="24"/>
        </w:rPr>
        <w:t>2-1  应急</w:t>
      </w:r>
      <w:r>
        <w:rPr>
          <w:rFonts w:hint="eastAsia" w:ascii="仿宋" w:hAnsi="仿宋" w:eastAsia="仿宋" w:cs="仿宋"/>
          <w:sz w:val="24"/>
          <w:szCs w:val="24"/>
          <w:highlight w:val="none"/>
        </w:rPr>
        <w:t>组织机构</w:t>
      </w:r>
      <w:bookmarkEnd w:id="76"/>
      <w:r>
        <w:rPr>
          <w:rFonts w:hint="eastAsia" w:ascii="仿宋" w:hAnsi="仿宋" w:eastAsia="仿宋" w:cs="仿宋"/>
          <w:sz w:val="24"/>
          <w:szCs w:val="24"/>
          <w:highlight w:val="none"/>
        </w:rPr>
        <w:t>组成</w:t>
      </w:r>
      <w:r>
        <w:rPr>
          <w:rFonts w:hint="eastAsia" w:ascii="仿宋" w:hAnsi="仿宋" w:eastAsia="仿宋" w:cs="仿宋"/>
          <w:sz w:val="24"/>
          <w:szCs w:val="24"/>
        </w:rPr>
        <w:t>表</w:t>
      </w:r>
    </w:p>
    <w:tbl>
      <w:tblPr>
        <w:tblStyle w:val="40"/>
        <w:tblpPr w:leftFromText="180" w:rightFromText="180" w:vertAnchor="page" w:horzAnchor="page" w:tblpX="2111" w:tblpY="8737"/>
        <w:tblOverlap w:val="never"/>
        <w:tblW w:w="83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957"/>
        <w:gridCol w:w="990"/>
        <w:gridCol w:w="1824"/>
        <w:gridCol w:w="1199"/>
        <w:gridCol w:w="16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738" w:type="dxa"/>
            <w:vMerge w:val="restart"/>
            <w:tcBorders>
              <w:tl2br w:val="nil"/>
              <w:tr2bl w:val="nil"/>
            </w:tcBorders>
            <w:noWrap w:val="0"/>
            <w:vAlign w:val="center"/>
          </w:tcPr>
          <w:p>
            <w:pPr>
              <w:spacing w:line="240" w:lineRule="auto"/>
              <w:rPr>
                <w:rFonts w:hint="eastAsia" w:ascii="仿宋" w:hAnsi="仿宋" w:eastAsia="仿宋" w:cs="仿宋"/>
                <w:sz w:val="24"/>
                <w:szCs w:val="24"/>
              </w:rPr>
            </w:pPr>
            <w:bookmarkStart w:id="77" w:name="_Toc7072"/>
            <w:bookmarkStart w:id="78" w:name="_Toc6458"/>
            <w:bookmarkStart w:id="79" w:name="_Toc15122"/>
            <w:bookmarkStart w:id="80" w:name="_Toc25504_WPSOffice_Level1"/>
            <w:r>
              <w:rPr>
                <w:rFonts w:hint="eastAsia" w:ascii="仿宋" w:hAnsi="仿宋" w:eastAsia="仿宋" w:cs="仿宋"/>
                <w:sz w:val="24"/>
                <w:szCs w:val="24"/>
              </w:rPr>
              <w:t>序号</w:t>
            </w:r>
          </w:p>
        </w:tc>
        <w:tc>
          <w:tcPr>
            <w:tcW w:w="2947" w:type="dxa"/>
            <w:gridSpan w:val="2"/>
            <w:vMerge w:val="restart"/>
            <w:tcBorders>
              <w:tl2br w:val="nil"/>
              <w:tr2bl w:val="nil"/>
            </w:tcBorders>
            <w:noWrap w:val="0"/>
            <w:vAlign w:val="center"/>
          </w:tcPr>
          <w:p>
            <w:pPr>
              <w:spacing w:line="240" w:lineRule="auto"/>
              <w:rPr>
                <w:rFonts w:hint="eastAsia" w:ascii="仿宋" w:hAnsi="仿宋" w:eastAsia="仿宋" w:cs="仿宋"/>
                <w:sz w:val="24"/>
                <w:szCs w:val="24"/>
              </w:rPr>
            </w:pPr>
            <w:r>
              <w:rPr>
                <w:rFonts w:hint="eastAsia" w:ascii="仿宋" w:hAnsi="仿宋" w:eastAsia="仿宋" w:cs="仿宋"/>
                <w:sz w:val="24"/>
                <w:szCs w:val="24"/>
              </w:rPr>
              <w:t>应急职责</w:t>
            </w:r>
          </w:p>
        </w:tc>
        <w:tc>
          <w:tcPr>
            <w:tcW w:w="4674" w:type="dxa"/>
            <w:gridSpan w:val="3"/>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应急人员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8" w:type="dxa"/>
            <w:vMerge w:val="continue"/>
            <w:tcBorders>
              <w:tl2br w:val="nil"/>
              <w:tr2bl w:val="nil"/>
            </w:tcBorders>
            <w:noWrap w:val="0"/>
            <w:vAlign w:val="center"/>
          </w:tcPr>
          <w:p>
            <w:pPr>
              <w:spacing w:line="240" w:lineRule="auto"/>
              <w:rPr>
                <w:rFonts w:hint="eastAsia" w:ascii="仿宋" w:hAnsi="仿宋" w:eastAsia="仿宋" w:cs="仿宋"/>
                <w:sz w:val="24"/>
                <w:szCs w:val="24"/>
              </w:rPr>
            </w:pPr>
          </w:p>
        </w:tc>
        <w:tc>
          <w:tcPr>
            <w:tcW w:w="2947" w:type="dxa"/>
            <w:gridSpan w:val="2"/>
            <w:vMerge w:val="continue"/>
            <w:tcBorders>
              <w:tl2br w:val="nil"/>
              <w:tr2bl w:val="nil"/>
            </w:tcBorders>
            <w:noWrap w:val="0"/>
            <w:vAlign w:val="center"/>
          </w:tcPr>
          <w:p>
            <w:pPr>
              <w:spacing w:line="240" w:lineRule="auto"/>
              <w:rPr>
                <w:rFonts w:hint="eastAsia" w:ascii="仿宋" w:hAnsi="仿宋" w:eastAsia="仿宋" w:cs="仿宋"/>
                <w:sz w:val="24"/>
                <w:szCs w:val="24"/>
              </w:rPr>
            </w:pPr>
          </w:p>
        </w:tc>
        <w:tc>
          <w:tcPr>
            <w:tcW w:w="1824"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姓名</w:t>
            </w:r>
          </w:p>
        </w:tc>
        <w:tc>
          <w:tcPr>
            <w:tcW w:w="1199" w:type="dxa"/>
            <w:tcBorders>
              <w:tl2br w:val="nil"/>
              <w:tr2bl w:val="nil"/>
            </w:tcBorders>
            <w:noWrap w:val="0"/>
            <w:vAlign w:val="center"/>
          </w:tcPr>
          <w:p>
            <w:pPr>
              <w:spacing w:line="240" w:lineRule="auto"/>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职务</w:t>
            </w:r>
          </w:p>
        </w:tc>
        <w:tc>
          <w:tcPr>
            <w:tcW w:w="1651"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手机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738"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1</w:t>
            </w:r>
          </w:p>
        </w:tc>
        <w:tc>
          <w:tcPr>
            <w:tcW w:w="2947" w:type="dxa"/>
            <w:gridSpan w:val="2"/>
            <w:tcBorders>
              <w:tl2br w:val="nil"/>
              <w:tr2bl w:val="nil"/>
            </w:tcBorders>
            <w:noWrap w:val="0"/>
            <w:vAlign w:val="center"/>
          </w:tcPr>
          <w:p>
            <w:pPr>
              <w:spacing w:line="240" w:lineRule="auto"/>
              <w:rPr>
                <w:rFonts w:hint="eastAsia" w:ascii="仿宋" w:hAnsi="仿宋" w:eastAsia="仿宋" w:cs="仿宋"/>
                <w:sz w:val="24"/>
                <w:szCs w:val="24"/>
              </w:rPr>
            </w:pPr>
            <w:r>
              <w:rPr>
                <w:rFonts w:hint="eastAsia" w:ascii="仿宋" w:hAnsi="仿宋" w:eastAsia="仿宋" w:cs="仿宋"/>
                <w:sz w:val="24"/>
                <w:szCs w:val="24"/>
              </w:rPr>
              <w:t>总指挥</w:t>
            </w:r>
          </w:p>
        </w:tc>
        <w:tc>
          <w:tcPr>
            <w:tcW w:w="1824" w:type="dxa"/>
            <w:tcBorders>
              <w:tl2br w:val="nil"/>
              <w:tr2bl w:val="nil"/>
            </w:tcBorders>
            <w:noWrap w:val="0"/>
            <w:vAlign w:val="top"/>
          </w:tcPr>
          <w:p>
            <w:pPr>
              <w:numPr>
                <w:ilvl w:val="0"/>
                <w:numId w:val="0"/>
              </w:numPr>
              <w:ind w:left="0" w:leftChars="0" w:firstLine="0" w:firstLineChars="0"/>
              <w:jc w:val="center"/>
              <w:rPr>
                <w:rFonts w:hint="default"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邹树军</w:t>
            </w:r>
          </w:p>
        </w:tc>
        <w:tc>
          <w:tcPr>
            <w:tcW w:w="1199" w:type="dxa"/>
            <w:tcBorders>
              <w:tl2br w:val="nil"/>
              <w:tr2bl w:val="nil"/>
            </w:tcBorders>
            <w:noWrap w:val="0"/>
            <w:vAlign w:val="center"/>
          </w:tcPr>
          <w:p>
            <w:pPr>
              <w:spacing w:line="24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总经理</w:t>
            </w:r>
          </w:p>
        </w:tc>
        <w:tc>
          <w:tcPr>
            <w:tcW w:w="1651" w:type="dxa"/>
            <w:tcBorders>
              <w:tl2br w:val="nil"/>
              <w:tr2bl w:val="nil"/>
            </w:tcBorders>
            <w:noWrap w:val="0"/>
            <w:vAlign w:val="top"/>
          </w:tcPr>
          <w:p>
            <w:pPr>
              <w:numPr>
                <w:ilvl w:val="0"/>
                <w:numId w:val="0"/>
              </w:numPr>
              <w:ind w:left="0" w:leftChars="0" w:firstLine="0" w:firstLineChars="0"/>
              <w:jc w:val="center"/>
              <w:rPr>
                <w:rFonts w:hint="default"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13388085592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8"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2</w:t>
            </w:r>
          </w:p>
        </w:tc>
        <w:tc>
          <w:tcPr>
            <w:tcW w:w="2947" w:type="dxa"/>
            <w:gridSpan w:val="2"/>
            <w:tcBorders>
              <w:tl2br w:val="nil"/>
              <w:tr2bl w:val="nil"/>
            </w:tcBorders>
            <w:noWrap w:val="0"/>
            <w:vAlign w:val="center"/>
          </w:tcPr>
          <w:p>
            <w:pPr>
              <w:spacing w:line="240" w:lineRule="auto"/>
              <w:rPr>
                <w:rFonts w:hint="eastAsia" w:ascii="仿宋" w:hAnsi="仿宋" w:eastAsia="仿宋" w:cs="仿宋"/>
                <w:sz w:val="24"/>
                <w:szCs w:val="24"/>
              </w:rPr>
            </w:pPr>
            <w:r>
              <w:rPr>
                <w:rFonts w:hint="eastAsia" w:ascii="仿宋" w:hAnsi="仿宋" w:eastAsia="仿宋" w:cs="仿宋"/>
                <w:sz w:val="24"/>
                <w:szCs w:val="24"/>
              </w:rPr>
              <w:t>副总指挥</w:t>
            </w:r>
          </w:p>
        </w:tc>
        <w:tc>
          <w:tcPr>
            <w:tcW w:w="1824" w:type="dxa"/>
            <w:tcBorders>
              <w:tl2br w:val="nil"/>
              <w:tr2bl w:val="nil"/>
            </w:tcBorders>
            <w:noWrap w:val="0"/>
            <w:vAlign w:val="top"/>
          </w:tcPr>
          <w:p>
            <w:pPr>
              <w:numPr>
                <w:ilvl w:val="0"/>
                <w:numId w:val="0"/>
              </w:numPr>
              <w:ind w:left="0" w:leftChars="0" w:firstLine="0" w:firstLineChars="0"/>
              <w:jc w:val="center"/>
              <w:rPr>
                <w:rFonts w:hint="default"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田加华</w:t>
            </w:r>
          </w:p>
        </w:tc>
        <w:tc>
          <w:tcPr>
            <w:tcW w:w="1199" w:type="dxa"/>
            <w:tcBorders>
              <w:tl2br w:val="nil"/>
              <w:tr2bl w:val="nil"/>
            </w:tcBorders>
            <w:noWrap w:val="0"/>
            <w:vAlign w:val="center"/>
          </w:tcPr>
          <w:p>
            <w:pPr>
              <w:spacing w:line="24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副总经理</w:t>
            </w:r>
          </w:p>
        </w:tc>
        <w:tc>
          <w:tcPr>
            <w:tcW w:w="1651" w:type="dxa"/>
            <w:tcBorders>
              <w:tl2br w:val="nil"/>
              <w:tr2bl w:val="nil"/>
            </w:tcBorders>
            <w:noWrap w:val="0"/>
            <w:vAlign w:val="top"/>
          </w:tcPr>
          <w:p>
            <w:pPr>
              <w:numPr>
                <w:ilvl w:val="0"/>
                <w:numId w:val="0"/>
              </w:numPr>
              <w:ind w:left="0" w:leftChars="0" w:firstLine="0" w:firstLineChars="0"/>
              <w:jc w:val="both"/>
              <w:rPr>
                <w:rFonts w:hint="default"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18222269857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8"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3</w:t>
            </w:r>
          </w:p>
        </w:tc>
        <w:tc>
          <w:tcPr>
            <w:tcW w:w="1957" w:type="dxa"/>
            <w:tcBorders>
              <w:tl2br w:val="nil"/>
              <w:tr2bl w:val="nil"/>
            </w:tcBorders>
            <w:noWrap w:val="0"/>
            <w:vAlign w:val="center"/>
          </w:tcPr>
          <w:p>
            <w:pPr>
              <w:spacing w:line="240" w:lineRule="auto"/>
              <w:rPr>
                <w:rFonts w:hint="eastAsia" w:ascii="仿宋" w:hAnsi="仿宋" w:eastAsia="仿宋" w:cs="仿宋"/>
                <w:sz w:val="24"/>
                <w:szCs w:val="24"/>
              </w:rPr>
            </w:pPr>
            <w:r>
              <w:rPr>
                <w:rFonts w:hint="eastAsia" w:ascii="仿宋" w:hAnsi="仿宋" w:eastAsia="仿宋" w:cs="仿宋"/>
                <w:sz w:val="24"/>
                <w:szCs w:val="24"/>
              </w:rPr>
              <w:t>应急指挥办公室</w:t>
            </w:r>
          </w:p>
        </w:tc>
        <w:tc>
          <w:tcPr>
            <w:tcW w:w="990" w:type="dxa"/>
            <w:tcBorders>
              <w:tl2br w:val="nil"/>
              <w:tr2bl w:val="nil"/>
            </w:tcBorders>
            <w:noWrap w:val="0"/>
            <w:vAlign w:val="center"/>
          </w:tcPr>
          <w:p>
            <w:pPr>
              <w:spacing w:line="240" w:lineRule="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办公室</w:t>
            </w:r>
          </w:p>
        </w:tc>
        <w:tc>
          <w:tcPr>
            <w:tcW w:w="1824" w:type="dxa"/>
            <w:tcBorders>
              <w:tl2br w:val="nil"/>
              <w:tr2bl w:val="nil"/>
            </w:tcBorders>
            <w:noWrap w:val="0"/>
            <w:vAlign w:val="center"/>
          </w:tcPr>
          <w:p>
            <w:pPr>
              <w:spacing w:line="240" w:lineRule="auto"/>
              <w:ind w:firstLine="480" w:firstLineChars="200"/>
              <w:jc w:val="both"/>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藤喜红</w:t>
            </w:r>
          </w:p>
        </w:tc>
        <w:tc>
          <w:tcPr>
            <w:tcW w:w="1199" w:type="dxa"/>
            <w:tcBorders>
              <w:tl2br w:val="nil"/>
              <w:tr2bl w:val="nil"/>
            </w:tcBorders>
            <w:noWrap w:val="0"/>
            <w:vAlign w:val="center"/>
          </w:tcPr>
          <w:p>
            <w:pPr>
              <w:spacing w:line="24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主管</w:t>
            </w:r>
          </w:p>
        </w:tc>
        <w:tc>
          <w:tcPr>
            <w:tcW w:w="1651" w:type="dxa"/>
            <w:tcBorders>
              <w:tl2br w:val="nil"/>
              <w:tr2bl w:val="nil"/>
            </w:tcBorders>
            <w:noWrap w:val="0"/>
            <w:vAlign w:val="center"/>
          </w:tcPr>
          <w:p>
            <w:pPr>
              <w:spacing w:line="24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13752798575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38" w:type="dxa"/>
            <w:vMerge w:val="restart"/>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4</w:t>
            </w:r>
          </w:p>
        </w:tc>
        <w:tc>
          <w:tcPr>
            <w:tcW w:w="1957" w:type="dxa"/>
            <w:vMerge w:val="restart"/>
            <w:tcBorders>
              <w:tl2br w:val="nil"/>
              <w:tr2bl w:val="nil"/>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rPr>
              <w:t>后勤保障组</w:t>
            </w:r>
          </w:p>
        </w:tc>
        <w:tc>
          <w:tcPr>
            <w:tcW w:w="990" w:type="dxa"/>
            <w:tcBorders>
              <w:tl2br w:val="nil"/>
              <w:tr2bl w:val="nil"/>
            </w:tcBorders>
            <w:noWrap w:val="0"/>
            <w:vAlign w:val="center"/>
          </w:tcPr>
          <w:p>
            <w:pPr>
              <w:spacing w:line="240" w:lineRule="auto"/>
              <w:rPr>
                <w:rFonts w:hint="eastAsia" w:ascii="仿宋" w:hAnsi="仿宋" w:eastAsia="仿宋" w:cs="仿宋"/>
                <w:sz w:val="24"/>
                <w:szCs w:val="24"/>
              </w:rPr>
            </w:pPr>
            <w:r>
              <w:rPr>
                <w:rFonts w:hint="eastAsia" w:ascii="仿宋" w:hAnsi="仿宋" w:eastAsia="仿宋" w:cs="仿宋"/>
                <w:sz w:val="24"/>
                <w:szCs w:val="24"/>
              </w:rPr>
              <w:t>组长</w:t>
            </w:r>
          </w:p>
        </w:tc>
        <w:tc>
          <w:tcPr>
            <w:tcW w:w="1824" w:type="dxa"/>
            <w:tcBorders>
              <w:tl2br w:val="nil"/>
              <w:tr2bl w:val="nil"/>
            </w:tcBorders>
            <w:noWrap w:val="0"/>
            <w:vAlign w:val="top"/>
          </w:tcPr>
          <w:p>
            <w:pPr>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汤共平</w:t>
            </w:r>
          </w:p>
        </w:tc>
        <w:tc>
          <w:tcPr>
            <w:tcW w:w="1199" w:type="dxa"/>
            <w:tcBorders>
              <w:tl2br w:val="nil"/>
              <w:tr2bl w:val="nil"/>
            </w:tcBorders>
            <w:noWrap w:val="0"/>
            <w:vAlign w:val="center"/>
          </w:tcPr>
          <w:p>
            <w:pPr>
              <w:spacing w:line="240" w:lineRule="auto"/>
              <w:jc w:val="both"/>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后勤主管</w:t>
            </w:r>
          </w:p>
        </w:tc>
        <w:tc>
          <w:tcPr>
            <w:tcW w:w="1651" w:type="dxa"/>
            <w:tcBorders>
              <w:tl2br w:val="nil"/>
              <w:tr2bl w:val="nil"/>
            </w:tcBorders>
            <w:noWrap w:val="0"/>
            <w:vAlign w:val="top"/>
          </w:tcPr>
          <w:p>
            <w:pPr>
              <w:numPr>
                <w:ilvl w:val="0"/>
                <w:numId w:val="0"/>
              </w:numPr>
              <w:ind w:left="0" w:leftChars="0" w:firstLine="0" w:firstLineChars="0"/>
              <w:jc w:val="center"/>
              <w:rPr>
                <w:rFonts w:hint="default"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13323451081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738" w:type="dxa"/>
            <w:vMerge w:val="continue"/>
            <w:tcBorders>
              <w:tl2br w:val="nil"/>
              <w:tr2bl w:val="nil"/>
            </w:tcBorders>
            <w:noWrap w:val="0"/>
            <w:vAlign w:val="center"/>
          </w:tcPr>
          <w:p>
            <w:pPr>
              <w:spacing w:line="240" w:lineRule="auto"/>
              <w:jc w:val="center"/>
              <w:rPr>
                <w:rFonts w:hint="eastAsia" w:ascii="仿宋" w:hAnsi="仿宋" w:eastAsia="仿宋" w:cs="仿宋"/>
                <w:sz w:val="24"/>
                <w:szCs w:val="24"/>
              </w:rPr>
            </w:pPr>
          </w:p>
        </w:tc>
        <w:tc>
          <w:tcPr>
            <w:tcW w:w="1957" w:type="dxa"/>
            <w:vMerge w:val="continue"/>
            <w:tcBorders>
              <w:tl2br w:val="nil"/>
              <w:tr2bl w:val="nil"/>
            </w:tcBorders>
            <w:noWrap w:val="0"/>
            <w:vAlign w:val="center"/>
          </w:tcPr>
          <w:p>
            <w:pPr>
              <w:spacing w:line="240" w:lineRule="auto"/>
              <w:rPr>
                <w:rFonts w:hint="eastAsia" w:ascii="仿宋" w:hAnsi="仿宋" w:eastAsia="仿宋" w:cs="仿宋"/>
                <w:sz w:val="24"/>
                <w:szCs w:val="24"/>
              </w:rPr>
            </w:pPr>
          </w:p>
        </w:tc>
        <w:tc>
          <w:tcPr>
            <w:tcW w:w="990" w:type="dxa"/>
            <w:tcBorders>
              <w:tl2br w:val="nil"/>
              <w:tr2bl w:val="nil"/>
            </w:tcBorders>
            <w:noWrap w:val="0"/>
            <w:vAlign w:val="center"/>
          </w:tcPr>
          <w:p>
            <w:pPr>
              <w:spacing w:line="240" w:lineRule="auto"/>
              <w:rPr>
                <w:rFonts w:hint="eastAsia" w:ascii="仿宋" w:hAnsi="仿宋" w:eastAsia="仿宋" w:cs="仿宋"/>
                <w:sz w:val="24"/>
                <w:szCs w:val="24"/>
              </w:rPr>
            </w:pPr>
            <w:r>
              <w:rPr>
                <w:rFonts w:hint="eastAsia" w:ascii="仿宋" w:hAnsi="仿宋" w:eastAsia="仿宋" w:cs="仿宋"/>
                <w:sz w:val="24"/>
                <w:szCs w:val="24"/>
              </w:rPr>
              <w:t>组员</w:t>
            </w:r>
          </w:p>
        </w:tc>
        <w:tc>
          <w:tcPr>
            <w:tcW w:w="1824" w:type="dxa"/>
            <w:tcBorders>
              <w:tl2br w:val="nil"/>
              <w:tr2bl w:val="nil"/>
            </w:tcBorders>
            <w:noWrap w:val="0"/>
            <w:vAlign w:val="top"/>
          </w:tcPr>
          <w:p>
            <w:pPr>
              <w:numPr>
                <w:ilvl w:val="0"/>
                <w:numId w:val="0"/>
              </w:numPr>
              <w:ind w:left="0" w:leftChars="0" w:firstLine="0" w:firstLineChars="0"/>
              <w:jc w:val="center"/>
              <w:rPr>
                <w:rFonts w:hint="default"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马占强</w:t>
            </w:r>
          </w:p>
        </w:tc>
        <w:tc>
          <w:tcPr>
            <w:tcW w:w="1199" w:type="dxa"/>
            <w:tcBorders>
              <w:tl2br w:val="nil"/>
              <w:tr2bl w:val="nil"/>
            </w:tcBorders>
            <w:noWrap w:val="0"/>
            <w:vAlign w:val="center"/>
          </w:tcPr>
          <w:p>
            <w:pPr>
              <w:spacing w:line="24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内保员</w:t>
            </w:r>
          </w:p>
        </w:tc>
        <w:tc>
          <w:tcPr>
            <w:tcW w:w="1651" w:type="dxa"/>
            <w:tcBorders>
              <w:tl2br w:val="nil"/>
              <w:tr2bl w:val="nil"/>
            </w:tcBorders>
            <w:noWrap w:val="0"/>
            <w:vAlign w:val="top"/>
          </w:tcPr>
          <w:p>
            <w:pPr>
              <w:numPr>
                <w:ilvl w:val="0"/>
                <w:numId w:val="0"/>
              </w:numPr>
              <w:ind w:left="0" w:leftChars="0" w:firstLine="0" w:firstLineChars="0"/>
              <w:jc w:val="center"/>
              <w:rPr>
                <w:rFonts w:hint="default"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15922249728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738" w:type="dxa"/>
            <w:vMerge w:val="restart"/>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5</w:t>
            </w:r>
          </w:p>
        </w:tc>
        <w:tc>
          <w:tcPr>
            <w:tcW w:w="1957" w:type="dxa"/>
            <w:vMerge w:val="restart"/>
            <w:tcBorders>
              <w:tl2br w:val="nil"/>
              <w:tr2bl w:val="nil"/>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现场处置</w:t>
            </w:r>
            <w:r>
              <w:rPr>
                <w:rFonts w:hint="eastAsia" w:ascii="仿宋" w:hAnsi="仿宋" w:eastAsia="仿宋" w:cs="仿宋"/>
                <w:sz w:val="24"/>
                <w:szCs w:val="24"/>
              </w:rPr>
              <w:t>组</w:t>
            </w:r>
          </w:p>
        </w:tc>
        <w:tc>
          <w:tcPr>
            <w:tcW w:w="990" w:type="dxa"/>
            <w:tcBorders>
              <w:tl2br w:val="nil"/>
              <w:tr2bl w:val="nil"/>
            </w:tcBorders>
            <w:noWrap w:val="0"/>
            <w:vAlign w:val="center"/>
          </w:tcPr>
          <w:p>
            <w:pPr>
              <w:spacing w:line="240" w:lineRule="auto"/>
              <w:rPr>
                <w:rFonts w:hint="eastAsia" w:ascii="仿宋" w:hAnsi="仿宋" w:eastAsia="仿宋" w:cs="仿宋"/>
                <w:sz w:val="24"/>
                <w:szCs w:val="24"/>
              </w:rPr>
            </w:pPr>
            <w:r>
              <w:rPr>
                <w:rFonts w:hint="eastAsia" w:ascii="仿宋" w:hAnsi="仿宋" w:eastAsia="仿宋" w:cs="仿宋"/>
                <w:sz w:val="24"/>
                <w:szCs w:val="24"/>
              </w:rPr>
              <w:t>组长</w:t>
            </w:r>
          </w:p>
        </w:tc>
        <w:tc>
          <w:tcPr>
            <w:tcW w:w="1824" w:type="dxa"/>
            <w:tcBorders>
              <w:tl2br w:val="nil"/>
              <w:tr2bl w:val="nil"/>
            </w:tcBorders>
            <w:noWrap w:val="0"/>
            <w:vAlign w:val="top"/>
          </w:tcPr>
          <w:p>
            <w:pPr>
              <w:numPr>
                <w:ilvl w:val="0"/>
                <w:numId w:val="0"/>
              </w:numPr>
              <w:ind w:left="0" w:leftChars="0" w:firstLine="0" w:firstLineChars="0"/>
              <w:jc w:val="center"/>
              <w:rPr>
                <w:rFonts w:hint="default"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刘文德</w:t>
            </w:r>
          </w:p>
        </w:tc>
        <w:tc>
          <w:tcPr>
            <w:tcW w:w="1199" w:type="dxa"/>
            <w:tcBorders>
              <w:tl2br w:val="nil"/>
              <w:tr2bl w:val="nil"/>
            </w:tcBorders>
            <w:noWrap w:val="0"/>
            <w:vAlign w:val="center"/>
          </w:tcPr>
          <w:p>
            <w:pPr>
              <w:spacing w:line="24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电工</w:t>
            </w:r>
          </w:p>
        </w:tc>
        <w:tc>
          <w:tcPr>
            <w:tcW w:w="1651" w:type="dxa"/>
            <w:tcBorders>
              <w:tl2br w:val="nil"/>
              <w:tr2bl w:val="nil"/>
            </w:tcBorders>
            <w:noWrap w:val="0"/>
            <w:vAlign w:val="top"/>
          </w:tcPr>
          <w:p>
            <w:pPr>
              <w:numPr>
                <w:ilvl w:val="0"/>
                <w:numId w:val="0"/>
              </w:numPr>
              <w:ind w:left="0" w:leftChars="0" w:firstLine="0" w:firstLineChars="0"/>
              <w:jc w:val="center"/>
              <w:rPr>
                <w:rFonts w:hint="default"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13207621638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738" w:type="dxa"/>
            <w:vMerge w:val="continue"/>
            <w:tcBorders>
              <w:tl2br w:val="nil"/>
              <w:tr2bl w:val="nil"/>
            </w:tcBorders>
            <w:noWrap w:val="0"/>
            <w:vAlign w:val="center"/>
          </w:tcPr>
          <w:p>
            <w:pPr>
              <w:spacing w:line="240" w:lineRule="auto"/>
              <w:rPr>
                <w:rFonts w:hint="eastAsia" w:ascii="仿宋" w:hAnsi="仿宋" w:eastAsia="仿宋" w:cs="仿宋"/>
                <w:sz w:val="24"/>
                <w:szCs w:val="24"/>
              </w:rPr>
            </w:pPr>
          </w:p>
        </w:tc>
        <w:tc>
          <w:tcPr>
            <w:tcW w:w="1957" w:type="dxa"/>
            <w:vMerge w:val="continue"/>
            <w:tcBorders>
              <w:tl2br w:val="nil"/>
              <w:tr2bl w:val="nil"/>
            </w:tcBorders>
            <w:noWrap w:val="0"/>
            <w:vAlign w:val="center"/>
          </w:tcPr>
          <w:p>
            <w:pPr>
              <w:spacing w:line="240" w:lineRule="auto"/>
              <w:rPr>
                <w:rFonts w:hint="eastAsia" w:ascii="仿宋" w:hAnsi="仿宋" w:eastAsia="仿宋" w:cs="仿宋"/>
                <w:sz w:val="24"/>
                <w:szCs w:val="24"/>
              </w:rPr>
            </w:pPr>
          </w:p>
        </w:tc>
        <w:tc>
          <w:tcPr>
            <w:tcW w:w="990" w:type="dxa"/>
            <w:tcBorders>
              <w:tl2br w:val="nil"/>
              <w:tr2bl w:val="nil"/>
            </w:tcBorders>
            <w:noWrap w:val="0"/>
            <w:vAlign w:val="center"/>
          </w:tcPr>
          <w:p>
            <w:pPr>
              <w:spacing w:line="240" w:lineRule="auto"/>
              <w:rPr>
                <w:rFonts w:hint="eastAsia" w:ascii="仿宋" w:hAnsi="仿宋" w:eastAsia="仿宋" w:cs="仿宋"/>
                <w:sz w:val="24"/>
                <w:szCs w:val="24"/>
              </w:rPr>
            </w:pPr>
            <w:r>
              <w:rPr>
                <w:rFonts w:hint="eastAsia" w:ascii="仿宋" w:hAnsi="仿宋" w:eastAsia="仿宋" w:cs="仿宋"/>
                <w:sz w:val="24"/>
                <w:szCs w:val="24"/>
              </w:rPr>
              <w:t>组员</w:t>
            </w:r>
          </w:p>
        </w:tc>
        <w:tc>
          <w:tcPr>
            <w:tcW w:w="1824" w:type="dxa"/>
            <w:tcBorders>
              <w:tl2br w:val="nil"/>
              <w:tr2bl w:val="nil"/>
            </w:tcBorders>
            <w:noWrap w:val="0"/>
            <w:vAlign w:val="top"/>
          </w:tcPr>
          <w:p>
            <w:pPr>
              <w:numPr>
                <w:ilvl w:val="0"/>
                <w:numId w:val="0"/>
              </w:numPr>
              <w:ind w:left="0" w:leftChars="0" w:firstLine="0" w:firstLineChars="0"/>
              <w:jc w:val="center"/>
              <w:rPr>
                <w:rFonts w:hint="default"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关业章</w:t>
            </w:r>
          </w:p>
        </w:tc>
        <w:tc>
          <w:tcPr>
            <w:tcW w:w="1199" w:type="dxa"/>
            <w:tcBorders>
              <w:tl2br w:val="nil"/>
              <w:tr2bl w:val="nil"/>
            </w:tcBorders>
            <w:noWrap w:val="0"/>
            <w:vAlign w:val="center"/>
          </w:tcPr>
          <w:p>
            <w:pPr>
              <w:spacing w:line="24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备料主管</w:t>
            </w:r>
          </w:p>
        </w:tc>
        <w:tc>
          <w:tcPr>
            <w:tcW w:w="1651" w:type="dxa"/>
            <w:tcBorders>
              <w:tl2br w:val="nil"/>
              <w:tr2bl w:val="nil"/>
            </w:tcBorders>
            <w:noWrap w:val="0"/>
            <w:vAlign w:val="top"/>
          </w:tcPr>
          <w:p>
            <w:pPr>
              <w:numPr>
                <w:ilvl w:val="0"/>
                <w:numId w:val="0"/>
              </w:numPr>
              <w:ind w:left="0" w:leftChars="0" w:firstLine="0" w:firstLineChars="0"/>
              <w:jc w:val="center"/>
              <w:rPr>
                <w:rFonts w:hint="default"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15222876215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8359" w:type="dxa"/>
            <w:gridSpan w:val="6"/>
            <w:tcBorders>
              <w:tl2br w:val="nil"/>
              <w:tr2bl w:val="nil"/>
            </w:tcBorders>
            <w:noWrap w:val="0"/>
            <w:vAlign w:val="center"/>
          </w:tcPr>
          <w:p>
            <w:pPr>
              <w:spacing w:line="240" w:lineRule="auto"/>
              <w:rPr>
                <w:rFonts w:hint="default" w:ascii="仿宋" w:hAnsi="仿宋" w:eastAsia="仿宋" w:cs="仿宋"/>
                <w:sz w:val="24"/>
                <w:szCs w:val="24"/>
                <w:lang w:val="en-US" w:eastAsia="zh-CN"/>
              </w:rPr>
            </w:pPr>
            <w:r>
              <w:rPr>
                <w:rFonts w:hint="eastAsia" w:ascii="仿宋" w:hAnsi="仿宋" w:eastAsia="仿宋" w:cs="仿宋"/>
                <w:sz w:val="24"/>
                <w:szCs w:val="24"/>
              </w:rPr>
              <w:t>应急指挥办公室设置在</w:t>
            </w:r>
            <w:r>
              <w:rPr>
                <w:rFonts w:hint="eastAsia" w:ascii="仿宋" w:hAnsi="仿宋" w:eastAsia="仿宋" w:cs="仿宋"/>
                <w:sz w:val="24"/>
                <w:szCs w:val="24"/>
                <w:lang w:val="en-US" w:eastAsia="zh-CN"/>
              </w:rPr>
              <w:t>综合办公室</w:t>
            </w:r>
          </w:p>
        </w:tc>
      </w:tr>
    </w:tbl>
    <w:p>
      <w:pPr>
        <w:rPr>
          <w:rFonts w:hint="eastAsia" w:ascii="Times New Roman" w:hAnsi="Times New Roman"/>
          <w:b/>
          <w:bCs/>
          <w:szCs w:val="28"/>
        </w:rPr>
      </w:pPr>
    </w:p>
    <w:p>
      <w:pPr>
        <w:pStyle w:val="39"/>
        <w:rPr>
          <w:rFonts w:hint="eastAsia" w:ascii="Times New Roman" w:hAnsi="Times New Roman"/>
          <w:b/>
          <w:bCs/>
          <w:szCs w:val="28"/>
        </w:rPr>
      </w:pPr>
    </w:p>
    <w:p>
      <w:pPr>
        <w:pStyle w:val="39"/>
        <w:rPr>
          <w:rFonts w:hint="eastAsia"/>
        </w:rPr>
      </w:pPr>
    </w:p>
    <w:p>
      <w:pPr>
        <w:spacing w:before="120" w:beforeLines="50"/>
        <w:outlineLvl w:val="1"/>
        <w:rPr>
          <w:rFonts w:ascii="Times New Roman" w:hAnsi="Times New Roman"/>
          <w:szCs w:val="28"/>
        </w:rPr>
      </w:pPr>
      <w:r>
        <w:rPr>
          <w:rFonts w:hint="eastAsia" w:ascii="Times New Roman" w:hAnsi="Times New Roman"/>
          <w:b/>
          <w:bCs/>
          <w:szCs w:val="28"/>
        </w:rPr>
        <w:t>4</w:t>
      </w:r>
      <w:r>
        <w:rPr>
          <w:rFonts w:ascii="Times New Roman" w:hAnsi="Times New Roman"/>
          <w:b/>
          <w:bCs/>
          <w:szCs w:val="28"/>
        </w:rPr>
        <w:t>.3分级响应机制</w:t>
      </w:r>
      <w:bookmarkEnd w:id="77"/>
      <w:bookmarkEnd w:id="78"/>
    </w:p>
    <w:p>
      <w:pPr>
        <w:ind w:firstLine="560" w:firstLineChars="200"/>
        <w:rPr>
          <w:rFonts w:ascii="Times New Roman" w:hAnsi="Times New Roman"/>
          <w:szCs w:val="28"/>
        </w:rPr>
      </w:pPr>
      <w:r>
        <w:rPr>
          <w:rFonts w:ascii="Times New Roman" w:hAnsi="Times New Roman"/>
          <w:szCs w:val="28"/>
        </w:rPr>
        <w:t>根据《国务院办公厅关于印发国家突发环境事件应急预案的通知》（国办函〔2014〕119号），按突发环境事件的可控性、严重程度和影响范围，突发环境事件的应急响应分为特别重大（I级响应）、重大（II级响应）、较大（III级响应）、一般（Ⅳ级响应）四级。</w:t>
      </w:r>
    </w:p>
    <w:p>
      <w:pPr>
        <w:ind w:firstLine="560" w:firstLineChars="200"/>
        <w:rPr>
          <w:rFonts w:hint="default" w:ascii="Times New Roman" w:hAnsi="Times New Roman" w:eastAsia="仿宋"/>
          <w:szCs w:val="28"/>
          <w:lang w:val="en-US" w:eastAsia="zh-CN"/>
        </w:rPr>
      </w:pPr>
      <w:r>
        <w:rPr>
          <w:rFonts w:ascii="Times New Roman" w:hAnsi="Times New Roman"/>
          <w:szCs w:val="28"/>
        </w:rPr>
        <w:t>本预案根据企业实际情况，</w:t>
      </w:r>
      <w:r>
        <w:rPr>
          <w:rFonts w:hint="eastAsia" w:ascii="Times New Roman" w:hAnsi="Times New Roman"/>
          <w:szCs w:val="28"/>
          <w:lang w:val="en-US" w:eastAsia="zh-CN"/>
        </w:rPr>
        <w:t>泄漏性极小、环境污染可控制在厂界范围以内，</w:t>
      </w:r>
      <w:r>
        <w:rPr>
          <w:rFonts w:ascii="Times New Roman" w:hAnsi="Times New Roman"/>
          <w:szCs w:val="28"/>
        </w:rPr>
        <w:t>将企业突发环境事件响应级别定义为现场级、公司级。</w:t>
      </w:r>
      <w:r>
        <w:rPr>
          <w:rFonts w:hint="eastAsia" w:ascii="Times New Roman" w:hAnsi="Times New Roman"/>
          <w:szCs w:val="28"/>
          <w:lang w:val="en-US" w:eastAsia="zh-CN"/>
        </w:rPr>
        <w:t>超出本级应急处置能力时，应及时请求上一级启动相关应急预案</w:t>
      </w:r>
    </w:p>
    <w:p>
      <w:pPr>
        <w:ind w:firstLine="560"/>
        <w:rPr>
          <w:rFonts w:ascii="Times New Roman" w:hAnsi="Times New Roman"/>
          <w:szCs w:val="28"/>
        </w:rPr>
      </w:pPr>
      <w:r>
        <w:rPr>
          <w:rFonts w:hint="eastAsia" w:ascii="Times New Roman" w:hAnsi="Times New Roman"/>
          <w:szCs w:val="28"/>
          <w:lang w:val="en-US" w:eastAsia="zh-CN"/>
        </w:rPr>
        <w:t>1</w:t>
      </w:r>
      <w:r>
        <w:rPr>
          <w:rFonts w:ascii="Times New Roman" w:hAnsi="Times New Roman"/>
          <w:szCs w:val="28"/>
        </w:rPr>
        <w:t>）公司级应急响应：指事件采取现场措施无法解决，但通过公司内部力量可以控制。此类事件发生需</w:t>
      </w:r>
      <w:r>
        <w:rPr>
          <w:rFonts w:hint="eastAsia" w:ascii="Times New Roman" w:hAnsi="Times New Roman"/>
          <w:szCs w:val="28"/>
        </w:rPr>
        <w:t>在开展现场处置的同时，</w:t>
      </w:r>
      <w:r>
        <w:rPr>
          <w:rFonts w:ascii="Times New Roman" w:hAnsi="Times New Roman"/>
          <w:szCs w:val="28"/>
        </w:rPr>
        <w:t>第一时间上报</w:t>
      </w:r>
      <w:r>
        <w:rPr>
          <w:rFonts w:hint="eastAsia" w:ascii="Times New Roman" w:hAnsi="Times New Roman"/>
          <w:szCs w:val="28"/>
        </w:rPr>
        <w:t>应急指挥中心</w:t>
      </w:r>
      <w:r>
        <w:rPr>
          <w:rFonts w:ascii="Times New Roman" w:hAnsi="Times New Roman"/>
          <w:szCs w:val="28"/>
        </w:rPr>
        <w:t>，由应急总指挥负责，应急处置队伍按照本预案开展应急行动。</w:t>
      </w:r>
    </w:p>
    <w:p>
      <w:pPr>
        <w:ind w:firstLine="560" w:firstLineChars="200"/>
        <w:jc w:val="left"/>
        <w:rPr>
          <w:rFonts w:hint="eastAsia" w:ascii="Times New Roman" w:hAnsi="Times New Roman"/>
          <w:szCs w:val="28"/>
          <w:lang w:val="en-US" w:eastAsia="zh-CN"/>
        </w:rPr>
      </w:pPr>
      <w:r>
        <w:rPr>
          <w:rFonts w:hint="eastAsia" w:ascii="Times New Roman" w:hAnsi="Times New Roman"/>
          <w:szCs w:val="28"/>
          <w:lang w:val="en-US" w:eastAsia="zh-CN"/>
        </w:rPr>
        <w:t>2</w:t>
      </w:r>
      <w:r>
        <w:rPr>
          <w:rFonts w:ascii="Times New Roman" w:hAnsi="Times New Roman"/>
          <w:szCs w:val="28"/>
        </w:rPr>
        <w:t>）现场级应急响应：指事件采取现场措施即可解决，无需动员应急组织力量，事故处理的同时上报部门负责人。</w:t>
      </w:r>
      <w:r>
        <w:rPr>
          <w:rFonts w:hint="eastAsia" w:ascii="Times New Roman" w:hAnsi="Times New Roman"/>
          <w:szCs w:val="28"/>
        </w:rPr>
        <w:t>突发环境事件应急处置行动响应级别如表4</w:t>
      </w:r>
      <w:r>
        <w:rPr>
          <w:rFonts w:hint="eastAsia" w:ascii="Times New Roman" w:hAnsi="Times New Roman"/>
          <w:szCs w:val="28"/>
          <w:lang w:val="en-US" w:eastAsia="zh-CN"/>
        </w:rPr>
        <w:t>-</w:t>
      </w:r>
      <w:r>
        <w:rPr>
          <w:rFonts w:hint="eastAsia" w:ascii="Times New Roman" w:hAnsi="Times New Roman"/>
          <w:szCs w:val="28"/>
        </w:rPr>
        <w:t>3-1所</w:t>
      </w:r>
      <w:r>
        <w:rPr>
          <w:rFonts w:hint="eastAsia" w:ascii="Times New Roman" w:hAnsi="Times New Roman"/>
          <w:szCs w:val="28"/>
          <w:lang w:val="en-US" w:eastAsia="zh-CN"/>
        </w:rPr>
        <w:t>示。</w:t>
      </w:r>
    </w:p>
    <w:p>
      <w:pPr>
        <w:spacing w:line="240" w:lineRule="auto"/>
        <w:jc w:val="center"/>
        <w:rPr>
          <w:rFonts w:ascii="Times New Roman" w:hAnsi="Times New Roman"/>
          <w:sz w:val="24"/>
          <w:szCs w:val="24"/>
        </w:rPr>
      </w:pPr>
      <w:r>
        <w:rPr>
          <w:rFonts w:ascii="Times New Roman" w:hAnsi="Times New Roman"/>
          <w:sz w:val="24"/>
          <w:szCs w:val="24"/>
        </w:rPr>
        <w:t>表</w:t>
      </w:r>
      <w:r>
        <w:rPr>
          <w:rFonts w:hint="eastAsia" w:ascii="Times New Roman" w:hAnsi="Times New Roman"/>
          <w:sz w:val="24"/>
          <w:szCs w:val="24"/>
        </w:rPr>
        <w:t>4</w:t>
      </w:r>
      <w:r>
        <w:rPr>
          <w:rFonts w:hint="eastAsia" w:ascii="Times New Roman" w:hAnsi="Times New Roman"/>
          <w:sz w:val="24"/>
          <w:szCs w:val="24"/>
          <w:lang w:val="en-US" w:eastAsia="zh-CN"/>
        </w:rPr>
        <w:t>-</w:t>
      </w:r>
      <w:r>
        <w:rPr>
          <w:rFonts w:hint="eastAsia" w:ascii="Times New Roman" w:hAnsi="Times New Roman"/>
          <w:sz w:val="24"/>
          <w:szCs w:val="24"/>
        </w:rPr>
        <w:t>3-1</w:t>
      </w:r>
      <w:r>
        <w:rPr>
          <w:rFonts w:ascii="Times New Roman" w:hAnsi="Times New Roman"/>
          <w:sz w:val="24"/>
          <w:szCs w:val="24"/>
        </w:rPr>
        <w:t xml:space="preserve">  突发环境事件处置行动应急响应级别</w:t>
      </w:r>
    </w:p>
    <w:tbl>
      <w:tblPr>
        <w:tblStyle w:val="40"/>
        <w:tblpPr w:leftFromText="180" w:rightFromText="180" w:vertAnchor="text" w:horzAnchor="page" w:tblpX="1637" w:tblpY="1291"/>
        <w:tblOverlap w:val="never"/>
        <w:tblW w:w="9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2050"/>
        <w:gridCol w:w="899"/>
        <w:gridCol w:w="3346"/>
        <w:gridCol w:w="837"/>
        <w:gridCol w:w="1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2935" w:type="dxa"/>
            <w:gridSpan w:val="2"/>
            <w:shd w:val="clear" w:color="auto" w:fill="D7D7D7"/>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突发环境事件</w:t>
            </w:r>
          </w:p>
        </w:tc>
        <w:tc>
          <w:tcPr>
            <w:tcW w:w="899" w:type="dxa"/>
            <w:vMerge w:val="restart"/>
            <w:shd w:val="clear" w:color="auto" w:fill="D7D7D7"/>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响应</w:t>
            </w:r>
          </w:p>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级别</w:t>
            </w:r>
          </w:p>
        </w:tc>
        <w:tc>
          <w:tcPr>
            <w:tcW w:w="3346" w:type="dxa"/>
            <w:vMerge w:val="restart"/>
            <w:shd w:val="clear" w:color="auto" w:fill="D7D7D7"/>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应急行动</w:t>
            </w:r>
          </w:p>
        </w:tc>
        <w:tc>
          <w:tcPr>
            <w:tcW w:w="837" w:type="dxa"/>
            <w:vMerge w:val="restart"/>
            <w:shd w:val="clear" w:color="auto" w:fill="D7D7D7"/>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预警分级</w:t>
            </w:r>
          </w:p>
        </w:tc>
        <w:tc>
          <w:tcPr>
            <w:tcW w:w="1060" w:type="dxa"/>
            <w:vMerge w:val="restart"/>
            <w:shd w:val="clear" w:color="auto" w:fill="D7D7D7"/>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责任人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85" w:type="dxa"/>
            <w:shd w:val="clear" w:color="auto" w:fill="D7D7D7"/>
            <w:vAlign w:val="center"/>
          </w:tcPr>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风险</w:t>
            </w:r>
          </w:p>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单元</w:t>
            </w:r>
          </w:p>
        </w:tc>
        <w:tc>
          <w:tcPr>
            <w:tcW w:w="2050" w:type="dxa"/>
            <w:shd w:val="clear" w:color="auto" w:fill="D7D7D7"/>
            <w:vAlign w:val="center"/>
          </w:tcPr>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事故源项</w:t>
            </w:r>
          </w:p>
        </w:tc>
        <w:tc>
          <w:tcPr>
            <w:tcW w:w="899" w:type="dxa"/>
            <w:vMerge w:val="continue"/>
            <w:shd w:val="clear" w:color="auto" w:fill="auto"/>
            <w:vAlign w:val="center"/>
          </w:tcPr>
          <w:p>
            <w:pPr>
              <w:spacing w:line="288" w:lineRule="auto"/>
              <w:jc w:val="center"/>
              <w:rPr>
                <w:rFonts w:hint="eastAsia" w:ascii="仿宋" w:hAnsi="仿宋" w:eastAsia="仿宋" w:cs="仿宋"/>
                <w:sz w:val="24"/>
                <w:szCs w:val="24"/>
              </w:rPr>
            </w:pPr>
          </w:p>
        </w:tc>
        <w:tc>
          <w:tcPr>
            <w:tcW w:w="3346" w:type="dxa"/>
            <w:vMerge w:val="continue"/>
            <w:shd w:val="clear" w:color="auto" w:fill="auto"/>
            <w:vAlign w:val="center"/>
          </w:tcPr>
          <w:p>
            <w:pPr>
              <w:spacing w:line="288" w:lineRule="auto"/>
              <w:jc w:val="center"/>
              <w:rPr>
                <w:rFonts w:hint="eastAsia" w:ascii="仿宋" w:hAnsi="仿宋" w:eastAsia="仿宋" w:cs="仿宋"/>
                <w:sz w:val="24"/>
                <w:szCs w:val="24"/>
              </w:rPr>
            </w:pPr>
          </w:p>
        </w:tc>
        <w:tc>
          <w:tcPr>
            <w:tcW w:w="837" w:type="dxa"/>
            <w:vMerge w:val="continue"/>
            <w:shd w:val="clear" w:color="auto" w:fill="auto"/>
            <w:vAlign w:val="center"/>
          </w:tcPr>
          <w:p>
            <w:pPr>
              <w:spacing w:line="288" w:lineRule="auto"/>
              <w:jc w:val="center"/>
              <w:rPr>
                <w:rFonts w:hint="eastAsia" w:ascii="仿宋" w:hAnsi="仿宋" w:eastAsia="仿宋" w:cs="仿宋"/>
                <w:sz w:val="24"/>
                <w:szCs w:val="24"/>
              </w:rPr>
            </w:pPr>
          </w:p>
        </w:tc>
        <w:tc>
          <w:tcPr>
            <w:tcW w:w="1060" w:type="dxa"/>
            <w:vMerge w:val="continue"/>
            <w:shd w:val="clear" w:color="auto" w:fill="auto"/>
            <w:vAlign w:val="center"/>
          </w:tcPr>
          <w:p>
            <w:pPr>
              <w:spacing w:line="288" w:lineRule="auto"/>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885" w:type="dxa"/>
            <w:vMerge w:val="restart"/>
            <w:shd w:val="clear" w:color="auto" w:fill="auto"/>
            <w:vAlign w:val="center"/>
          </w:tcPr>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危废</w:t>
            </w:r>
          </w:p>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暂存间</w:t>
            </w:r>
          </w:p>
        </w:tc>
        <w:tc>
          <w:tcPr>
            <w:tcW w:w="2050" w:type="dxa"/>
            <w:shd w:val="clear" w:color="auto" w:fill="auto"/>
            <w:vAlign w:val="center"/>
          </w:tcPr>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废</w:t>
            </w:r>
            <w:r>
              <w:rPr>
                <w:rFonts w:hint="eastAsia" w:ascii="仿宋" w:hAnsi="仿宋" w:cs="仿宋"/>
                <w:sz w:val="24"/>
                <w:szCs w:val="24"/>
                <w:lang w:val="en-US" w:eastAsia="zh-CN"/>
              </w:rPr>
              <w:t>机油、废切削液</w:t>
            </w:r>
            <w:r>
              <w:rPr>
                <w:rFonts w:hint="eastAsia" w:ascii="仿宋" w:hAnsi="仿宋" w:eastAsia="仿宋" w:cs="仿宋"/>
                <w:sz w:val="24"/>
                <w:szCs w:val="24"/>
              </w:rPr>
              <w:t>泄漏，内容物流出</w:t>
            </w:r>
          </w:p>
        </w:tc>
        <w:tc>
          <w:tcPr>
            <w:tcW w:w="899" w:type="dxa"/>
            <w:shd w:val="clear" w:color="auto" w:fill="auto"/>
            <w:vAlign w:val="center"/>
          </w:tcPr>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现场级</w:t>
            </w:r>
          </w:p>
        </w:tc>
        <w:tc>
          <w:tcPr>
            <w:tcW w:w="3346" w:type="dxa"/>
            <w:shd w:val="clear" w:color="auto" w:fill="auto"/>
            <w:vAlign w:val="center"/>
          </w:tcPr>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将泄漏至瓶身/桶身、地面的液体用吸附材料吸附，收集至危废暂存间。</w:t>
            </w:r>
          </w:p>
        </w:tc>
        <w:tc>
          <w:tcPr>
            <w:tcW w:w="837" w:type="dxa"/>
            <w:shd w:val="clear" w:color="auto" w:fill="auto"/>
            <w:vAlign w:val="center"/>
          </w:tcPr>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黄色</w:t>
            </w:r>
          </w:p>
        </w:tc>
        <w:tc>
          <w:tcPr>
            <w:tcW w:w="1060" w:type="dxa"/>
            <w:shd w:val="clear" w:color="auto" w:fill="auto"/>
            <w:vAlign w:val="center"/>
          </w:tcPr>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现场工作人员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5" w:hRule="atLeast"/>
          <w:jc w:val="center"/>
        </w:trPr>
        <w:tc>
          <w:tcPr>
            <w:tcW w:w="885" w:type="dxa"/>
            <w:vMerge w:val="continue"/>
            <w:shd w:val="clear" w:color="auto" w:fill="auto"/>
            <w:vAlign w:val="center"/>
          </w:tcPr>
          <w:p>
            <w:pPr>
              <w:spacing w:line="288" w:lineRule="auto"/>
              <w:jc w:val="center"/>
              <w:rPr>
                <w:rFonts w:hint="eastAsia" w:ascii="仿宋" w:hAnsi="仿宋" w:eastAsia="仿宋" w:cs="仿宋"/>
                <w:sz w:val="24"/>
                <w:szCs w:val="24"/>
              </w:rPr>
            </w:pPr>
          </w:p>
        </w:tc>
        <w:tc>
          <w:tcPr>
            <w:tcW w:w="2050" w:type="dxa"/>
            <w:shd w:val="clear" w:color="auto" w:fill="auto"/>
            <w:vAlign w:val="center"/>
          </w:tcPr>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废</w:t>
            </w:r>
            <w:r>
              <w:rPr>
                <w:rFonts w:hint="eastAsia" w:ascii="仿宋" w:hAnsi="仿宋" w:cs="仿宋"/>
                <w:sz w:val="24"/>
                <w:szCs w:val="24"/>
                <w:lang w:val="en-US" w:eastAsia="zh-CN"/>
              </w:rPr>
              <w:t>机油</w:t>
            </w:r>
            <w:r>
              <w:rPr>
                <w:rFonts w:hint="eastAsia" w:ascii="仿宋" w:hAnsi="仿宋" w:eastAsia="仿宋" w:cs="仿宋"/>
                <w:sz w:val="24"/>
                <w:szCs w:val="24"/>
              </w:rPr>
              <w:t>泄漏后，遇明火发生火灾事故</w:t>
            </w:r>
          </w:p>
        </w:tc>
        <w:tc>
          <w:tcPr>
            <w:tcW w:w="899" w:type="dxa"/>
            <w:shd w:val="clear" w:color="auto" w:fill="auto"/>
            <w:vAlign w:val="center"/>
          </w:tcPr>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公司级</w:t>
            </w:r>
          </w:p>
        </w:tc>
        <w:tc>
          <w:tcPr>
            <w:tcW w:w="3346" w:type="dxa"/>
            <w:shd w:val="clear" w:color="auto" w:fill="auto"/>
            <w:vAlign w:val="center"/>
          </w:tcPr>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将现场灭火器灭的的废物收集放入危废桶内，收集至危废暂存间；疏散现场无关人员至安全区域，减少火灾事故有毒有害气体对人员的影响。</w:t>
            </w:r>
          </w:p>
        </w:tc>
        <w:tc>
          <w:tcPr>
            <w:tcW w:w="837" w:type="dxa"/>
            <w:shd w:val="clear" w:color="auto" w:fill="auto"/>
            <w:vAlign w:val="center"/>
          </w:tcPr>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橙色</w:t>
            </w:r>
          </w:p>
        </w:tc>
        <w:tc>
          <w:tcPr>
            <w:tcW w:w="1060" w:type="dxa"/>
            <w:shd w:val="clear" w:color="auto" w:fill="auto"/>
            <w:vAlign w:val="center"/>
          </w:tcPr>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总指挥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5" w:hRule="atLeast"/>
          <w:jc w:val="center"/>
        </w:trPr>
        <w:tc>
          <w:tcPr>
            <w:tcW w:w="885" w:type="dxa"/>
            <w:vMerge w:val="restart"/>
            <w:shd w:val="clear" w:color="auto" w:fill="auto"/>
            <w:vAlign w:val="center"/>
          </w:tcPr>
          <w:p>
            <w:pPr>
              <w:spacing w:line="288" w:lineRule="auto"/>
              <w:jc w:val="center"/>
              <w:rPr>
                <w:rFonts w:hint="default" w:ascii="仿宋" w:hAnsi="仿宋" w:eastAsia="仿宋" w:cs="仿宋"/>
                <w:sz w:val="24"/>
                <w:szCs w:val="24"/>
                <w:lang w:val="en-US" w:eastAsia="zh-CN"/>
              </w:rPr>
            </w:pPr>
            <w:r>
              <w:rPr>
                <w:rFonts w:hint="eastAsia" w:ascii="仿宋" w:hAnsi="仿宋" w:cs="仿宋"/>
                <w:sz w:val="24"/>
                <w:szCs w:val="24"/>
                <w:lang w:val="en-US" w:eastAsia="zh-CN"/>
              </w:rPr>
              <w:t>生产车间</w:t>
            </w:r>
          </w:p>
        </w:tc>
        <w:tc>
          <w:tcPr>
            <w:tcW w:w="2050" w:type="dxa"/>
            <w:shd w:val="clear" w:color="auto" w:fill="auto"/>
            <w:vAlign w:val="center"/>
          </w:tcPr>
          <w:p>
            <w:pPr>
              <w:adjustRightInd w:val="0"/>
              <w:spacing w:line="24" w:lineRule="atLeast"/>
              <w:jc w:val="center"/>
              <w:textAlignment w:val="baseline"/>
              <w:rPr>
                <w:rFonts w:hint="eastAsia" w:ascii="仿宋" w:hAnsi="仿宋" w:eastAsia="仿宋" w:cs="仿宋"/>
                <w:kern w:val="2"/>
                <w:sz w:val="24"/>
                <w:szCs w:val="24"/>
                <w:lang w:val="en-US" w:eastAsia="zh-CN" w:bidi="ar-SA"/>
              </w:rPr>
            </w:pPr>
            <w:r>
              <w:rPr>
                <w:rFonts w:hint="eastAsia" w:ascii="仿宋" w:hAnsi="仿宋" w:cs="仿宋"/>
                <w:sz w:val="24"/>
                <w:szCs w:val="24"/>
                <w:lang w:val="en-US" w:eastAsia="zh-CN"/>
              </w:rPr>
              <w:t>机</w:t>
            </w:r>
            <w:r>
              <w:rPr>
                <w:rFonts w:hint="eastAsia" w:ascii="仿宋" w:hAnsi="仿宋" w:eastAsia="仿宋" w:cs="仿宋"/>
                <w:sz w:val="24"/>
                <w:szCs w:val="24"/>
                <w:lang w:val="en-US" w:eastAsia="zh-CN"/>
              </w:rPr>
              <w:t>油泄漏</w:t>
            </w:r>
          </w:p>
        </w:tc>
        <w:tc>
          <w:tcPr>
            <w:tcW w:w="899" w:type="dxa"/>
            <w:shd w:val="clear" w:color="auto" w:fill="auto"/>
            <w:vAlign w:val="center"/>
          </w:tcPr>
          <w:p>
            <w:pPr>
              <w:spacing w:line="288"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现场级</w:t>
            </w:r>
          </w:p>
        </w:tc>
        <w:tc>
          <w:tcPr>
            <w:tcW w:w="3346" w:type="dxa"/>
            <w:shd w:val="clear" w:color="auto" w:fill="auto"/>
            <w:vAlign w:val="center"/>
          </w:tcPr>
          <w:p>
            <w:pPr>
              <w:spacing w:line="288"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将泄漏至地面的液体用吸附材料吸附，收集至危废暂存间。</w:t>
            </w:r>
          </w:p>
        </w:tc>
        <w:tc>
          <w:tcPr>
            <w:tcW w:w="837" w:type="dxa"/>
            <w:shd w:val="clear" w:color="auto" w:fill="auto"/>
            <w:vAlign w:val="center"/>
          </w:tcPr>
          <w:p>
            <w:pPr>
              <w:spacing w:line="288"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黄色</w:t>
            </w:r>
          </w:p>
        </w:tc>
        <w:tc>
          <w:tcPr>
            <w:tcW w:w="1060" w:type="dxa"/>
            <w:shd w:val="clear" w:color="auto" w:fill="auto"/>
            <w:vAlign w:val="center"/>
          </w:tcPr>
          <w:p>
            <w:pPr>
              <w:spacing w:line="288"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现场工作人员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5" w:hRule="atLeast"/>
          <w:jc w:val="center"/>
        </w:trPr>
        <w:tc>
          <w:tcPr>
            <w:tcW w:w="885" w:type="dxa"/>
            <w:vMerge w:val="continue"/>
            <w:shd w:val="clear" w:color="auto" w:fill="auto"/>
            <w:vAlign w:val="center"/>
          </w:tcPr>
          <w:p>
            <w:pPr>
              <w:spacing w:line="288" w:lineRule="auto"/>
              <w:jc w:val="center"/>
              <w:rPr>
                <w:rFonts w:hint="eastAsia" w:ascii="仿宋" w:hAnsi="仿宋" w:eastAsia="仿宋" w:cs="仿宋"/>
                <w:sz w:val="24"/>
                <w:szCs w:val="24"/>
              </w:rPr>
            </w:pPr>
          </w:p>
        </w:tc>
        <w:tc>
          <w:tcPr>
            <w:tcW w:w="2050" w:type="dxa"/>
            <w:shd w:val="clear" w:color="auto" w:fill="auto"/>
            <w:vAlign w:val="center"/>
          </w:tcPr>
          <w:p>
            <w:pPr>
              <w:adjustRightInd w:val="0"/>
              <w:spacing w:line="24" w:lineRule="atLeast"/>
              <w:jc w:val="center"/>
              <w:textAlignment w:val="baseline"/>
              <w:rPr>
                <w:rFonts w:hint="eastAsia" w:ascii="仿宋" w:hAnsi="仿宋" w:eastAsia="仿宋" w:cs="仿宋"/>
                <w:kern w:val="2"/>
                <w:sz w:val="24"/>
                <w:szCs w:val="24"/>
                <w:lang w:val="en-US" w:eastAsia="zh-CN" w:bidi="ar-SA"/>
              </w:rPr>
            </w:pPr>
            <w:r>
              <w:rPr>
                <w:rFonts w:hint="eastAsia" w:ascii="仿宋" w:hAnsi="仿宋" w:cs="仿宋"/>
                <w:sz w:val="24"/>
                <w:szCs w:val="24"/>
                <w:lang w:val="en-US" w:eastAsia="zh-CN"/>
              </w:rPr>
              <w:t>机</w:t>
            </w:r>
            <w:r>
              <w:rPr>
                <w:rFonts w:hint="eastAsia" w:ascii="仿宋" w:hAnsi="仿宋" w:eastAsia="仿宋" w:cs="仿宋"/>
                <w:sz w:val="24"/>
                <w:szCs w:val="24"/>
                <w:lang w:val="en-US" w:eastAsia="zh-CN"/>
              </w:rPr>
              <w:t>油</w:t>
            </w:r>
            <w:r>
              <w:rPr>
                <w:rFonts w:hint="eastAsia" w:ascii="仿宋" w:hAnsi="仿宋" w:cs="仿宋"/>
                <w:sz w:val="24"/>
                <w:szCs w:val="24"/>
                <w:lang w:val="en-US" w:eastAsia="zh-CN"/>
              </w:rPr>
              <w:t>泄漏后，遇明火</w:t>
            </w:r>
            <w:r>
              <w:rPr>
                <w:rFonts w:hint="eastAsia" w:ascii="仿宋" w:hAnsi="仿宋" w:eastAsia="仿宋" w:cs="仿宋"/>
                <w:sz w:val="24"/>
                <w:szCs w:val="24"/>
                <w:lang w:val="en-US" w:eastAsia="zh-CN"/>
              </w:rPr>
              <w:t>火灾爆炸</w:t>
            </w:r>
          </w:p>
        </w:tc>
        <w:tc>
          <w:tcPr>
            <w:tcW w:w="899" w:type="dxa"/>
            <w:shd w:val="clear" w:color="auto" w:fill="auto"/>
            <w:vAlign w:val="center"/>
          </w:tcPr>
          <w:p>
            <w:pPr>
              <w:spacing w:line="288"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公司级</w:t>
            </w:r>
          </w:p>
        </w:tc>
        <w:tc>
          <w:tcPr>
            <w:tcW w:w="3346" w:type="dxa"/>
            <w:shd w:val="clear" w:color="auto" w:fill="auto"/>
            <w:vAlign w:val="center"/>
          </w:tcPr>
          <w:p>
            <w:pPr>
              <w:spacing w:line="288"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将现场灭火器灭的的废物收集放入危废桶内，收集至危废暂存间；疏散现场无关人员至安全区域，减少火灾事故有毒有害气体对人员的影响。</w:t>
            </w:r>
          </w:p>
        </w:tc>
        <w:tc>
          <w:tcPr>
            <w:tcW w:w="837" w:type="dxa"/>
            <w:shd w:val="clear" w:color="auto" w:fill="auto"/>
            <w:vAlign w:val="center"/>
          </w:tcPr>
          <w:p>
            <w:pPr>
              <w:spacing w:line="288"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橙色</w:t>
            </w:r>
          </w:p>
        </w:tc>
        <w:tc>
          <w:tcPr>
            <w:tcW w:w="1060" w:type="dxa"/>
            <w:shd w:val="clear" w:color="auto" w:fill="auto"/>
            <w:vAlign w:val="center"/>
          </w:tcPr>
          <w:p>
            <w:pPr>
              <w:spacing w:line="288"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总指挥</w:t>
            </w:r>
          </w:p>
        </w:tc>
      </w:tr>
    </w:tbl>
    <w:p>
      <w:pPr>
        <w:outlineLvl w:val="1"/>
        <w:rPr>
          <w:rFonts w:hint="eastAsia" w:ascii="仿宋" w:hAnsi="仿宋" w:eastAsia="仿宋" w:cs="仿宋"/>
          <w:szCs w:val="28"/>
        </w:rPr>
      </w:pPr>
      <w:bookmarkStart w:id="81" w:name="_Toc24787"/>
      <w:bookmarkStart w:id="82" w:name="_Toc27457"/>
      <w:r>
        <w:rPr>
          <w:rFonts w:hint="eastAsia" w:ascii="仿宋" w:hAnsi="仿宋" w:eastAsia="仿宋" w:cs="仿宋"/>
          <w:b/>
          <w:bCs/>
          <w:szCs w:val="28"/>
        </w:rPr>
        <w:t>4.4应急响应流程</w:t>
      </w:r>
      <w:bookmarkEnd w:id="81"/>
      <w:bookmarkEnd w:id="82"/>
    </w:p>
    <w:p>
      <w:pPr>
        <w:ind w:firstLine="560"/>
        <w:rPr>
          <w:rFonts w:ascii="Times New Roman" w:hAnsi="Times New Roman"/>
          <w:szCs w:val="28"/>
        </w:rPr>
      </w:pPr>
      <w:r>
        <w:rPr>
          <w:rFonts w:hint="eastAsia" w:ascii="仿宋" w:hAnsi="仿宋" w:eastAsia="仿宋" w:cs="仿宋"/>
          <w:szCs w:val="28"/>
        </w:rPr>
        <w:t>应急响应的工作流程分为：接到异常警报→事件预警→确认事件发生→判定响应级别→启动分级响应→现场应急处置→应急恢复→应急终止。</w:t>
      </w:r>
    </w:p>
    <w:p>
      <w:pPr>
        <w:jc w:val="center"/>
        <w:rPr>
          <w:rFonts w:ascii="Times New Roman" w:hAnsi="Times New Roman"/>
          <w:szCs w:val="28"/>
        </w:rPr>
      </w:pPr>
      <w:r>
        <w:rPr>
          <w:rFonts w:ascii="Times New Roman" w:hAnsi="Times New Roman"/>
        </w:rPr>
        <w:pict>
          <v:shape id="_x0000_i1028" o:spt="75" type="#_x0000_t75" style="height:481.6pt;width:433.8pt;" filled="f" o:preferrelative="t" stroked="f" coordsize="21600,21600">
            <v:path/>
            <v:fill on="f" focussize="0,0"/>
            <v:stroke on="f"/>
            <v:imagedata r:id="rId17" o:title=""/>
            <o:lock v:ext="edit" aspectratio="t"/>
            <w10:wrap type="none"/>
            <w10:anchorlock/>
          </v:shape>
        </w:pict>
      </w:r>
    </w:p>
    <w:p>
      <w:pPr>
        <w:jc w:val="center"/>
        <w:rPr>
          <w:rFonts w:ascii="Times New Roman" w:hAnsi="Times New Roman"/>
          <w:sz w:val="24"/>
          <w:szCs w:val="24"/>
        </w:rPr>
        <w:sectPr>
          <w:pgSz w:w="12240" w:h="15840"/>
          <w:pgMar w:top="1440" w:right="1800" w:bottom="1440" w:left="1800" w:header="720" w:footer="720" w:gutter="0"/>
          <w:cols w:space="720" w:num="1"/>
        </w:sectPr>
      </w:pPr>
      <w:r>
        <w:rPr>
          <w:rFonts w:hint="eastAsia" w:ascii="仿宋" w:hAnsi="仿宋" w:eastAsia="仿宋" w:cs="仿宋"/>
          <w:sz w:val="24"/>
          <w:szCs w:val="24"/>
        </w:rPr>
        <w:t>图4</w:t>
      </w:r>
      <w:r>
        <w:rPr>
          <w:rFonts w:hint="eastAsia" w:ascii="仿宋" w:hAnsi="仿宋" w:eastAsia="仿宋" w:cs="仿宋"/>
          <w:sz w:val="24"/>
          <w:szCs w:val="24"/>
          <w:lang w:val="en-US" w:eastAsia="zh-CN"/>
        </w:rPr>
        <w:t>-</w:t>
      </w:r>
      <w:r>
        <w:rPr>
          <w:rFonts w:hint="eastAsia" w:ascii="仿宋" w:hAnsi="仿宋" w:eastAsia="仿宋" w:cs="仿宋"/>
          <w:sz w:val="24"/>
          <w:szCs w:val="24"/>
        </w:rPr>
        <w:t>4-1  应急响应流程图</w:t>
      </w:r>
    </w:p>
    <w:p>
      <w:pPr>
        <w:outlineLvl w:val="0"/>
        <w:rPr>
          <w:rFonts w:hint="eastAsia" w:ascii="仿宋" w:hAnsi="仿宋" w:eastAsia="仿宋" w:cs="仿宋"/>
          <w:b/>
          <w:bCs/>
          <w:szCs w:val="28"/>
        </w:rPr>
      </w:pPr>
      <w:bookmarkStart w:id="83" w:name="_Toc20565"/>
      <w:bookmarkStart w:id="84" w:name="_Toc4660"/>
      <w:r>
        <w:rPr>
          <w:rFonts w:hint="eastAsia" w:ascii="仿宋" w:hAnsi="仿宋" w:eastAsia="仿宋" w:cs="仿宋"/>
          <w:b/>
          <w:bCs/>
          <w:szCs w:val="28"/>
        </w:rPr>
        <w:t>5.监测预警</w:t>
      </w:r>
      <w:bookmarkEnd w:id="79"/>
      <w:bookmarkEnd w:id="80"/>
      <w:bookmarkEnd w:id="83"/>
      <w:bookmarkEnd w:id="84"/>
    </w:p>
    <w:p>
      <w:pPr>
        <w:pStyle w:val="3"/>
        <w:ind w:left="0" w:leftChars="0" w:firstLine="0" w:firstLineChars="0"/>
        <w:rPr>
          <w:rFonts w:hint="eastAsia" w:ascii="仿宋" w:hAnsi="仿宋" w:eastAsia="仿宋" w:cs="仿宋"/>
          <w:b/>
          <w:bCs/>
          <w:sz w:val="28"/>
          <w:szCs w:val="28"/>
        </w:rPr>
      </w:pPr>
      <w:bookmarkStart w:id="85" w:name="_Toc6090"/>
      <w:r>
        <w:rPr>
          <w:rFonts w:hint="eastAsia" w:ascii="仿宋" w:hAnsi="仿宋" w:eastAsia="仿宋" w:cs="仿宋"/>
          <w:b/>
          <w:bCs/>
          <w:sz w:val="28"/>
          <w:szCs w:val="28"/>
          <w:lang w:val="en-US" w:eastAsia="zh-CN"/>
        </w:rPr>
        <w:t>5.1</w:t>
      </w:r>
      <w:r>
        <w:rPr>
          <w:rFonts w:hint="eastAsia" w:ascii="仿宋" w:hAnsi="仿宋" w:eastAsia="仿宋" w:cs="仿宋"/>
          <w:b/>
          <w:bCs/>
          <w:sz w:val="28"/>
          <w:szCs w:val="28"/>
        </w:rPr>
        <w:t>监控和风险分析</w:t>
      </w:r>
      <w:bookmarkEnd w:id="85"/>
    </w:p>
    <w:p>
      <w:pPr>
        <w:pStyle w:val="5"/>
        <w:ind w:firstLine="560" w:firstLineChars="200"/>
      </w:pPr>
      <w:r>
        <w:rPr>
          <w:rFonts w:hint="eastAsia"/>
        </w:rPr>
        <w:t>应急指挥部办公室应组织加强厂区日常环境管理，并对可能导致突发环境事件的风险信息加强收集、分析和研判。各部门人员应及时将可能导致突发环境事件的信息上报应急指挥部办公室。</w:t>
      </w:r>
    </w:p>
    <w:p>
      <w:pPr>
        <w:ind w:firstLine="560" w:firstLineChars="200"/>
      </w:pPr>
      <w:r>
        <w:rPr>
          <w:rFonts w:hint="eastAsia"/>
        </w:rPr>
        <w:t>应急指挥部</w:t>
      </w:r>
      <w:r>
        <w:t>办公室需对接收到的信息进行核实，并</w:t>
      </w:r>
      <w:r>
        <w:rPr>
          <w:rFonts w:hint="eastAsia"/>
        </w:rPr>
        <w:t>结合信息具体情况和自身应急能力</w:t>
      </w:r>
      <w:r>
        <w:t>进行初步研判，根据研判结果确定是否进行预警发布和应急响应。</w:t>
      </w:r>
    </w:p>
    <w:p>
      <w:pPr>
        <w:ind w:firstLine="560" w:firstLineChars="200"/>
      </w:pPr>
      <w:r>
        <w:rPr>
          <w:rFonts w:hint="eastAsia"/>
        </w:rPr>
        <w:t>可构成预警条件的信息包括但不限于：</w:t>
      </w:r>
    </w:p>
    <w:p>
      <w:pPr>
        <w:numPr>
          <w:ilvl w:val="0"/>
          <w:numId w:val="5"/>
        </w:numPr>
        <w:ind w:firstLine="560" w:firstLineChars="200"/>
      </w:pPr>
      <w:r>
        <w:rPr>
          <w:rFonts w:hint="eastAsia"/>
        </w:rPr>
        <w:t>极端天气等自然灾害预报；</w:t>
      </w:r>
    </w:p>
    <w:p>
      <w:pPr>
        <w:numPr>
          <w:ilvl w:val="0"/>
          <w:numId w:val="5"/>
        </w:numPr>
        <w:ind w:firstLine="560" w:firstLineChars="200"/>
      </w:pPr>
      <w:r>
        <w:rPr>
          <w:rFonts w:hint="eastAsia"/>
        </w:rPr>
        <w:t>生产安全事故；</w:t>
      </w:r>
    </w:p>
    <w:p>
      <w:pPr>
        <w:numPr>
          <w:ilvl w:val="0"/>
          <w:numId w:val="5"/>
        </w:numPr>
        <w:ind w:firstLine="560" w:firstLineChars="200"/>
      </w:pPr>
      <w:r>
        <w:rPr>
          <w:rFonts w:hint="eastAsia"/>
          <w:lang w:val="en-US" w:eastAsia="zh-CN"/>
        </w:rPr>
        <w:t>巡检发生设备设施运转异常等</w:t>
      </w:r>
      <w:r>
        <w:rPr>
          <w:rFonts w:hint="eastAsia"/>
        </w:rPr>
        <w:t>。</w:t>
      </w:r>
    </w:p>
    <w:p>
      <w:pPr>
        <w:pStyle w:val="3"/>
        <w:ind w:left="0" w:leftChars="0" w:firstLine="0" w:firstLineChars="0"/>
        <w:rPr>
          <w:rFonts w:hint="eastAsia" w:ascii="仿宋" w:hAnsi="仿宋" w:eastAsia="仿宋" w:cs="仿宋"/>
          <w:b/>
          <w:bCs/>
          <w:sz w:val="28"/>
          <w:szCs w:val="28"/>
          <w:lang w:val="en-US" w:eastAsia="zh-CN"/>
        </w:rPr>
      </w:pPr>
      <w:bookmarkStart w:id="86" w:name="_Toc5823"/>
      <w:r>
        <w:rPr>
          <w:rFonts w:hint="eastAsia" w:ascii="仿宋" w:hAnsi="仿宋" w:eastAsia="仿宋" w:cs="仿宋"/>
          <w:b/>
          <w:bCs/>
          <w:sz w:val="28"/>
          <w:szCs w:val="28"/>
          <w:lang w:val="en-US" w:eastAsia="zh-CN"/>
        </w:rPr>
        <w:t>5.2预警</w:t>
      </w:r>
      <w:bookmarkEnd w:id="86"/>
    </w:p>
    <w:p>
      <w:pPr>
        <w:ind w:firstLine="560" w:firstLineChars="200"/>
      </w:pPr>
      <w:r>
        <w:t>当</w:t>
      </w:r>
      <w:r>
        <w:rPr>
          <w:rFonts w:hint="eastAsia"/>
        </w:rPr>
        <w:t>发生突发环境事件的可能性增大时，</w:t>
      </w:r>
      <w:r>
        <w:t>经研判后确定预警信息内容，并通过多种渠道发布预警信息。</w:t>
      </w:r>
    </w:p>
    <w:p>
      <w:pPr>
        <w:pStyle w:val="3"/>
        <w:ind w:left="0" w:leftChars="0" w:firstLine="0" w:firstLineChars="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5.2.1预警信息获取</w:t>
      </w:r>
    </w:p>
    <w:p>
      <w:pPr>
        <w:ind w:firstLine="560" w:firstLineChars="200"/>
        <w:rPr>
          <w:rFonts w:hint="default" w:eastAsia="仿宋"/>
          <w:lang w:val="en-US" w:eastAsia="zh-CN"/>
        </w:rPr>
      </w:pPr>
      <w:r>
        <w:rPr>
          <w:rFonts w:hint="eastAsia"/>
          <w:lang w:val="en-US" w:eastAsia="zh-CN"/>
        </w:rPr>
        <w:t>预警信息获取渠道包括内部信息获取及外部信息获取。内部信息获取主要通过现场巡检、报警装置报警等方式，外部信息获取包括自然灾害预报、周边企业信息通报等。</w:t>
      </w:r>
    </w:p>
    <w:p>
      <w:pPr>
        <w:pStyle w:val="3"/>
        <w:ind w:left="0" w:leftChars="0" w:firstLine="0" w:firstLineChars="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5.2.2预警级别</w:t>
      </w:r>
    </w:p>
    <w:p>
      <w:pPr>
        <w:ind w:firstLine="560" w:firstLineChars="200"/>
      </w:pPr>
      <w:r>
        <w:t>事件预警按照突发环境事件发生的可能性大小、紧急程度和可能造成的危害程度，由高到低分为一级、二级、三级，分别用红色、橙色、黄色标示。</w:t>
      </w:r>
    </w:p>
    <w:p>
      <w:pPr>
        <w:ind w:firstLine="560" w:firstLineChars="200"/>
      </w:pPr>
      <w:r>
        <w:rPr>
          <w:rFonts w:hint="eastAsia"/>
        </w:rPr>
        <w:t>当存在发生现场级突发环境事件的可能性时，对应三级预警级别，发布黄色预警；</w:t>
      </w:r>
    </w:p>
    <w:p>
      <w:pPr>
        <w:ind w:firstLine="560" w:firstLineChars="200"/>
      </w:pPr>
      <w:r>
        <w:rPr>
          <w:rFonts w:hint="eastAsia"/>
        </w:rPr>
        <w:t>当存在发生公司级突发环境事件的可能性时，对应二级预警级别，发布橙色预警；</w:t>
      </w:r>
    </w:p>
    <w:p>
      <w:pPr>
        <w:ind w:firstLine="560" w:firstLineChars="200"/>
      </w:pPr>
      <w:r>
        <w:rPr>
          <w:rFonts w:hint="eastAsia"/>
        </w:rPr>
        <w:t>当存在发生社会级突发环境事件的可能性时，对应一级预警级别，发布红色预警。</w:t>
      </w:r>
    </w:p>
    <w:p>
      <w:pPr>
        <w:pStyle w:val="3"/>
        <w:ind w:left="0" w:leftChars="0" w:firstLine="0" w:firstLineChars="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5.2.3预警发布与解除</w:t>
      </w:r>
    </w:p>
    <w:p>
      <w:pPr>
        <w:ind w:firstLine="560" w:firstLineChars="200"/>
      </w:pPr>
      <w:r>
        <w:t>（1）预警发布</w:t>
      </w:r>
    </w:p>
    <w:p>
      <w:pPr>
        <w:ind w:firstLine="560" w:firstLineChars="200"/>
      </w:pPr>
      <w:r>
        <w:t>若可能发生</w:t>
      </w:r>
      <w:r>
        <w:rPr>
          <w:rFonts w:hint="eastAsia"/>
        </w:rPr>
        <w:t>现场级</w:t>
      </w:r>
      <w:r>
        <w:t>突发环境事件，</w:t>
      </w:r>
      <w:r>
        <w:rPr>
          <w:rFonts w:hint="eastAsia"/>
        </w:rPr>
        <w:t>由应急指挥部办公室</w:t>
      </w:r>
      <w:r>
        <w:t>发布预警，并将相关情况上报</w:t>
      </w:r>
      <w:r>
        <w:rPr>
          <w:rFonts w:hint="eastAsia"/>
        </w:rPr>
        <w:t>应急指挥部</w:t>
      </w:r>
      <w:r>
        <w:t>。</w:t>
      </w:r>
    </w:p>
    <w:p>
      <w:pPr>
        <w:ind w:firstLine="560" w:firstLineChars="200"/>
      </w:pPr>
      <w:r>
        <w:t>若可能发生</w:t>
      </w:r>
      <w:r>
        <w:rPr>
          <w:rFonts w:hint="eastAsia"/>
        </w:rPr>
        <w:t>公司级</w:t>
      </w:r>
      <w:r>
        <w:t>或者</w:t>
      </w:r>
      <w:r>
        <w:rPr>
          <w:rFonts w:hint="eastAsia"/>
        </w:rPr>
        <w:t>社会级</w:t>
      </w:r>
      <w:r>
        <w:t>突发环境事件，按照</w:t>
      </w:r>
      <w:r>
        <w:rPr>
          <w:rFonts w:hint="eastAsia"/>
        </w:rPr>
        <w:t>应急指挥部</w:t>
      </w:r>
      <w:r>
        <w:t>要求发布预警。</w:t>
      </w:r>
    </w:p>
    <w:p>
      <w:pPr>
        <w:ind w:firstLine="560" w:firstLineChars="200"/>
      </w:pPr>
      <w:r>
        <w:t>（2）预警</w:t>
      </w:r>
      <w:r>
        <w:rPr>
          <w:rFonts w:hint="eastAsia"/>
        </w:rPr>
        <w:t>级别调整和</w:t>
      </w:r>
      <w:r>
        <w:t>解除</w:t>
      </w:r>
    </w:p>
    <w:p>
      <w:pPr>
        <w:ind w:firstLine="560" w:firstLineChars="200"/>
      </w:pPr>
      <w:r>
        <w:rPr>
          <w:rFonts w:hint="eastAsia"/>
        </w:rPr>
        <w:t>应急指挥部办公室</w:t>
      </w:r>
      <w:r>
        <w:t>应当根据事态发展情况和采取措施的效果适时调整预警级别；当突发环境事件不可能发生或者</w:t>
      </w:r>
      <w:r>
        <w:rPr>
          <w:rFonts w:hint="eastAsia"/>
        </w:rPr>
        <w:t>危险已消除时</w:t>
      </w:r>
      <w:r>
        <w:t>，</w:t>
      </w:r>
      <w:r>
        <w:rPr>
          <w:rFonts w:hint="eastAsia"/>
        </w:rPr>
        <w:t>应急指挥部办公室</w:t>
      </w:r>
      <w:r>
        <w:t>解除预警</w:t>
      </w:r>
      <w:r>
        <w:rPr>
          <w:rFonts w:hint="eastAsia"/>
        </w:rPr>
        <w:t>，适时终止相关措施</w:t>
      </w:r>
      <w:r>
        <w:t>。</w:t>
      </w:r>
    </w:p>
    <w:p>
      <w:pPr>
        <w:rPr>
          <w:rFonts w:hint="eastAsia" w:ascii="仿宋" w:hAnsi="仿宋" w:eastAsia="仿宋" w:cs="仿宋"/>
          <w:b/>
          <w:bCs/>
          <w:kern w:val="0"/>
          <w:sz w:val="28"/>
          <w:szCs w:val="28"/>
          <w:lang w:val="en-US" w:eastAsia="zh-CN" w:bidi="ar-SA"/>
        </w:rPr>
      </w:pPr>
      <w:r>
        <w:rPr>
          <w:rFonts w:hint="eastAsia" w:ascii="仿宋" w:hAnsi="仿宋" w:eastAsia="仿宋" w:cs="仿宋"/>
          <w:b/>
          <w:bCs/>
          <w:kern w:val="0"/>
          <w:sz w:val="28"/>
          <w:szCs w:val="28"/>
          <w:lang w:val="en-US" w:eastAsia="zh-CN" w:bidi="ar-SA"/>
        </w:rPr>
        <w:t>5.2.4预警发布内容</w:t>
      </w:r>
    </w:p>
    <w:p>
      <w:pPr>
        <w:ind w:firstLine="560" w:firstLineChars="200"/>
      </w:pPr>
      <w:r>
        <w:t>（1）预警信息发布内容</w:t>
      </w:r>
    </w:p>
    <w:p>
      <w:pPr>
        <w:ind w:firstLine="560" w:firstLineChars="200"/>
      </w:pPr>
      <w:r>
        <w:t>事件预警信息发布内容主要包括事件类别、可能影响范围及时间、警示事项、应当采取的措施等。</w:t>
      </w:r>
    </w:p>
    <w:p>
      <w:pPr>
        <w:ind w:firstLine="560" w:firstLineChars="200"/>
      </w:pPr>
      <w:r>
        <w:t>（2）预警信息发布、调整、解除渠道</w:t>
      </w:r>
    </w:p>
    <w:p>
      <w:pPr>
        <w:ind w:firstLine="560" w:firstLineChars="200"/>
      </w:pPr>
      <w:r>
        <w:t>预警信息可通过</w:t>
      </w:r>
      <w:r>
        <w:rPr>
          <w:rFonts w:hint="eastAsia"/>
        </w:rPr>
        <w:t>对讲机</w:t>
      </w:r>
      <w:r>
        <w:t>、微信、手机</w:t>
      </w:r>
      <w:r>
        <w:rPr>
          <w:rFonts w:hint="eastAsia"/>
        </w:rPr>
        <w:t>通话、</w:t>
      </w:r>
      <w:r>
        <w:t>短信、当面告知等渠道进行。</w:t>
      </w:r>
    </w:p>
    <w:p>
      <w:pPr>
        <w:pStyle w:val="4"/>
        <w:spacing w:before="156"/>
        <w:ind w:left="0" w:leftChars="0" w:firstLine="0" w:firstLineChars="0"/>
        <w:rPr>
          <w:rFonts w:hint="eastAsia" w:ascii="仿宋" w:hAnsi="仿宋" w:eastAsia="仿宋" w:cs="仿宋"/>
          <w:b/>
          <w:bCs/>
          <w:kern w:val="0"/>
          <w:sz w:val="28"/>
          <w:szCs w:val="28"/>
          <w:lang w:val="en-US" w:eastAsia="zh-CN" w:bidi="ar-SA"/>
        </w:rPr>
      </w:pPr>
      <w:r>
        <w:rPr>
          <w:rFonts w:hint="eastAsia" w:ascii="仿宋" w:hAnsi="仿宋" w:eastAsia="仿宋" w:cs="仿宋"/>
          <w:b/>
          <w:bCs/>
          <w:kern w:val="0"/>
          <w:sz w:val="28"/>
          <w:szCs w:val="28"/>
          <w:lang w:val="en-US" w:eastAsia="zh-CN" w:bidi="ar-SA"/>
        </w:rPr>
        <w:t>5.2.5预警行动</w:t>
      </w:r>
    </w:p>
    <w:p>
      <w:pPr>
        <w:ind w:firstLine="560" w:firstLineChars="200"/>
      </w:pPr>
      <w:r>
        <w:rPr>
          <w:rFonts w:hint="eastAsia"/>
        </w:rPr>
        <w:t>预警信息发布后，应急指挥部视情况采取以下措施：</w:t>
      </w:r>
    </w:p>
    <w:p>
      <w:pPr>
        <w:ind w:firstLine="560" w:firstLineChars="200"/>
      </w:pPr>
      <w:r>
        <w:rPr>
          <w:rFonts w:hint="eastAsia"/>
        </w:rPr>
        <w:t>（1）分析研判：及时进行分析研判，预估可能的影响范围、危害程度以及可能发生的突发环境事件的级别，视情况启动应急响应程序。</w:t>
      </w:r>
    </w:p>
    <w:p>
      <w:pPr>
        <w:ind w:firstLine="560" w:firstLineChars="200"/>
      </w:pPr>
      <w:r>
        <w:rPr>
          <w:rFonts w:hint="eastAsia"/>
        </w:rPr>
        <w:t>（2）防范处置：迅速采取有效处置措施，控制事件苗头。在涉险区域设置注意事项提示或事件危害警告标志。</w:t>
      </w:r>
    </w:p>
    <w:p>
      <w:pPr>
        <w:ind w:firstLine="560" w:firstLineChars="200"/>
      </w:pPr>
      <w:r>
        <w:rPr>
          <w:rFonts w:hint="eastAsia"/>
        </w:rPr>
        <w:t>（3）应急准备：提前疏散、转移可能受到危害的人员，并进行妥善安置。责令应急救援队伍进入待命状态，并调集应急所需物资和设备，做好应急保障工作。从发现事故苗头到启动应急响应，预警行动如下：</w:t>
      </w:r>
    </w:p>
    <w:p>
      <w:pPr>
        <w:jc w:val="center"/>
        <w:rPr>
          <w:rFonts w:ascii="Times New Roman" w:hAnsi="Times New Roman"/>
          <w:szCs w:val="24"/>
        </w:rPr>
      </w:pPr>
      <w:r>
        <w:rPr>
          <w:rFonts w:ascii="仿宋" w:hAnsi="仿宋"/>
          <w:sz w:val="24"/>
          <w:szCs w:val="24"/>
        </w:rPr>
        <w:t>表</w:t>
      </w:r>
      <w:r>
        <w:rPr>
          <w:rFonts w:hint="eastAsia" w:ascii="仿宋" w:hAnsi="仿宋"/>
          <w:sz w:val="24"/>
          <w:szCs w:val="24"/>
        </w:rPr>
        <w:t>5</w:t>
      </w:r>
      <w:r>
        <w:rPr>
          <w:rFonts w:hint="eastAsia" w:ascii="仿宋" w:hAnsi="仿宋"/>
          <w:sz w:val="24"/>
          <w:szCs w:val="24"/>
          <w:lang w:val="en-US" w:eastAsia="zh-CN"/>
        </w:rPr>
        <w:t>.2</w:t>
      </w:r>
      <w:r>
        <w:rPr>
          <w:rFonts w:hint="eastAsia" w:ascii="仿宋" w:hAnsi="仿宋"/>
          <w:sz w:val="24"/>
          <w:szCs w:val="24"/>
        </w:rPr>
        <w:t>-1</w:t>
      </w:r>
      <w:r>
        <w:rPr>
          <w:rFonts w:ascii="仿宋" w:hAnsi="仿宋"/>
          <w:sz w:val="24"/>
          <w:szCs w:val="24"/>
        </w:rPr>
        <w:t xml:space="preserve"> 预警方案一览</w:t>
      </w:r>
      <w:r>
        <w:rPr>
          <w:rFonts w:ascii="Times New Roman" w:hAnsi="Times New Roman"/>
          <w:sz w:val="24"/>
          <w:szCs w:val="24"/>
        </w:rPr>
        <w:t>表</w:t>
      </w:r>
    </w:p>
    <w:tbl>
      <w:tblPr>
        <w:tblStyle w:val="40"/>
        <w:tblW w:w="86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2097"/>
        <w:gridCol w:w="1008"/>
        <w:gridCol w:w="2972"/>
        <w:gridCol w:w="1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853" w:type="dxa"/>
            <w:shd w:val="clear" w:color="auto" w:fill="D7D7D7"/>
            <w:vAlign w:val="center"/>
          </w:tcPr>
          <w:p>
            <w:pPr>
              <w:spacing w:line="288" w:lineRule="auto"/>
              <w:jc w:val="center"/>
              <w:rPr>
                <w:rFonts w:ascii="Times New Roman" w:hAnsi="Times New Roman"/>
                <w:sz w:val="24"/>
                <w:szCs w:val="24"/>
              </w:rPr>
            </w:pPr>
            <w:r>
              <w:rPr>
                <w:rFonts w:ascii="Times New Roman" w:hAnsi="Times New Roman"/>
                <w:sz w:val="24"/>
                <w:szCs w:val="24"/>
              </w:rPr>
              <w:t>预警分级</w:t>
            </w:r>
          </w:p>
        </w:tc>
        <w:tc>
          <w:tcPr>
            <w:tcW w:w="2097" w:type="dxa"/>
            <w:shd w:val="clear" w:color="auto" w:fill="D7D7D7"/>
            <w:vAlign w:val="center"/>
          </w:tcPr>
          <w:p>
            <w:pPr>
              <w:spacing w:line="288" w:lineRule="auto"/>
              <w:jc w:val="center"/>
              <w:rPr>
                <w:rFonts w:ascii="Times New Roman" w:hAnsi="Times New Roman"/>
                <w:sz w:val="24"/>
                <w:szCs w:val="24"/>
              </w:rPr>
            </w:pPr>
            <w:r>
              <w:rPr>
                <w:rFonts w:ascii="Times New Roman" w:hAnsi="Times New Roman"/>
                <w:sz w:val="24"/>
                <w:szCs w:val="24"/>
              </w:rPr>
              <w:t>预警条件</w:t>
            </w:r>
          </w:p>
        </w:tc>
        <w:tc>
          <w:tcPr>
            <w:tcW w:w="1008" w:type="dxa"/>
            <w:shd w:val="clear" w:color="auto" w:fill="D7D7D7"/>
            <w:vAlign w:val="center"/>
          </w:tcPr>
          <w:p>
            <w:pPr>
              <w:spacing w:line="288" w:lineRule="auto"/>
              <w:jc w:val="center"/>
              <w:rPr>
                <w:rFonts w:ascii="Times New Roman" w:hAnsi="Times New Roman"/>
                <w:sz w:val="24"/>
                <w:szCs w:val="24"/>
              </w:rPr>
            </w:pPr>
            <w:r>
              <w:rPr>
                <w:rFonts w:hint="eastAsia" w:ascii="Times New Roman" w:hAnsi="Times New Roman"/>
                <w:sz w:val="24"/>
                <w:szCs w:val="24"/>
              </w:rPr>
              <w:t>应急响应级别</w:t>
            </w:r>
          </w:p>
        </w:tc>
        <w:tc>
          <w:tcPr>
            <w:tcW w:w="2972" w:type="dxa"/>
            <w:shd w:val="clear" w:color="auto" w:fill="D7D7D7"/>
            <w:vAlign w:val="center"/>
          </w:tcPr>
          <w:p>
            <w:pPr>
              <w:spacing w:line="288" w:lineRule="auto"/>
              <w:jc w:val="center"/>
              <w:rPr>
                <w:rFonts w:ascii="Times New Roman" w:hAnsi="Times New Roman"/>
                <w:sz w:val="24"/>
                <w:szCs w:val="24"/>
              </w:rPr>
            </w:pPr>
            <w:r>
              <w:rPr>
                <w:rFonts w:ascii="Times New Roman" w:hAnsi="Times New Roman"/>
                <w:sz w:val="24"/>
                <w:szCs w:val="24"/>
              </w:rPr>
              <w:t>预警措施</w:t>
            </w:r>
          </w:p>
        </w:tc>
        <w:tc>
          <w:tcPr>
            <w:tcW w:w="1767" w:type="dxa"/>
            <w:shd w:val="clear" w:color="auto" w:fill="D7D7D7"/>
            <w:vAlign w:val="center"/>
          </w:tcPr>
          <w:p>
            <w:pPr>
              <w:spacing w:line="288" w:lineRule="auto"/>
              <w:jc w:val="center"/>
              <w:rPr>
                <w:rFonts w:ascii="Times New Roman" w:hAnsi="Times New Roman"/>
                <w:sz w:val="24"/>
                <w:szCs w:val="24"/>
              </w:rPr>
            </w:pPr>
            <w:r>
              <w:rPr>
                <w:rFonts w:ascii="Times New Roman" w:hAnsi="Times New Roman"/>
                <w:sz w:val="24"/>
                <w:szCs w:val="24"/>
              </w:rPr>
              <w:t>预警解除条件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4" w:hRule="atLeast"/>
        </w:trPr>
        <w:tc>
          <w:tcPr>
            <w:tcW w:w="853" w:type="dxa"/>
            <w:vAlign w:val="center"/>
          </w:tcPr>
          <w:p>
            <w:pPr>
              <w:spacing w:line="288" w:lineRule="auto"/>
              <w:jc w:val="center"/>
              <w:rPr>
                <w:rFonts w:hint="default" w:ascii="Times New Roman" w:hAnsi="Times New Roman" w:eastAsia="仿宋"/>
                <w:sz w:val="24"/>
                <w:szCs w:val="24"/>
                <w:lang w:val="en-US" w:eastAsia="zh-CN"/>
              </w:rPr>
            </w:pPr>
            <w:r>
              <w:rPr>
                <w:rFonts w:hint="eastAsia" w:ascii="Times New Roman" w:hAnsi="Times New Roman"/>
                <w:sz w:val="24"/>
                <w:szCs w:val="24"/>
                <w:lang w:val="en-US" w:eastAsia="zh-CN"/>
              </w:rPr>
              <w:t>红色</w:t>
            </w:r>
          </w:p>
        </w:tc>
        <w:tc>
          <w:tcPr>
            <w:tcW w:w="2097" w:type="dxa"/>
            <w:vAlign w:val="center"/>
          </w:tcPr>
          <w:p>
            <w:pPr>
              <w:spacing w:line="288" w:lineRule="auto"/>
              <w:jc w:val="center"/>
              <w:rPr>
                <w:rFonts w:hint="eastAsia" w:ascii="Times New Roman" w:hAnsi="Times New Roman" w:eastAsia="仿宋" w:cs="Times New Roman"/>
                <w:kern w:val="2"/>
                <w:sz w:val="24"/>
                <w:szCs w:val="24"/>
                <w:lang w:val="en-US" w:eastAsia="zh-CN" w:bidi="ar-SA"/>
              </w:rPr>
            </w:pPr>
            <w:r>
              <w:rPr>
                <w:rFonts w:hint="eastAsia" w:ascii="仿宋" w:hAnsi="仿宋" w:cs="仿宋"/>
                <w:sz w:val="24"/>
                <w:szCs w:val="24"/>
                <w:lang w:val="en-US" w:eastAsia="zh-CN"/>
              </w:rPr>
              <w:t>泄漏物遇明火引发火情，但火情较大，超出公司能力控制范围</w:t>
            </w:r>
          </w:p>
        </w:tc>
        <w:tc>
          <w:tcPr>
            <w:tcW w:w="1008" w:type="dxa"/>
            <w:vAlign w:val="center"/>
          </w:tcPr>
          <w:p>
            <w:pPr>
              <w:spacing w:line="288" w:lineRule="auto"/>
              <w:jc w:val="center"/>
              <w:rPr>
                <w:rFonts w:hint="eastAsia" w:ascii="Times New Roman" w:hAnsi="Times New Roman" w:eastAsia="仿宋" w:cs="Times New Roman"/>
                <w:kern w:val="2"/>
                <w:sz w:val="24"/>
                <w:szCs w:val="24"/>
                <w:lang w:val="en-US" w:eastAsia="zh-CN" w:bidi="ar-SA"/>
              </w:rPr>
            </w:pPr>
            <w:r>
              <w:rPr>
                <w:rFonts w:hint="eastAsia" w:ascii="Times New Roman" w:hAnsi="Times New Roman"/>
                <w:sz w:val="24"/>
                <w:szCs w:val="24"/>
                <w:lang w:val="en-US" w:eastAsia="zh-CN"/>
              </w:rPr>
              <w:t>社会级</w:t>
            </w:r>
          </w:p>
        </w:tc>
        <w:tc>
          <w:tcPr>
            <w:tcW w:w="2972" w:type="dxa"/>
            <w:vAlign w:val="center"/>
          </w:tcPr>
          <w:p>
            <w:pPr>
              <w:spacing w:line="288" w:lineRule="auto"/>
              <w:jc w:val="center"/>
              <w:rPr>
                <w:rFonts w:hint="eastAsia" w:ascii="Times New Roman" w:hAnsi="Times New Roman" w:eastAsia="仿宋" w:cs="Times New Roman"/>
                <w:kern w:val="2"/>
                <w:sz w:val="24"/>
                <w:szCs w:val="24"/>
                <w:lang w:val="en-US" w:eastAsia="zh-CN" w:bidi="ar-SA"/>
              </w:rPr>
            </w:pPr>
            <w:r>
              <w:rPr>
                <w:rFonts w:hint="eastAsia" w:ascii="仿宋" w:hAnsi="仿宋" w:cs="仿宋"/>
                <w:sz w:val="24"/>
                <w:szCs w:val="24"/>
                <w:lang w:val="en-US" w:eastAsia="zh-CN"/>
              </w:rPr>
              <w:t>及时通知政府相关部门及周边群众，</w:t>
            </w:r>
            <w:r>
              <w:rPr>
                <w:rFonts w:ascii="仿宋" w:hAnsi="仿宋" w:eastAsia="仿宋" w:cs="仿宋"/>
                <w:color w:val="000000"/>
                <w:kern w:val="0"/>
                <w:sz w:val="24"/>
                <w:szCs w:val="24"/>
                <w:lang w:val="en-US" w:eastAsia="zh-CN" w:bidi="ar"/>
              </w:rPr>
              <w:t>用沙袋将厂区内各风险单元进行封堵，一方面</w:t>
            </w:r>
            <w:r>
              <w:rPr>
                <w:rFonts w:hint="eastAsia" w:ascii="仿宋" w:hAnsi="仿宋" w:eastAsia="仿宋" w:cs="仿宋"/>
                <w:color w:val="000000"/>
                <w:kern w:val="0"/>
                <w:sz w:val="24"/>
                <w:szCs w:val="24"/>
                <w:lang w:val="en-US" w:eastAsia="zh-CN" w:bidi="ar"/>
              </w:rPr>
              <w:t>防止更多的危险废物参与燃烧，一方面确保含有风险物质的消防废水封堵在厂区内</w:t>
            </w:r>
            <w:r>
              <w:rPr>
                <w:rFonts w:hint="eastAsia" w:ascii="仿宋" w:hAnsi="仿宋" w:cs="仿宋"/>
                <w:color w:val="000000"/>
                <w:kern w:val="0"/>
                <w:sz w:val="24"/>
                <w:szCs w:val="24"/>
                <w:lang w:val="en-US" w:eastAsia="zh-CN" w:bidi="ar"/>
              </w:rPr>
              <w:t>，经厂区雨水井流入事故水池</w:t>
            </w:r>
            <w:r>
              <w:rPr>
                <w:rFonts w:hint="eastAsia" w:ascii="仿宋" w:hAnsi="仿宋" w:eastAsia="仿宋" w:cs="仿宋"/>
                <w:color w:val="000000"/>
                <w:kern w:val="0"/>
                <w:sz w:val="24"/>
                <w:szCs w:val="24"/>
                <w:lang w:val="en-US" w:eastAsia="zh-CN" w:bidi="ar"/>
              </w:rPr>
              <w:t>。当需开展应急监测时，协助进行现场采样工作和处置工作。配合政府部门安排的其他现场处置工作</w:t>
            </w:r>
          </w:p>
        </w:tc>
        <w:tc>
          <w:tcPr>
            <w:tcW w:w="1767" w:type="dxa"/>
            <w:vAlign w:val="center"/>
          </w:tcPr>
          <w:p>
            <w:pPr>
              <w:spacing w:line="288" w:lineRule="auto"/>
              <w:jc w:val="center"/>
              <w:rPr>
                <w:rFonts w:hint="eastAsia" w:ascii="Times New Roman" w:hAnsi="Times New Roman" w:eastAsia="仿宋" w:cs="Times New Roman"/>
                <w:kern w:val="2"/>
                <w:sz w:val="24"/>
                <w:szCs w:val="24"/>
                <w:lang w:val="en-US" w:eastAsia="zh-CN" w:bidi="ar-SA"/>
              </w:rPr>
            </w:pPr>
            <w:r>
              <w:rPr>
                <w:rFonts w:hint="eastAsia" w:ascii="仿宋" w:hAnsi="仿宋" w:cs="仿宋"/>
                <w:sz w:val="24"/>
                <w:szCs w:val="24"/>
                <w:lang w:val="en-US" w:eastAsia="zh-CN"/>
              </w:rPr>
              <w:t>应急指挥部总指挥，待政府应急力量达到听从政府指挥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4" w:hRule="atLeast"/>
        </w:trPr>
        <w:tc>
          <w:tcPr>
            <w:tcW w:w="853" w:type="dxa"/>
            <w:vAlign w:val="center"/>
          </w:tcPr>
          <w:p>
            <w:pPr>
              <w:spacing w:line="288" w:lineRule="auto"/>
              <w:jc w:val="center"/>
              <w:rPr>
                <w:rFonts w:ascii="Times New Roman" w:hAnsi="Times New Roman"/>
                <w:sz w:val="24"/>
                <w:szCs w:val="24"/>
              </w:rPr>
            </w:pPr>
            <w:r>
              <w:rPr>
                <w:rFonts w:ascii="Times New Roman" w:hAnsi="Times New Roman"/>
                <w:sz w:val="24"/>
                <w:szCs w:val="24"/>
              </w:rPr>
              <w:t>橙色</w:t>
            </w:r>
          </w:p>
        </w:tc>
        <w:tc>
          <w:tcPr>
            <w:tcW w:w="2097" w:type="dxa"/>
            <w:vAlign w:val="center"/>
          </w:tcPr>
          <w:p>
            <w:pPr>
              <w:spacing w:line="288" w:lineRule="auto"/>
              <w:jc w:val="center"/>
              <w:rPr>
                <w:rFonts w:ascii="Times New Roman" w:hAnsi="Times New Roman"/>
                <w:sz w:val="24"/>
                <w:szCs w:val="24"/>
              </w:rPr>
            </w:pPr>
            <w:r>
              <w:rPr>
                <w:rFonts w:hint="eastAsia" w:ascii="Times New Roman" w:hAnsi="Times New Roman"/>
                <w:sz w:val="24"/>
                <w:szCs w:val="24"/>
              </w:rPr>
              <w:t>风险物质泄漏，可能燃烧发生火灾事故</w:t>
            </w:r>
          </w:p>
        </w:tc>
        <w:tc>
          <w:tcPr>
            <w:tcW w:w="1008" w:type="dxa"/>
            <w:vAlign w:val="center"/>
          </w:tcPr>
          <w:p>
            <w:pPr>
              <w:spacing w:line="288" w:lineRule="auto"/>
              <w:jc w:val="center"/>
              <w:rPr>
                <w:rFonts w:ascii="Times New Roman" w:hAnsi="Times New Roman"/>
                <w:sz w:val="24"/>
                <w:szCs w:val="24"/>
              </w:rPr>
            </w:pPr>
            <w:r>
              <w:rPr>
                <w:rFonts w:hint="eastAsia" w:ascii="Times New Roman" w:hAnsi="Times New Roman"/>
                <w:sz w:val="24"/>
                <w:szCs w:val="24"/>
              </w:rPr>
              <w:t>公司级</w:t>
            </w:r>
          </w:p>
        </w:tc>
        <w:tc>
          <w:tcPr>
            <w:tcW w:w="2972" w:type="dxa"/>
            <w:vAlign w:val="center"/>
          </w:tcPr>
          <w:p>
            <w:pPr>
              <w:spacing w:line="288" w:lineRule="auto"/>
              <w:jc w:val="center"/>
              <w:rPr>
                <w:rFonts w:ascii="Times New Roman" w:hAnsi="Times New Roman"/>
                <w:sz w:val="24"/>
                <w:szCs w:val="24"/>
              </w:rPr>
            </w:pPr>
            <w:r>
              <w:rPr>
                <w:rFonts w:hint="eastAsia" w:ascii="Times New Roman" w:hAnsi="Times New Roman"/>
                <w:sz w:val="24"/>
                <w:szCs w:val="24"/>
              </w:rPr>
              <w:t>准备危废收容桶及吸附材料；准备</w:t>
            </w:r>
            <w:r>
              <w:rPr>
                <w:rFonts w:ascii="Times New Roman" w:hAnsi="Times New Roman"/>
                <w:sz w:val="24"/>
                <w:szCs w:val="24"/>
              </w:rPr>
              <w:t>人员防护面罩，</w:t>
            </w:r>
            <w:r>
              <w:rPr>
                <w:rFonts w:hint="eastAsia" w:ascii="Times New Roman" w:hAnsi="Times New Roman"/>
                <w:sz w:val="24"/>
                <w:szCs w:val="24"/>
              </w:rPr>
              <w:t>做好人员疏散，确保救援通道畅通</w:t>
            </w:r>
          </w:p>
        </w:tc>
        <w:tc>
          <w:tcPr>
            <w:tcW w:w="1767" w:type="dxa"/>
            <w:vAlign w:val="center"/>
          </w:tcPr>
          <w:p>
            <w:pPr>
              <w:spacing w:line="288" w:lineRule="auto"/>
              <w:jc w:val="center"/>
              <w:rPr>
                <w:rFonts w:ascii="Times New Roman" w:hAnsi="Times New Roman"/>
                <w:sz w:val="24"/>
                <w:szCs w:val="24"/>
              </w:rPr>
            </w:pPr>
            <w:r>
              <w:rPr>
                <w:rFonts w:hint="eastAsia" w:ascii="Times New Roman" w:hAnsi="Times New Roman"/>
                <w:sz w:val="24"/>
                <w:szCs w:val="24"/>
              </w:rPr>
              <w:t>没有发生火灾事故的可能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 w:hRule="atLeast"/>
        </w:trPr>
        <w:tc>
          <w:tcPr>
            <w:tcW w:w="853" w:type="dxa"/>
            <w:vAlign w:val="center"/>
          </w:tcPr>
          <w:p>
            <w:pPr>
              <w:spacing w:line="288" w:lineRule="auto"/>
              <w:jc w:val="center"/>
              <w:rPr>
                <w:rFonts w:ascii="Times New Roman" w:hAnsi="Times New Roman"/>
                <w:sz w:val="24"/>
                <w:szCs w:val="24"/>
              </w:rPr>
            </w:pPr>
            <w:r>
              <w:rPr>
                <w:rFonts w:hint="eastAsia" w:ascii="Times New Roman" w:hAnsi="Times New Roman"/>
                <w:sz w:val="24"/>
                <w:szCs w:val="24"/>
              </w:rPr>
              <w:t>黄色</w:t>
            </w:r>
          </w:p>
        </w:tc>
        <w:tc>
          <w:tcPr>
            <w:tcW w:w="2097" w:type="dxa"/>
            <w:vAlign w:val="center"/>
          </w:tcPr>
          <w:p>
            <w:pPr>
              <w:spacing w:line="288" w:lineRule="auto"/>
              <w:jc w:val="center"/>
              <w:rPr>
                <w:rFonts w:ascii="Times New Roman" w:hAnsi="Times New Roman"/>
                <w:sz w:val="24"/>
                <w:szCs w:val="24"/>
              </w:rPr>
            </w:pPr>
            <w:r>
              <w:rPr>
                <w:rFonts w:hint="eastAsia" w:ascii="Times New Roman" w:hAnsi="Times New Roman"/>
                <w:sz w:val="24"/>
                <w:szCs w:val="24"/>
                <w:lang w:val="en-US" w:eastAsia="zh-CN"/>
              </w:rPr>
              <w:t>废机油桶</w:t>
            </w:r>
            <w:r>
              <w:rPr>
                <w:rFonts w:hint="eastAsia" w:ascii="Times New Roman" w:hAnsi="Times New Roman"/>
                <w:sz w:val="24"/>
                <w:szCs w:val="24"/>
              </w:rPr>
              <w:t>可能破损泄露</w:t>
            </w:r>
          </w:p>
        </w:tc>
        <w:tc>
          <w:tcPr>
            <w:tcW w:w="1008" w:type="dxa"/>
            <w:vAlign w:val="center"/>
          </w:tcPr>
          <w:p>
            <w:pPr>
              <w:spacing w:line="288" w:lineRule="auto"/>
              <w:jc w:val="center"/>
              <w:rPr>
                <w:rFonts w:ascii="Times New Roman" w:hAnsi="Times New Roman"/>
                <w:sz w:val="24"/>
                <w:szCs w:val="24"/>
              </w:rPr>
            </w:pPr>
            <w:r>
              <w:rPr>
                <w:rFonts w:hint="eastAsia" w:ascii="Times New Roman" w:hAnsi="Times New Roman"/>
                <w:sz w:val="24"/>
                <w:szCs w:val="24"/>
              </w:rPr>
              <w:t>现场级</w:t>
            </w:r>
          </w:p>
        </w:tc>
        <w:tc>
          <w:tcPr>
            <w:tcW w:w="2972" w:type="dxa"/>
            <w:vAlign w:val="center"/>
          </w:tcPr>
          <w:p>
            <w:pPr>
              <w:spacing w:line="288" w:lineRule="auto"/>
              <w:jc w:val="center"/>
              <w:rPr>
                <w:rFonts w:ascii="Times New Roman" w:hAnsi="Times New Roman"/>
                <w:sz w:val="24"/>
                <w:szCs w:val="24"/>
              </w:rPr>
            </w:pPr>
            <w:r>
              <w:rPr>
                <w:rFonts w:hint="eastAsia" w:ascii="Times New Roman" w:hAnsi="Times New Roman"/>
                <w:sz w:val="24"/>
                <w:szCs w:val="24"/>
              </w:rPr>
              <w:t>加强重视，尽量保证不会破损；准备危废收容桶及吸附材料</w:t>
            </w:r>
          </w:p>
        </w:tc>
        <w:tc>
          <w:tcPr>
            <w:tcW w:w="1767" w:type="dxa"/>
            <w:vAlign w:val="center"/>
          </w:tcPr>
          <w:p>
            <w:pPr>
              <w:spacing w:line="288" w:lineRule="auto"/>
              <w:jc w:val="center"/>
              <w:rPr>
                <w:rFonts w:ascii="Times New Roman" w:hAnsi="Times New Roman"/>
                <w:sz w:val="24"/>
                <w:szCs w:val="24"/>
              </w:rPr>
            </w:pPr>
            <w:r>
              <w:rPr>
                <w:rFonts w:hint="eastAsia" w:ascii="Times New Roman" w:hAnsi="Times New Roman"/>
                <w:sz w:val="24"/>
                <w:szCs w:val="24"/>
              </w:rPr>
              <w:t>没有可能再破损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4" w:hRule="atLeast"/>
        </w:trPr>
        <w:tc>
          <w:tcPr>
            <w:tcW w:w="853" w:type="dxa"/>
            <w:vAlign w:val="center"/>
          </w:tcPr>
          <w:p>
            <w:pPr>
              <w:spacing w:line="288" w:lineRule="auto"/>
              <w:jc w:val="center"/>
              <w:rPr>
                <w:rFonts w:ascii="Times New Roman" w:hAnsi="Times New Roman"/>
                <w:sz w:val="24"/>
                <w:szCs w:val="24"/>
              </w:rPr>
            </w:pPr>
            <w:r>
              <w:rPr>
                <w:rFonts w:hint="eastAsia" w:ascii="Times New Roman" w:hAnsi="Times New Roman"/>
                <w:sz w:val="24"/>
                <w:szCs w:val="24"/>
              </w:rPr>
              <w:t>黄色</w:t>
            </w:r>
          </w:p>
        </w:tc>
        <w:tc>
          <w:tcPr>
            <w:tcW w:w="2097" w:type="dxa"/>
            <w:vAlign w:val="center"/>
          </w:tcPr>
          <w:p>
            <w:pPr>
              <w:spacing w:line="288" w:lineRule="auto"/>
              <w:jc w:val="center"/>
              <w:rPr>
                <w:rFonts w:ascii="Times New Roman" w:hAnsi="Times New Roman"/>
                <w:sz w:val="24"/>
                <w:szCs w:val="24"/>
              </w:rPr>
            </w:pPr>
            <w:r>
              <w:rPr>
                <w:rFonts w:hint="eastAsia" w:ascii="Times New Roman" w:hAnsi="Times New Roman"/>
                <w:sz w:val="24"/>
                <w:szCs w:val="24"/>
              </w:rPr>
              <w:t>周边其他公司突发事件</w:t>
            </w:r>
          </w:p>
        </w:tc>
        <w:tc>
          <w:tcPr>
            <w:tcW w:w="1008" w:type="dxa"/>
            <w:vAlign w:val="center"/>
          </w:tcPr>
          <w:p>
            <w:pPr>
              <w:spacing w:line="288" w:lineRule="auto"/>
              <w:jc w:val="center"/>
              <w:rPr>
                <w:rFonts w:ascii="Times New Roman" w:hAnsi="Times New Roman"/>
                <w:sz w:val="24"/>
                <w:szCs w:val="24"/>
              </w:rPr>
            </w:pPr>
            <w:r>
              <w:rPr>
                <w:rFonts w:hint="eastAsia" w:ascii="Times New Roman" w:hAnsi="Times New Roman"/>
                <w:sz w:val="24"/>
                <w:szCs w:val="24"/>
              </w:rPr>
              <w:t>现场级</w:t>
            </w:r>
          </w:p>
        </w:tc>
        <w:tc>
          <w:tcPr>
            <w:tcW w:w="2972" w:type="dxa"/>
            <w:vAlign w:val="center"/>
          </w:tcPr>
          <w:p>
            <w:pPr>
              <w:spacing w:line="288" w:lineRule="auto"/>
              <w:jc w:val="center"/>
              <w:rPr>
                <w:rFonts w:ascii="Times New Roman" w:hAnsi="Times New Roman"/>
                <w:sz w:val="24"/>
                <w:szCs w:val="24"/>
              </w:rPr>
            </w:pPr>
            <w:r>
              <w:rPr>
                <w:rFonts w:hint="eastAsia" w:ascii="Times New Roman" w:hAnsi="Times New Roman"/>
                <w:sz w:val="24"/>
                <w:szCs w:val="24"/>
              </w:rPr>
              <w:t>加强重视，及时周边公司取得联系，并按照本公司突发事件流程采取预警措施</w:t>
            </w:r>
          </w:p>
        </w:tc>
        <w:tc>
          <w:tcPr>
            <w:tcW w:w="1767" w:type="dxa"/>
            <w:vAlign w:val="center"/>
          </w:tcPr>
          <w:p>
            <w:pPr>
              <w:spacing w:line="288" w:lineRule="auto"/>
              <w:jc w:val="center"/>
              <w:rPr>
                <w:rFonts w:ascii="Times New Roman" w:hAnsi="Times New Roman"/>
                <w:sz w:val="24"/>
                <w:szCs w:val="24"/>
              </w:rPr>
            </w:pPr>
            <w:r>
              <w:rPr>
                <w:rFonts w:hint="eastAsia" w:ascii="Times New Roman" w:hAnsi="Times New Roman"/>
                <w:sz w:val="24"/>
                <w:szCs w:val="24"/>
              </w:rPr>
              <w:t>其他公司突发事件得以解决</w:t>
            </w:r>
          </w:p>
        </w:tc>
      </w:tr>
    </w:tbl>
    <w:p>
      <w:pPr>
        <w:rPr>
          <w:rFonts w:ascii="Times New Roman" w:hAnsi="Times New Roman"/>
          <w:szCs w:val="28"/>
        </w:rPr>
      </w:pPr>
    </w:p>
    <w:p>
      <w:pPr>
        <w:rPr>
          <w:rFonts w:ascii="Times New Roman" w:hAnsi="Times New Roman"/>
          <w:szCs w:val="28"/>
        </w:rPr>
      </w:pPr>
    </w:p>
    <w:p>
      <w:pPr>
        <w:rPr>
          <w:rFonts w:ascii="Times New Roman" w:hAnsi="Times New Roman"/>
          <w:szCs w:val="28"/>
        </w:rPr>
        <w:sectPr>
          <w:pgSz w:w="12240" w:h="15840"/>
          <w:pgMar w:top="1440" w:right="1800" w:bottom="1440" w:left="1800" w:header="720" w:footer="720" w:gutter="0"/>
          <w:cols w:space="720" w:num="1"/>
        </w:sectPr>
      </w:pPr>
    </w:p>
    <w:p>
      <w:pPr>
        <w:outlineLvl w:val="0"/>
        <w:rPr>
          <w:rFonts w:hint="eastAsia" w:ascii="仿宋" w:hAnsi="仿宋" w:eastAsia="仿宋" w:cs="仿宋"/>
          <w:b/>
          <w:bCs/>
          <w:szCs w:val="28"/>
        </w:rPr>
      </w:pPr>
      <w:bookmarkStart w:id="87" w:name="_Toc16062_WPSOffice_Level2"/>
      <w:bookmarkStart w:id="88" w:name="_Toc27214"/>
      <w:bookmarkStart w:id="89" w:name="_Toc29414"/>
      <w:r>
        <w:rPr>
          <w:rFonts w:hint="eastAsia" w:ascii="仿宋" w:hAnsi="仿宋" w:eastAsia="仿宋" w:cs="仿宋"/>
          <w:b/>
          <w:bCs/>
          <w:szCs w:val="28"/>
        </w:rPr>
        <w:t>6.信息</w:t>
      </w:r>
      <w:bookmarkEnd w:id="87"/>
      <w:r>
        <w:rPr>
          <w:rFonts w:hint="eastAsia" w:ascii="仿宋" w:hAnsi="仿宋" w:eastAsia="仿宋" w:cs="仿宋"/>
          <w:b/>
          <w:bCs/>
          <w:szCs w:val="28"/>
        </w:rPr>
        <w:t>报告</w:t>
      </w:r>
      <w:bookmarkEnd w:id="88"/>
      <w:bookmarkEnd w:id="89"/>
    </w:p>
    <w:p>
      <w:pPr>
        <w:outlineLvl w:val="1"/>
        <w:rPr>
          <w:rFonts w:hint="eastAsia" w:ascii="仿宋" w:hAnsi="仿宋" w:eastAsia="仿宋" w:cs="仿宋"/>
          <w:szCs w:val="28"/>
        </w:rPr>
      </w:pPr>
      <w:bookmarkStart w:id="90" w:name="_Toc19924"/>
      <w:bookmarkStart w:id="91" w:name="_Toc10871"/>
      <w:r>
        <w:rPr>
          <w:rFonts w:hint="eastAsia" w:ascii="仿宋" w:hAnsi="仿宋" w:eastAsia="仿宋" w:cs="仿宋"/>
          <w:b/>
          <w:bCs/>
          <w:szCs w:val="28"/>
        </w:rPr>
        <w:t>6.1报警方式</w:t>
      </w:r>
      <w:bookmarkEnd w:id="90"/>
      <w:bookmarkEnd w:id="91"/>
    </w:p>
    <w:p>
      <w:pPr>
        <w:ind w:firstLine="560" w:firstLineChars="200"/>
        <w:rPr>
          <w:rFonts w:ascii="Times New Roman" w:hAnsi="Times New Roman"/>
          <w:szCs w:val="28"/>
        </w:rPr>
      </w:pPr>
      <w:r>
        <w:rPr>
          <w:rFonts w:ascii="Times New Roman" w:hAnsi="Times New Roman"/>
          <w:szCs w:val="28"/>
        </w:rPr>
        <w:t>险情发现者应第一时间</w:t>
      </w:r>
      <w:r>
        <w:rPr>
          <w:rFonts w:hint="eastAsia" w:ascii="Times New Roman" w:hAnsi="Times New Roman"/>
          <w:szCs w:val="28"/>
        </w:rPr>
        <w:t>联系</w:t>
      </w:r>
      <w:r>
        <w:rPr>
          <w:rFonts w:hint="eastAsia" w:ascii="Times New Roman" w:hAnsi="Times New Roman"/>
          <w:szCs w:val="28"/>
          <w:lang w:val="en-US" w:eastAsia="zh-CN"/>
        </w:rPr>
        <w:t>应急指挥办公室</w:t>
      </w:r>
      <w:r>
        <w:rPr>
          <w:rFonts w:hint="eastAsia" w:ascii="Times New Roman" w:hAnsi="Times New Roman"/>
          <w:szCs w:val="28"/>
        </w:rPr>
        <w:t>，最快速有效的方法为直接当面报警。</w:t>
      </w:r>
    </w:p>
    <w:p>
      <w:pPr>
        <w:ind w:firstLine="560" w:firstLineChars="200"/>
        <w:rPr>
          <w:rFonts w:ascii="Times New Roman" w:hAnsi="Times New Roman"/>
          <w:szCs w:val="28"/>
        </w:rPr>
      </w:pPr>
      <w:r>
        <w:rPr>
          <w:rFonts w:hint="eastAsia" w:ascii="Times New Roman" w:hAnsi="Times New Roman"/>
          <w:szCs w:val="28"/>
        </w:rPr>
        <w:t>办公区域内的定时巡视，可在发生火灾后第一时间发现。</w:t>
      </w:r>
    </w:p>
    <w:p>
      <w:pPr>
        <w:outlineLvl w:val="1"/>
        <w:rPr>
          <w:rFonts w:hint="eastAsia" w:ascii="仿宋" w:hAnsi="仿宋" w:eastAsia="仿宋" w:cs="仿宋"/>
          <w:b/>
          <w:bCs/>
          <w:szCs w:val="28"/>
        </w:rPr>
      </w:pPr>
      <w:bookmarkStart w:id="92" w:name="_Toc25842"/>
      <w:bookmarkStart w:id="93" w:name="_Toc5096"/>
      <w:bookmarkStart w:id="94" w:name="_Toc20914"/>
      <w:r>
        <w:rPr>
          <w:rFonts w:hint="eastAsia" w:ascii="仿宋" w:hAnsi="仿宋" w:eastAsia="仿宋" w:cs="仿宋"/>
          <w:b/>
          <w:bCs/>
          <w:szCs w:val="28"/>
        </w:rPr>
        <w:t>6.2信息报告与处置</w:t>
      </w:r>
      <w:bookmarkEnd w:id="92"/>
      <w:bookmarkEnd w:id="93"/>
    </w:p>
    <w:p>
      <w:pPr>
        <w:rPr>
          <w:rFonts w:hint="eastAsia" w:ascii="仿宋" w:hAnsi="仿宋" w:eastAsia="仿宋" w:cs="仿宋"/>
          <w:szCs w:val="28"/>
        </w:rPr>
      </w:pPr>
      <w:r>
        <w:rPr>
          <w:rFonts w:hint="eastAsia" w:ascii="仿宋" w:hAnsi="仿宋" w:eastAsia="仿宋" w:cs="仿宋"/>
          <w:b/>
          <w:bCs/>
          <w:szCs w:val="28"/>
        </w:rPr>
        <w:t>6.2.1企业内部报告</w:t>
      </w:r>
    </w:p>
    <w:p>
      <w:pPr>
        <w:ind w:firstLine="560" w:firstLineChars="200"/>
        <w:rPr>
          <w:rFonts w:ascii="Times New Roman" w:hAnsi="Times New Roman"/>
          <w:szCs w:val="28"/>
        </w:rPr>
      </w:pPr>
      <w:r>
        <w:rPr>
          <w:rFonts w:ascii="Times New Roman" w:hAnsi="Times New Roman"/>
          <w:szCs w:val="28"/>
        </w:rPr>
        <w:t>当班人员发现险情或判断可能发生险情后，及时向部门负责人或者应急指挥办公室以电话形式报告或者当面报告，报告内容包括险情位置、险情类型、起因等。</w:t>
      </w:r>
      <w:r>
        <w:rPr>
          <w:rFonts w:hint="eastAsia" w:ascii="Times New Roman" w:hAnsi="Times New Roman"/>
          <w:szCs w:val="28"/>
        </w:rPr>
        <w:t>同时</w:t>
      </w:r>
      <w:r>
        <w:rPr>
          <w:rFonts w:ascii="Times New Roman" w:hAnsi="Times New Roman"/>
          <w:szCs w:val="28"/>
        </w:rPr>
        <w:t>启动应急</w:t>
      </w:r>
      <w:r>
        <w:rPr>
          <w:rFonts w:hint="eastAsia" w:ascii="Times New Roman" w:hAnsi="Times New Roman"/>
          <w:szCs w:val="28"/>
        </w:rPr>
        <w:t>预案</w:t>
      </w:r>
      <w:r>
        <w:rPr>
          <w:rFonts w:ascii="Times New Roman" w:hAnsi="Times New Roman"/>
          <w:szCs w:val="28"/>
        </w:rPr>
        <w:t>，</w:t>
      </w:r>
      <w:r>
        <w:rPr>
          <w:rFonts w:hint="eastAsia" w:ascii="Times New Roman" w:hAnsi="Times New Roman"/>
          <w:szCs w:val="28"/>
        </w:rPr>
        <w:t>采取</w:t>
      </w:r>
      <w:r>
        <w:rPr>
          <w:rFonts w:ascii="Times New Roman" w:hAnsi="Times New Roman"/>
          <w:szCs w:val="28"/>
        </w:rPr>
        <w:t>相应应急措施，第一时间有效</w:t>
      </w:r>
      <w:r>
        <w:rPr>
          <w:rFonts w:hint="eastAsia" w:ascii="Times New Roman" w:hAnsi="Times New Roman"/>
          <w:szCs w:val="28"/>
        </w:rPr>
        <w:t>控制险情</w:t>
      </w:r>
      <w:r>
        <w:rPr>
          <w:rFonts w:ascii="Times New Roman" w:hAnsi="Times New Roman"/>
          <w:szCs w:val="28"/>
        </w:rPr>
        <w:t>扩散。</w:t>
      </w:r>
    </w:p>
    <w:p>
      <w:pPr>
        <w:ind w:firstLine="560" w:firstLineChars="200"/>
        <w:rPr>
          <w:rFonts w:ascii="Times New Roman" w:hAnsi="Times New Roman"/>
          <w:szCs w:val="28"/>
        </w:rPr>
      </w:pPr>
      <w:r>
        <w:rPr>
          <w:rFonts w:ascii="Times New Roman" w:hAnsi="Times New Roman"/>
          <w:szCs w:val="28"/>
        </w:rPr>
        <w:t>应急指挥办公室接到险情报警后，迅速核查事件详情并通报事故发生部门，</w:t>
      </w:r>
      <w:r>
        <w:rPr>
          <w:rFonts w:hint="eastAsia" w:ascii="Times New Roman" w:hAnsi="Times New Roman"/>
          <w:szCs w:val="28"/>
        </w:rPr>
        <w:t>第一时间</w:t>
      </w:r>
      <w:r>
        <w:rPr>
          <w:rFonts w:ascii="Times New Roman" w:hAnsi="Times New Roman"/>
          <w:szCs w:val="28"/>
        </w:rPr>
        <w:t>启动应急预案，</w:t>
      </w:r>
      <w:r>
        <w:rPr>
          <w:rFonts w:hint="eastAsia" w:ascii="Times New Roman" w:hAnsi="Times New Roman"/>
          <w:szCs w:val="28"/>
        </w:rPr>
        <w:t>同</w:t>
      </w:r>
      <w:r>
        <w:rPr>
          <w:rFonts w:ascii="Times New Roman" w:hAnsi="Times New Roman"/>
          <w:szCs w:val="28"/>
        </w:rPr>
        <w:t>时将信息上报总指挥。总指挥根据事态发展，发布预警信息、应急预案启动指令，并由应急指挥办公室将信息传递给各应急队伍及各部门，做好应急准备。</w:t>
      </w:r>
    </w:p>
    <w:p>
      <w:pPr>
        <w:rPr>
          <w:rFonts w:hint="eastAsia" w:ascii="仿宋" w:hAnsi="仿宋" w:eastAsia="仿宋" w:cs="仿宋"/>
          <w:b/>
          <w:bCs/>
          <w:szCs w:val="28"/>
        </w:rPr>
      </w:pPr>
      <w:r>
        <w:rPr>
          <w:rFonts w:hint="eastAsia" w:ascii="仿宋" w:hAnsi="仿宋" w:eastAsia="仿宋" w:cs="仿宋"/>
          <w:b/>
          <w:bCs/>
          <w:szCs w:val="28"/>
        </w:rPr>
        <w:t>6.2.2企业外部报告-信息上报</w:t>
      </w:r>
    </w:p>
    <w:p>
      <w:pPr>
        <w:ind w:firstLine="560" w:firstLineChars="200"/>
        <w:rPr>
          <w:rFonts w:hint="eastAsia" w:ascii="仿宋" w:hAnsi="仿宋" w:eastAsia="仿宋" w:cs="仿宋"/>
          <w:szCs w:val="28"/>
        </w:rPr>
      </w:pPr>
      <w:r>
        <w:rPr>
          <w:rFonts w:hint="eastAsia" w:ascii="仿宋" w:hAnsi="仿宋" w:eastAsia="仿宋" w:cs="仿宋"/>
          <w:szCs w:val="28"/>
        </w:rPr>
        <w:t>（1）上报程序及责任人</w:t>
      </w:r>
    </w:p>
    <w:p>
      <w:pPr>
        <w:ind w:firstLine="560" w:firstLineChars="200"/>
        <w:rPr>
          <w:rFonts w:hint="eastAsia" w:ascii="仿宋" w:hAnsi="仿宋" w:eastAsia="仿宋" w:cs="仿宋"/>
          <w:szCs w:val="28"/>
        </w:rPr>
      </w:pPr>
      <w:r>
        <w:rPr>
          <w:rFonts w:hint="eastAsia" w:ascii="仿宋" w:hAnsi="仿宋" w:eastAsia="仿宋" w:cs="仿宋"/>
          <w:szCs w:val="28"/>
        </w:rPr>
        <w:t>当应急总指挥判定启动社会级应急响应时，应立即由总指挥向</w:t>
      </w:r>
      <w:r>
        <w:rPr>
          <w:rFonts w:hint="eastAsia" w:ascii="仿宋" w:hAnsi="仿宋" w:cs="仿宋"/>
          <w:szCs w:val="28"/>
          <w:lang w:val="en-US" w:eastAsia="zh-CN"/>
        </w:rPr>
        <w:t>经开</w:t>
      </w:r>
      <w:r>
        <w:rPr>
          <w:rFonts w:hint="eastAsia" w:ascii="仿宋" w:hAnsi="仿宋" w:eastAsia="仿宋" w:cs="仿宋"/>
          <w:szCs w:val="28"/>
          <w:lang w:val="en-US" w:eastAsia="zh-CN"/>
        </w:rPr>
        <w:t>区</w:t>
      </w:r>
      <w:r>
        <w:rPr>
          <w:rFonts w:hint="eastAsia" w:ascii="仿宋" w:hAnsi="仿宋" w:eastAsia="仿宋" w:cs="仿宋"/>
          <w:szCs w:val="28"/>
        </w:rPr>
        <w:t>应急指挥中心上报，并同时向</w:t>
      </w:r>
      <w:r>
        <w:rPr>
          <w:rFonts w:hint="eastAsia" w:ascii="仿宋" w:hAnsi="仿宋" w:cs="仿宋"/>
          <w:szCs w:val="28"/>
          <w:lang w:val="en-US" w:eastAsia="zh-CN"/>
        </w:rPr>
        <w:t>经开</w:t>
      </w:r>
      <w:r>
        <w:rPr>
          <w:rFonts w:hint="eastAsia" w:ascii="仿宋" w:hAnsi="仿宋" w:eastAsia="仿宋" w:cs="仿宋"/>
          <w:szCs w:val="28"/>
          <w:lang w:val="en-US" w:eastAsia="zh-CN"/>
        </w:rPr>
        <w:t>区</w:t>
      </w:r>
      <w:r>
        <w:rPr>
          <w:rFonts w:hint="eastAsia" w:ascii="仿宋" w:hAnsi="仿宋" w:eastAsia="仿宋" w:cs="仿宋"/>
          <w:szCs w:val="28"/>
        </w:rPr>
        <w:t>生态环境局上报，报告事故情况（包括发生事故时间、地点、原因、对环境产生了什么影响等），同时指挥应急处置小组按照本预案进行先期处置工作。待上级部门应急力量到达后，接受上级部门的指挥，配合开展应急处置工作。</w:t>
      </w:r>
    </w:p>
    <w:p>
      <w:pPr>
        <w:ind w:firstLine="560" w:firstLineChars="200"/>
        <w:rPr>
          <w:rFonts w:hint="eastAsia" w:ascii="仿宋" w:hAnsi="仿宋" w:eastAsia="仿宋" w:cs="仿宋"/>
          <w:szCs w:val="28"/>
        </w:rPr>
      </w:pPr>
      <w:r>
        <w:rPr>
          <w:rFonts w:hint="eastAsia" w:ascii="仿宋" w:hAnsi="仿宋" w:eastAsia="仿宋" w:cs="仿宋"/>
          <w:szCs w:val="28"/>
        </w:rPr>
        <w:t>突发环境事件应急终止后，企业应按要求以书面形式上报。若总指挥不在现场无法上报，则由副总指挥负责进行上报。</w:t>
      </w:r>
    </w:p>
    <w:p>
      <w:pPr>
        <w:ind w:firstLine="560" w:firstLineChars="200"/>
        <w:rPr>
          <w:rFonts w:hint="default" w:ascii="仿宋" w:hAnsi="仿宋" w:eastAsia="仿宋" w:cs="仿宋"/>
          <w:szCs w:val="28"/>
          <w:highlight w:val="none"/>
          <w:lang w:val="en-US" w:eastAsia="zh-CN"/>
        </w:rPr>
      </w:pPr>
      <w:r>
        <w:rPr>
          <w:rFonts w:hint="eastAsia" w:ascii="仿宋" w:hAnsi="仿宋" w:cs="仿宋"/>
          <w:szCs w:val="28"/>
          <w:lang w:val="en-US" w:eastAsia="zh-CN"/>
        </w:rPr>
        <w:t>滨海新区</w:t>
      </w:r>
      <w:r>
        <w:rPr>
          <w:rFonts w:hint="eastAsia" w:ascii="仿宋" w:hAnsi="仿宋" w:eastAsia="仿宋" w:cs="仿宋"/>
          <w:szCs w:val="28"/>
        </w:rPr>
        <w:t>应急指挥中心电话</w:t>
      </w:r>
      <w:r>
        <w:rPr>
          <w:rFonts w:hint="eastAsia" w:ascii="仿宋" w:hAnsi="仿宋" w:eastAsia="仿宋" w:cs="仿宋"/>
          <w:szCs w:val="28"/>
          <w:highlight w:val="none"/>
        </w:rPr>
        <w:t>：022-</w:t>
      </w:r>
      <w:r>
        <w:rPr>
          <w:rFonts w:hint="eastAsia" w:ascii="仿宋" w:hAnsi="仿宋" w:cs="仿宋"/>
          <w:szCs w:val="28"/>
          <w:highlight w:val="none"/>
          <w:lang w:val="en-US" w:eastAsia="zh-CN"/>
        </w:rPr>
        <w:t>65305614</w:t>
      </w:r>
    </w:p>
    <w:p>
      <w:pPr>
        <w:ind w:firstLine="560" w:firstLineChars="200"/>
        <w:rPr>
          <w:rFonts w:hint="default" w:ascii="仿宋" w:hAnsi="仿宋" w:eastAsia="仿宋" w:cs="仿宋"/>
          <w:szCs w:val="28"/>
          <w:highlight w:val="none"/>
          <w:lang w:val="en-US" w:eastAsia="zh-CN"/>
        </w:rPr>
      </w:pPr>
      <w:r>
        <w:rPr>
          <w:rFonts w:hint="eastAsia" w:ascii="仿宋" w:hAnsi="仿宋" w:cs="仿宋"/>
          <w:szCs w:val="28"/>
          <w:highlight w:val="none"/>
          <w:lang w:val="en-US" w:eastAsia="zh-CN"/>
        </w:rPr>
        <w:t>滨海新区</w:t>
      </w:r>
      <w:r>
        <w:rPr>
          <w:rFonts w:hint="eastAsia" w:ascii="仿宋" w:hAnsi="仿宋" w:eastAsia="仿宋" w:cs="仿宋"/>
          <w:szCs w:val="28"/>
          <w:highlight w:val="none"/>
        </w:rPr>
        <w:t>生态环境局电话：022-</w:t>
      </w:r>
      <w:r>
        <w:rPr>
          <w:rFonts w:hint="eastAsia" w:ascii="仿宋" w:hAnsi="仿宋" w:cs="仿宋"/>
          <w:szCs w:val="28"/>
          <w:highlight w:val="none"/>
          <w:lang w:val="en-US" w:eastAsia="zh-CN"/>
        </w:rPr>
        <w:t>65369980</w:t>
      </w:r>
    </w:p>
    <w:p>
      <w:pPr>
        <w:ind w:firstLine="560" w:firstLineChars="200"/>
        <w:rPr>
          <w:rFonts w:hint="eastAsia" w:ascii="仿宋" w:hAnsi="仿宋" w:eastAsia="仿宋" w:cs="仿宋"/>
          <w:szCs w:val="28"/>
        </w:rPr>
      </w:pPr>
      <w:r>
        <w:rPr>
          <w:rFonts w:hint="eastAsia" w:ascii="仿宋" w:hAnsi="仿宋" w:eastAsia="仿宋" w:cs="仿宋"/>
          <w:szCs w:val="28"/>
        </w:rPr>
        <w:t>（2）报告内容及格式规范</w:t>
      </w:r>
    </w:p>
    <w:p>
      <w:pPr>
        <w:ind w:firstLine="560" w:firstLineChars="200"/>
        <w:rPr>
          <w:rFonts w:hint="eastAsia" w:ascii="仿宋" w:hAnsi="仿宋" w:eastAsia="仿宋" w:cs="仿宋"/>
          <w:szCs w:val="28"/>
        </w:rPr>
      </w:pPr>
      <w:r>
        <w:rPr>
          <w:rFonts w:hint="eastAsia" w:ascii="仿宋" w:hAnsi="仿宋" w:eastAsia="仿宋" w:cs="仿宋"/>
          <w:szCs w:val="28"/>
        </w:rPr>
        <w:t>信息上报分为初报、续报以及处理结果报告：</w:t>
      </w:r>
    </w:p>
    <w:p>
      <w:pPr>
        <w:ind w:firstLine="560" w:firstLineChars="200"/>
        <w:rPr>
          <w:rFonts w:hint="eastAsia" w:ascii="仿宋" w:hAnsi="仿宋" w:eastAsia="仿宋" w:cs="仿宋"/>
          <w:szCs w:val="28"/>
        </w:rPr>
      </w:pPr>
      <w:r>
        <w:rPr>
          <w:rFonts w:hint="eastAsia" w:ascii="仿宋" w:hAnsi="仿宋" w:eastAsia="仿宋" w:cs="仿宋"/>
          <w:szCs w:val="28"/>
        </w:rPr>
        <w:t>1）初报应当报告突发环境事件的发生时间、地点、信息来源、事件起因和性质、基本过程、主要污染物和数量、人员受害情况、事件发展趋势、处置情况、拟采取的措施等初步情况。</w:t>
      </w:r>
    </w:p>
    <w:p>
      <w:pPr>
        <w:ind w:firstLine="560" w:firstLineChars="200"/>
        <w:rPr>
          <w:rFonts w:hint="eastAsia" w:ascii="仿宋" w:hAnsi="仿宋" w:eastAsia="仿宋" w:cs="仿宋"/>
          <w:szCs w:val="28"/>
        </w:rPr>
      </w:pPr>
      <w:r>
        <w:rPr>
          <w:rFonts w:hint="eastAsia" w:ascii="仿宋" w:hAnsi="仿宋" w:eastAsia="仿宋" w:cs="仿宋"/>
          <w:szCs w:val="28"/>
        </w:rPr>
        <w:t>2）续报应当在初报的基础上，报告有关处置进展情况。</w:t>
      </w:r>
    </w:p>
    <w:p>
      <w:pPr>
        <w:ind w:firstLine="560" w:firstLineChars="200"/>
        <w:rPr>
          <w:rFonts w:hint="eastAsia" w:ascii="仿宋" w:hAnsi="仿宋" w:eastAsia="仿宋" w:cs="仿宋"/>
          <w:szCs w:val="28"/>
        </w:rPr>
      </w:pPr>
      <w:r>
        <w:rPr>
          <w:rFonts w:hint="eastAsia" w:ascii="仿宋" w:hAnsi="仿宋" w:eastAsia="仿宋" w:cs="仿宋"/>
          <w:szCs w:val="28"/>
        </w:rPr>
        <w:t>3）处理结果报告应当在初报和续报的基础上，报告处理突发环境事件的措施、过程和结果，突发环境事件潜在或者间接危害以及损失、社会影响、处理后的遗留问题、责任追究等详细情况。</w:t>
      </w:r>
    </w:p>
    <w:p>
      <w:pPr>
        <w:ind w:firstLine="560" w:firstLineChars="200"/>
        <w:rPr>
          <w:rFonts w:hint="eastAsia" w:ascii="仿宋" w:hAnsi="仿宋" w:eastAsia="仿宋" w:cs="仿宋"/>
          <w:szCs w:val="28"/>
        </w:rPr>
      </w:pPr>
      <w:r>
        <w:rPr>
          <w:rFonts w:hint="eastAsia" w:ascii="仿宋" w:hAnsi="仿宋" w:eastAsia="仿宋" w:cs="仿宋"/>
          <w:szCs w:val="28"/>
        </w:rPr>
        <w:t>突发环境事件信息应当采用书面报告；情况紧急时，初报可通过电话报告，但应当及时补充书面报告。</w:t>
      </w:r>
    </w:p>
    <w:p>
      <w:pPr>
        <w:ind w:firstLine="560" w:firstLineChars="200"/>
        <w:rPr>
          <w:rFonts w:hint="eastAsia" w:ascii="仿宋" w:hAnsi="仿宋" w:eastAsia="仿宋" w:cs="仿宋"/>
          <w:szCs w:val="28"/>
        </w:rPr>
      </w:pPr>
      <w:r>
        <w:rPr>
          <w:rFonts w:hint="eastAsia" w:ascii="仿宋" w:hAnsi="仿宋" w:eastAsia="仿宋" w:cs="仿宋"/>
          <w:szCs w:val="28"/>
        </w:rPr>
        <w:t>书面报告中应当说明突发环境事件报告单位、报告签发人、联系人及联系方式、事故的基本信息等内容，并尽可能提供地图、图片等资料。</w:t>
      </w:r>
    </w:p>
    <w:p>
      <w:pPr>
        <w:rPr>
          <w:rFonts w:hint="eastAsia" w:ascii="仿宋" w:hAnsi="仿宋" w:eastAsia="仿宋" w:cs="仿宋"/>
          <w:b/>
          <w:bCs/>
          <w:szCs w:val="28"/>
        </w:rPr>
      </w:pPr>
      <w:r>
        <w:rPr>
          <w:rFonts w:hint="eastAsia" w:ascii="仿宋" w:hAnsi="仿宋" w:eastAsia="仿宋" w:cs="仿宋"/>
          <w:b/>
          <w:bCs/>
          <w:szCs w:val="28"/>
        </w:rPr>
        <w:t>6.2.3企业外部报告</w:t>
      </w:r>
    </w:p>
    <w:p>
      <w:pPr>
        <w:ind w:firstLine="560"/>
        <w:rPr>
          <w:rFonts w:ascii="Times New Roman" w:hAnsi="Times New Roman"/>
          <w:szCs w:val="28"/>
        </w:rPr>
      </w:pPr>
      <w:r>
        <w:rPr>
          <w:rFonts w:hint="eastAsia" w:ascii="Times New Roman" w:hAnsi="Times New Roman"/>
          <w:szCs w:val="28"/>
        </w:rPr>
        <w:t>本公司办公地点为</w:t>
      </w:r>
      <w:r>
        <w:rPr>
          <w:rFonts w:hint="eastAsia"/>
          <w:sz w:val="28"/>
          <w:szCs w:val="28"/>
          <w:lang w:eastAsia="zh-CN"/>
        </w:rPr>
        <w:t>天津市滨海新区中塘镇中塘工业区国安二道西段</w:t>
      </w:r>
      <w:r>
        <w:rPr>
          <w:rFonts w:hint="eastAsia" w:ascii="Times New Roman" w:hAnsi="Times New Roman"/>
          <w:szCs w:val="28"/>
        </w:rPr>
        <w:t>，一旦发生事故，</w:t>
      </w:r>
      <w:bookmarkEnd w:id="94"/>
      <w:r>
        <w:rPr>
          <w:rFonts w:hint="eastAsia" w:ascii="Times New Roman" w:hAnsi="Times New Roman"/>
          <w:szCs w:val="28"/>
        </w:rPr>
        <w:t>应及时联系周边公司。联系信息见下表：</w:t>
      </w:r>
    </w:p>
    <w:p>
      <w:pPr>
        <w:jc w:val="center"/>
        <w:rPr>
          <w:rFonts w:hint="eastAsia" w:ascii="仿宋" w:hAnsi="仿宋" w:eastAsia="仿宋" w:cs="仿宋"/>
          <w:sz w:val="28"/>
          <w:szCs w:val="28"/>
        </w:rPr>
      </w:pPr>
      <w:r>
        <w:rPr>
          <w:rFonts w:hint="eastAsia" w:ascii="仿宋" w:hAnsi="仿宋" w:eastAsia="仿宋" w:cs="仿宋"/>
          <w:sz w:val="28"/>
          <w:szCs w:val="28"/>
        </w:rPr>
        <w:t>表6</w:t>
      </w:r>
      <w:r>
        <w:rPr>
          <w:rFonts w:hint="eastAsia" w:ascii="仿宋" w:hAnsi="仿宋" w:eastAsia="仿宋" w:cs="仿宋"/>
          <w:sz w:val="28"/>
          <w:szCs w:val="28"/>
          <w:lang w:val="en-US" w:eastAsia="zh-CN"/>
        </w:rPr>
        <w:t>-</w:t>
      </w:r>
      <w:r>
        <w:rPr>
          <w:rFonts w:hint="eastAsia" w:ascii="仿宋" w:hAnsi="仿宋" w:eastAsia="仿宋" w:cs="仿宋"/>
          <w:sz w:val="28"/>
          <w:szCs w:val="28"/>
        </w:rPr>
        <w:t>2-1  企业外部联系方式</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6"/>
        <w:gridCol w:w="3167"/>
        <w:gridCol w:w="2161"/>
        <w:gridCol w:w="2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56" w:type="dxa"/>
            <w:shd w:val="clear" w:color="auto" w:fill="D8D8D8"/>
            <w:vAlign w:val="center"/>
          </w:tcPr>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序号</w:t>
            </w:r>
          </w:p>
        </w:tc>
        <w:tc>
          <w:tcPr>
            <w:tcW w:w="3167" w:type="dxa"/>
            <w:shd w:val="clear" w:color="auto" w:fill="D8D8D8"/>
            <w:vAlign w:val="center"/>
          </w:tcPr>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单位</w:t>
            </w:r>
          </w:p>
        </w:tc>
        <w:tc>
          <w:tcPr>
            <w:tcW w:w="2161" w:type="dxa"/>
            <w:shd w:val="clear" w:color="auto" w:fill="D8D8D8"/>
            <w:vAlign w:val="center"/>
          </w:tcPr>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联系人</w:t>
            </w:r>
          </w:p>
        </w:tc>
        <w:tc>
          <w:tcPr>
            <w:tcW w:w="2372" w:type="dxa"/>
            <w:shd w:val="clear" w:color="auto" w:fill="D8D8D8"/>
            <w:vAlign w:val="center"/>
          </w:tcPr>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56" w:type="dxa"/>
            <w:shd w:val="clear" w:color="auto" w:fill="auto"/>
            <w:vAlign w:val="center"/>
          </w:tcPr>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1</w:t>
            </w:r>
          </w:p>
        </w:tc>
        <w:tc>
          <w:tcPr>
            <w:tcW w:w="3167" w:type="dxa"/>
            <w:shd w:val="clear" w:color="auto" w:fill="auto"/>
            <w:vAlign w:val="center"/>
          </w:tcPr>
          <w:p>
            <w:pPr>
              <w:spacing w:line="288" w:lineRule="auto"/>
              <w:jc w:val="center"/>
              <w:rPr>
                <w:rFonts w:hint="eastAsia" w:ascii="仿宋" w:hAnsi="仿宋" w:eastAsia="仿宋" w:cs="仿宋"/>
                <w:sz w:val="24"/>
                <w:szCs w:val="24"/>
                <w:lang w:val="en-US" w:eastAsia="zh-CN"/>
              </w:rPr>
            </w:pPr>
            <w:r>
              <w:rPr>
                <w:rFonts w:hint="eastAsia" w:eastAsia="仿宋"/>
                <w:sz w:val="24"/>
                <w:szCs w:val="24"/>
                <w:lang w:val="en-US" w:eastAsia="zh-CN"/>
              </w:rPr>
              <w:t>天津市佳德家家具有限公司</w:t>
            </w:r>
          </w:p>
        </w:tc>
        <w:tc>
          <w:tcPr>
            <w:tcW w:w="2161" w:type="dxa"/>
            <w:shd w:val="clear" w:color="auto" w:fill="auto"/>
            <w:vAlign w:val="center"/>
          </w:tcPr>
          <w:p>
            <w:pPr>
              <w:spacing w:line="288" w:lineRule="auto"/>
              <w:jc w:val="center"/>
              <w:rPr>
                <w:rFonts w:hint="eastAsia" w:ascii="仿宋" w:hAnsi="仿宋" w:eastAsia="仿宋" w:cs="仿宋"/>
                <w:sz w:val="24"/>
                <w:szCs w:val="24"/>
                <w:lang w:eastAsia="zh-CN"/>
              </w:rPr>
            </w:pPr>
            <w:r>
              <w:rPr>
                <w:rFonts w:hint="eastAsia" w:eastAsia="仿宋"/>
                <w:sz w:val="24"/>
                <w:szCs w:val="24"/>
                <w:highlight w:val="none"/>
                <w:lang w:val="en-US" w:eastAsia="zh-CN"/>
              </w:rPr>
              <w:t>王芳</w:t>
            </w:r>
          </w:p>
        </w:tc>
        <w:tc>
          <w:tcPr>
            <w:tcW w:w="2372" w:type="dxa"/>
            <w:shd w:val="clear" w:color="auto" w:fill="auto"/>
            <w:vAlign w:val="center"/>
          </w:tcPr>
          <w:p>
            <w:pPr>
              <w:spacing w:line="288" w:lineRule="auto"/>
              <w:jc w:val="center"/>
              <w:rPr>
                <w:rFonts w:hint="eastAsia" w:ascii="仿宋" w:hAnsi="仿宋" w:eastAsia="仿宋" w:cs="仿宋"/>
                <w:sz w:val="24"/>
                <w:szCs w:val="24"/>
                <w:lang w:val="en-US" w:eastAsia="zh-CN"/>
              </w:rPr>
            </w:pPr>
            <w:r>
              <w:rPr>
                <w:rFonts w:hint="eastAsia" w:eastAsia="仿宋"/>
                <w:sz w:val="24"/>
                <w:szCs w:val="24"/>
                <w:lang w:val="en-US" w:eastAsia="zh-CN"/>
              </w:rPr>
              <w:t>18722077805</w:t>
            </w:r>
          </w:p>
        </w:tc>
      </w:tr>
    </w:tbl>
    <w:p>
      <w:pPr>
        <w:jc w:val="center"/>
        <w:rPr>
          <w:rFonts w:ascii="Times New Roman" w:hAnsi="Times New Roman"/>
          <w:szCs w:val="28"/>
        </w:rPr>
      </w:pPr>
    </w:p>
    <w:p>
      <w:pPr>
        <w:pStyle w:val="39"/>
        <w:ind w:left="0" w:leftChars="0" w:firstLine="0" w:firstLineChars="0"/>
        <w:rPr>
          <w:rFonts w:ascii="Times New Roman" w:hAnsi="Times New Roman"/>
          <w:highlight w:val="yellow"/>
        </w:rPr>
      </w:pPr>
    </w:p>
    <w:p>
      <w:pPr>
        <w:rPr>
          <w:rFonts w:ascii="Times New Roman" w:hAnsi="Times New Roman"/>
          <w:szCs w:val="28"/>
        </w:rPr>
        <w:sectPr>
          <w:pgSz w:w="12240" w:h="15840"/>
          <w:pgMar w:top="1440" w:right="1800" w:bottom="1440" w:left="1800" w:header="720" w:footer="720" w:gutter="0"/>
          <w:cols w:space="720" w:num="1"/>
        </w:sectPr>
      </w:pPr>
      <w:bookmarkStart w:id="95" w:name="_Toc25902_WPSOffice_Level2"/>
      <w:bookmarkStart w:id="96" w:name="_Toc14852"/>
      <w:bookmarkStart w:id="97" w:name="_Toc382151140"/>
    </w:p>
    <w:p>
      <w:pPr>
        <w:outlineLvl w:val="0"/>
        <w:rPr>
          <w:rFonts w:hint="eastAsia" w:ascii="仿宋" w:hAnsi="仿宋" w:eastAsia="仿宋" w:cs="仿宋"/>
          <w:b/>
          <w:bCs/>
          <w:szCs w:val="28"/>
        </w:rPr>
      </w:pPr>
      <w:bookmarkStart w:id="98" w:name="_Toc28213"/>
      <w:bookmarkStart w:id="99" w:name="_Toc6748"/>
      <w:r>
        <w:rPr>
          <w:rFonts w:hint="eastAsia" w:ascii="仿宋" w:hAnsi="仿宋" w:eastAsia="仿宋" w:cs="仿宋"/>
          <w:b/>
          <w:bCs/>
          <w:szCs w:val="28"/>
          <w:lang w:val="en-US" w:eastAsia="zh-CN"/>
        </w:rPr>
        <w:t>7</w:t>
      </w:r>
      <w:r>
        <w:rPr>
          <w:rFonts w:hint="eastAsia" w:ascii="仿宋" w:hAnsi="仿宋" w:eastAsia="仿宋" w:cs="仿宋"/>
          <w:b/>
          <w:bCs/>
          <w:szCs w:val="28"/>
        </w:rPr>
        <w:t>.应对流程和措施</w:t>
      </w:r>
      <w:bookmarkEnd w:id="95"/>
      <w:bookmarkEnd w:id="96"/>
      <w:bookmarkEnd w:id="97"/>
      <w:bookmarkEnd w:id="98"/>
      <w:bookmarkEnd w:id="99"/>
    </w:p>
    <w:p>
      <w:pPr>
        <w:ind w:firstLine="560" w:firstLineChars="200"/>
        <w:rPr>
          <w:rFonts w:hint="eastAsia" w:ascii="仿宋" w:hAnsi="仿宋" w:eastAsia="仿宋" w:cs="仿宋"/>
          <w:szCs w:val="28"/>
        </w:rPr>
      </w:pPr>
      <w:r>
        <w:rPr>
          <w:rFonts w:hint="eastAsia" w:ascii="仿宋" w:hAnsi="仿宋" w:eastAsia="仿宋" w:cs="仿宋"/>
          <w:szCs w:val="28"/>
        </w:rPr>
        <w:t>企业可能发生的突发环境事件主要包括</w:t>
      </w:r>
      <w:r>
        <w:rPr>
          <w:rFonts w:hint="eastAsia" w:ascii="仿宋" w:hAnsi="仿宋" w:cs="仿宋"/>
          <w:szCs w:val="28"/>
          <w:lang w:val="en-US" w:eastAsia="zh-CN"/>
        </w:rPr>
        <w:t>机油、切削液泄漏，</w:t>
      </w:r>
      <w:r>
        <w:rPr>
          <w:rFonts w:hint="eastAsia" w:ascii="仿宋" w:hAnsi="仿宋" w:eastAsia="仿宋" w:cs="仿宋"/>
          <w:szCs w:val="28"/>
          <w:lang w:val="en-US" w:eastAsia="zh-CN"/>
        </w:rPr>
        <w:t>废</w:t>
      </w:r>
      <w:r>
        <w:rPr>
          <w:rFonts w:hint="eastAsia" w:ascii="仿宋" w:hAnsi="仿宋" w:cs="仿宋"/>
          <w:szCs w:val="28"/>
          <w:lang w:val="en-US" w:eastAsia="zh-CN"/>
        </w:rPr>
        <w:t>机油、废切削液泄漏，柴油</w:t>
      </w:r>
      <w:r>
        <w:rPr>
          <w:rFonts w:hint="eastAsia" w:ascii="仿宋" w:hAnsi="仿宋" w:eastAsia="仿宋" w:cs="仿宋"/>
          <w:szCs w:val="28"/>
        </w:rPr>
        <w:t>泄漏</w:t>
      </w:r>
      <w:r>
        <w:rPr>
          <w:rFonts w:hint="eastAsia" w:ascii="仿宋" w:hAnsi="仿宋" w:cs="仿宋"/>
          <w:szCs w:val="28"/>
          <w:lang w:eastAsia="zh-CN"/>
        </w:rPr>
        <w:t>，</w:t>
      </w:r>
      <w:r>
        <w:rPr>
          <w:rFonts w:hint="eastAsia" w:ascii="仿宋" w:hAnsi="仿宋" w:eastAsia="仿宋" w:cs="仿宋"/>
          <w:szCs w:val="28"/>
        </w:rPr>
        <w:t>以及泄漏物质燃烧发生火灾/爆炸事故。</w:t>
      </w:r>
    </w:p>
    <w:p>
      <w:pPr>
        <w:outlineLvl w:val="1"/>
        <w:rPr>
          <w:rFonts w:hint="eastAsia" w:ascii="仿宋" w:hAnsi="仿宋" w:cs="仿宋"/>
          <w:b/>
          <w:bCs/>
          <w:szCs w:val="28"/>
          <w:lang w:val="en-US" w:eastAsia="zh-CN"/>
        </w:rPr>
      </w:pPr>
      <w:bookmarkStart w:id="100" w:name="_Toc9499"/>
      <w:bookmarkStart w:id="101" w:name="_Toc27525"/>
      <w:r>
        <w:rPr>
          <w:rFonts w:hint="eastAsia" w:ascii="仿宋" w:hAnsi="仿宋" w:cs="仿宋"/>
          <w:b/>
          <w:bCs/>
          <w:szCs w:val="28"/>
          <w:lang w:val="en-US" w:eastAsia="zh-CN"/>
        </w:rPr>
        <w:t>7.1现场处置原则</w:t>
      </w:r>
    </w:p>
    <w:p>
      <w:pPr>
        <w:numPr>
          <w:ilvl w:val="0"/>
          <w:numId w:val="6"/>
        </w:numPr>
        <w:ind w:firstLine="560" w:firstLineChars="200"/>
        <w:rPr>
          <w:rFonts w:hint="eastAsia" w:ascii="仿宋" w:hAnsi="仿宋" w:eastAsia="仿宋" w:cs="仿宋"/>
          <w:szCs w:val="28"/>
          <w:lang w:val="en-US" w:eastAsia="zh-CN"/>
        </w:rPr>
      </w:pPr>
      <w:r>
        <w:rPr>
          <w:rFonts w:hint="eastAsia" w:ascii="仿宋" w:hAnsi="仿宋" w:eastAsia="仿宋" w:cs="仿宋"/>
          <w:szCs w:val="28"/>
          <w:lang w:val="en-US" w:eastAsia="zh-CN"/>
        </w:rPr>
        <w:t>水环境污染事件处置措施</w:t>
      </w:r>
    </w:p>
    <w:p>
      <w:pPr>
        <w:numPr>
          <w:ilvl w:val="0"/>
          <w:numId w:val="7"/>
        </w:numPr>
        <w:rPr>
          <w:rFonts w:hint="eastAsia" w:ascii="仿宋" w:hAnsi="仿宋" w:cs="仿宋"/>
          <w:szCs w:val="28"/>
          <w:lang w:val="en-US" w:eastAsia="zh-CN"/>
        </w:rPr>
      </w:pPr>
      <w:r>
        <w:rPr>
          <w:rFonts w:hint="eastAsia" w:ascii="仿宋" w:hAnsi="仿宋" w:cs="仿宋"/>
          <w:szCs w:val="28"/>
          <w:lang w:val="en-US" w:eastAsia="zh-CN"/>
        </w:rPr>
        <w:t>先将污染物收集到废物收集桶，切断污染源；</w:t>
      </w:r>
    </w:p>
    <w:p>
      <w:pPr>
        <w:numPr>
          <w:ilvl w:val="0"/>
          <w:numId w:val="7"/>
        </w:numPr>
        <w:ind w:left="0" w:leftChars="0" w:firstLine="0" w:firstLineChars="0"/>
      </w:pPr>
      <w:r>
        <w:t>对流入雨水系统的污染物进行隔断、封堵、分流、回收、贮存、处理等可能采取的一切措施，尽最大努力使其受控</w:t>
      </w:r>
      <w:r>
        <w:rPr>
          <w:rFonts w:hint="eastAsia"/>
          <w:lang w:val="en-US" w:eastAsia="zh-CN"/>
        </w:rPr>
        <w:t>在</w:t>
      </w:r>
      <w:r>
        <w:t>储存设施中；</w:t>
      </w:r>
    </w:p>
    <w:p>
      <w:r>
        <w:rPr>
          <w:rFonts w:hint="eastAsia" w:ascii="Calibri" w:hAnsi="Calibri" w:eastAsia="仿宋" w:cs="Times New Roman"/>
          <w:b w:val="0"/>
          <w:kern w:val="2"/>
          <w:sz w:val="28"/>
          <w:szCs w:val="20"/>
          <w:lang w:val="en-US" w:eastAsia="zh-CN" w:bidi="ar-SA"/>
        </w:rPr>
        <w:t>（</w:t>
      </w:r>
      <w:r>
        <w:rPr>
          <w:rFonts w:hint="eastAsia" w:ascii="Calibri" w:eastAsia="仿宋" w:cs="Times New Roman"/>
          <w:b w:val="0"/>
          <w:kern w:val="2"/>
          <w:sz w:val="28"/>
          <w:szCs w:val="20"/>
          <w:lang w:val="en-US" w:eastAsia="zh-CN" w:bidi="ar-SA"/>
        </w:rPr>
        <w:t>3</w:t>
      </w:r>
      <w:r>
        <w:rPr>
          <w:rFonts w:hint="eastAsia" w:ascii="Calibri" w:hAnsi="Calibri" w:eastAsia="仿宋" w:cs="Times New Roman"/>
          <w:b w:val="0"/>
          <w:kern w:val="2"/>
          <w:sz w:val="28"/>
          <w:szCs w:val="20"/>
          <w:lang w:val="en-US" w:eastAsia="zh-CN" w:bidi="ar-SA"/>
        </w:rPr>
        <w:t>）</w:t>
      </w:r>
      <w:r>
        <w:t>利用雨水系统分流、排水和贮存污染物质时，做好雨水总排口关闭和封堵，防止流出造成对外环境污染；</w:t>
      </w:r>
    </w:p>
    <w:p>
      <w:r>
        <w:rPr>
          <w:rFonts w:hint="eastAsia" w:ascii="Calibri" w:eastAsia="仿宋" w:cs="Times New Roman"/>
          <w:b w:val="0"/>
          <w:kern w:val="2"/>
          <w:sz w:val="28"/>
          <w:szCs w:val="20"/>
          <w:lang w:val="en-US" w:eastAsia="zh-CN" w:bidi="ar-SA"/>
        </w:rPr>
        <w:t>（4）</w:t>
      </w:r>
      <w:r>
        <w:t>事故发生后，及时组织清理污染物，处理事故污水。</w:t>
      </w:r>
    </w:p>
    <w:p>
      <w:pPr>
        <w:ind w:firstLine="560" w:firstLineChars="200"/>
        <w:rPr>
          <w:rFonts w:hint="eastAsia" w:ascii="仿宋" w:hAnsi="仿宋" w:cs="仿宋"/>
          <w:b w:val="0"/>
          <w:kern w:val="2"/>
          <w:sz w:val="28"/>
          <w:szCs w:val="28"/>
          <w:lang w:val="en-US" w:eastAsia="zh-CN" w:bidi="ar-SA"/>
        </w:rPr>
      </w:pPr>
      <w:r>
        <w:rPr>
          <w:rFonts w:hint="eastAsia" w:ascii="仿宋" w:hAnsi="仿宋" w:eastAsia="仿宋" w:cs="仿宋"/>
          <w:b w:val="0"/>
          <w:kern w:val="2"/>
          <w:sz w:val="28"/>
          <w:szCs w:val="28"/>
          <w:lang w:val="en-US" w:eastAsia="zh-CN" w:bidi="ar-SA"/>
        </w:rPr>
        <w:t>2、</w:t>
      </w:r>
      <w:r>
        <w:rPr>
          <w:rFonts w:hint="eastAsia" w:ascii="仿宋" w:hAnsi="仿宋" w:cs="仿宋"/>
          <w:b w:val="0"/>
          <w:kern w:val="2"/>
          <w:sz w:val="28"/>
          <w:szCs w:val="28"/>
          <w:lang w:val="en-US" w:eastAsia="zh-CN" w:bidi="ar-SA"/>
        </w:rPr>
        <w:t>废气扩散事件处理原则（火灾爆炸事故）</w:t>
      </w:r>
    </w:p>
    <w:p>
      <w:pPr>
        <w:pStyle w:val="2"/>
        <w:rPr>
          <w:rFonts w:hint="eastAsia" w:ascii="仿宋" w:hAnsi="仿宋" w:eastAsia="仿宋" w:cs="仿宋"/>
          <w:b w:val="0"/>
          <w:kern w:val="2"/>
          <w:sz w:val="28"/>
          <w:szCs w:val="28"/>
          <w:lang w:val="en-US" w:eastAsia="zh-CN" w:bidi="ar-SA"/>
        </w:rPr>
      </w:pPr>
      <w:r>
        <w:rPr>
          <w:rFonts w:hint="eastAsia" w:ascii="仿宋" w:hAnsi="仿宋" w:cs="仿宋"/>
          <w:b w:val="0"/>
          <w:kern w:val="2"/>
          <w:sz w:val="28"/>
          <w:szCs w:val="28"/>
          <w:lang w:val="en-US" w:eastAsia="zh-CN" w:bidi="ar-SA"/>
        </w:rPr>
        <w:t>（1</w:t>
      </w:r>
      <w:r>
        <w:rPr>
          <w:rFonts w:hint="eastAsia" w:ascii="仿宋" w:hAnsi="仿宋" w:eastAsia="仿宋" w:cs="仿宋"/>
          <w:b w:val="0"/>
          <w:kern w:val="2"/>
          <w:sz w:val="28"/>
          <w:szCs w:val="28"/>
          <w:lang w:val="en-US" w:eastAsia="zh-CN" w:bidi="ar-SA"/>
        </w:rPr>
        <w:t>）立即做好个人防护措施，戴好口罩。</w:t>
      </w:r>
    </w:p>
    <w:p>
      <w:r>
        <w:rPr>
          <w:rFonts w:hint="eastAsia"/>
          <w:lang w:eastAsia="zh-CN"/>
        </w:rPr>
        <w:t>（</w:t>
      </w:r>
      <w:r>
        <w:rPr>
          <w:rFonts w:hint="eastAsia"/>
          <w:lang w:val="en-US" w:eastAsia="zh-CN"/>
        </w:rPr>
        <w:t>2</w:t>
      </w:r>
      <w:r>
        <w:rPr>
          <w:rFonts w:hint="eastAsia"/>
          <w:lang w:eastAsia="zh-CN"/>
        </w:rPr>
        <w:t>）</w:t>
      </w:r>
      <w:r>
        <w:t>根据现场风向等气象条件，确定警戒和疏散范围，并发出有害气体逸散警报。关注事故现场外围下风向的环境大气自动站监测数据，无法监测的项目应及时上报</w:t>
      </w:r>
      <w:r>
        <w:rPr>
          <w:rFonts w:hint="eastAsia"/>
        </w:rPr>
        <w:t>经开区</w:t>
      </w:r>
      <w:r>
        <w:t>生态环境局，进行外委监测。</w:t>
      </w:r>
    </w:p>
    <w:p>
      <w:r>
        <w:rPr>
          <w:rFonts w:hint="eastAsia"/>
          <w:lang w:eastAsia="zh-CN"/>
        </w:rPr>
        <w:t>（</w:t>
      </w:r>
      <w:r>
        <w:rPr>
          <w:rFonts w:hint="eastAsia"/>
          <w:lang w:val="en-US" w:eastAsia="zh-CN"/>
        </w:rPr>
        <w:t>3</w:t>
      </w:r>
      <w:r>
        <w:rPr>
          <w:rFonts w:hint="eastAsia"/>
          <w:lang w:eastAsia="zh-CN"/>
        </w:rPr>
        <w:t>）</w:t>
      </w:r>
      <w:r>
        <w:t>安排警戒疏散组紧急疏散与事故应急救援无关的人员，并采取设置路障断绝交通、禁止行人和车辆通行，防止外人介入，杜绝火源等措施。对可能威胁到厂外居民（包括相邻单位人员</w:t>
      </w:r>
      <w:r>
        <w:rPr>
          <w:rFonts w:hint="eastAsia"/>
        </w:rPr>
        <w:t>）</w:t>
      </w:r>
      <w:r>
        <w:t>安全时，立即上报公司启动上级预案，建议公司应急指挥中心应立即和当地有关部门联系，引导居民迅速撤离到安全地点。</w:t>
      </w:r>
    </w:p>
    <w:p>
      <w:r>
        <w:rPr>
          <w:rFonts w:hint="eastAsia" w:ascii="Calibri" w:hAnsi="Calibri" w:eastAsia="仿宋" w:cs="Times New Roman"/>
          <w:b w:val="0"/>
          <w:kern w:val="2"/>
          <w:sz w:val="28"/>
          <w:szCs w:val="20"/>
          <w:lang w:val="en-US" w:eastAsia="zh-CN" w:bidi="ar-SA"/>
        </w:rPr>
        <w:t>（4）</w:t>
      </w:r>
      <w:r>
        <w:t>加强现场人员个体防护，配置相应的个体防护用品，由应急物资协调组立即落实</w:t>
      </w:r>
      <w:r>
        <w:rPr>
          <w:rFonts w:hint="eastAsia"/>
        </w:rPr>
        <w:t>。</w:t>
      </w:r>
    </w:p>
    <w:p>
      <w:pPr>
        <w:pStyle w:val="2"/>
        <w:rPr>
          <w:rFonts w:hint="eastAsia" w:ascii="仿宋" w:hAnsi="仿宋" w:eastAsia="仿宋" w:cs="仿宋"/>
          <w:b/>
          <w:bCs/>
          <w:szCs w:val="28"/>
        </w:rPr>
      </w:pPr>
      <w:r>
        <w:rPr>
          <w:rFonts w:hint="eastAsia" w:ascii="仿宋" w:hAnsi="仿宋" w:eastAsia="仿宋" w:cs="仿宋"/>
          <w:b/>
          <w:bCs/>
          <w:szCs w:val="28"/>
          <w:lang w:val="en-US" w:eastAsia="zh-CN"/>
        </w:rPr>
        <w:t>7</w:t>
      </w:r>
      <w:r>
        <w:rPr>
          <w:rFonts w:hint="eastAsia" w:ascii="仿宋" w:hAnsi="仿宋" w:eastAsia="仿宋" w:cs="仿宋"/>
          <w:b/>
          <w:bCs/>
          <w:szCs w:val="28"/>
        </w:rPr>
        <w:t>.</w:t>
      </w:r>
      <w:r>
        <w:rPr>
          <w:rFonts w:hint="eastAsia" w:ascii="仿宋" w:hAnsi="仿宋" w:eastAsia="仿宋" w:cs="仿宋"/>
          <w:b/>
          <w:bCs/>
          <w:szCs w:val="28"/>
          <w:lang w:val="en-US" w:eastAsia="zh-CN"/>
        </w:rPr>
        <w:t>2</w:t>
      </w:r>
      <w:r>
        <w:rPr>
          <w:rFonts w:hint="eastAsia" w:ascii="仿宋" w:hAnsi="仿宋" w:eastAsia="仿宋" w:cs="仿宋"/>
          <w:b/>
          <w:bCs/>
          <w:szCs w:val="28"/>
        </w:rPr>
        <w:t>应急处置流程</w:t>
      </w:r>
      <w:bookmarkEnd w:id="100"/>
      <w:bookmarkEnd w:id="101"/>
    </w:p>
    <w:p>
      <w:pPr>
        <w:rPr>
          <w:rFonts w:hint="default" w:eastAsia="仿宋"/>
          <w:lang w:val="en-US" w:eastAsia="zh-CN"/>
        </w:rPr>
      </w:pPr>
      <w:r>
        <w:rPr>
          <w:rFonts w:hint="eastAsia" w:ascii="仿宋" w:hAnsi="仿宋" w:cs="仿宋"/>
          <w:b/>
          <w:bCs/>
          <w:szCs w:val="28"/>
          <w:lang w:val="en-US" w:eastAsia="zh-CN"/>
        </w:rPr>
        <w:t>7.2.1泄漏事故</w:t>
      </w:r>
    </w:p>
    <w:p>
      <w:pPr>
        <w:ind w:firstLine="560" w:firstLineChars="200"/>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（1）现场巡查人员发现泄漏，及时向应急指挥办公室进行汇报。应急指挥办公室接到泄漏报警信息后，立即通知现场处置组人员核实具体情况并到达泄漏现场，核实具体情况；</w:t>
      </w:r>
    </w:p>
    <w:p>
      <w:pPr>
        <w:ind w:firstLine="560" w:firstLineChars="200"/>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（2）应急指挥办公室通知后勤保障组，调配响应应急物资；</w:t>
      </w:r>
    </w:p>
    <w:p>
      <w:pPr>
        <w:ind w:firstLine="560" w:firstLineChars="200"/>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（3）当少量滴漏时，现场操作人员及时针对泄漏原因，采取相应措施，用吸油毡清除已滴落在地面的污物；</w:t>
      </w:r>
    </w:p>
    <w:p>
      <w:pPr>
        <w:ind w:firstLine="560" w:firstLineChars="200"/>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（4）当大量泄漏时，现场人员立即通知应急指挥办公室，同时立即就近取消防沙进行围堵；</w:t>
      </w:r>
    </w:p>
    <w:p>
      <w:pPr>
        <w:ind w:firstLine="560" w:firstLineChars="200"/>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（5）应急领导小组立即通过对讲机（电话）通知应急组成员，启动预案指令，通知现场无关人员立即疏散；</w:t>
      </w:r>
    </w:p>
    <w:p>
      <w:pPr>
        <w:ind w:firstLine="560" w:firstLineChars="200"/>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（6）应急指挥中心收到现场报告后，立即组织各处置人员进行应急响应，并向应急总指挥上报；</w:t>
      </w:r>
    </w:p>
    <w:p>
      <w:pPr>
        <w:ind w:firstLine="560" w:firstLineChars="200"/>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（7）现场处置组收到指令后在组长组织下在泄漏点附近迅速集合，对泄漏进行处置；少量滴漏时，用吸油毡清除已滴落在地面的污物；大量泄漏时，用消防沙围堵形成围堰</w:t>
      </w:r>
      <w:r>
        <w:rPr>
          <w:rFonts w:hint="eastAsia" w:ascii="仿宋" w:hAnsi="仿宋" w:cs="仿宋"/>
          <w:b w:val="0"/>
          <w:bCs w:val="0"/>
          <w:sz w:val="28"/>
          <w:szCs w:val="28"/>
          <w:lang w:val="en-US" w:eastAsia="zh-CN"/>
        </w:rPr>
        <w:t>。</w:t>
      </w:r>
    </w:p>
    <w:p>
      <w:pPr>
        <w:outlineLvl w:val="9"/>
        <w:rPr>
          <w:rFonts w:hint="eastAsia" w:ascii="仿宋" w:hAnsi="仿宋" w:eastAsia="仿宋" w:cs="仿宋"/>
          <w:b/>
          <w:bCs/>
          <w:szCs w:val="28"/>
          <w:lang w:val="en-US" w:eastAsia="zh-CN"/>
        </w:rPr>
      </w:pPr>
      <w:r>
        <w:rPr>
          <w:rFonts w:hint="eastAsia" w:ascii="仿宋" w:hAnsi="仿宋" w:eastAsia="仿宋" w:cs="仿宋"/>
          <w:b/>
          <w:bCs/>
          <w:szCs w:val="28"/>
          <w:lang w:val="en-US" w:eastAsia="zh-CN"/>
        </w:rPr>
        <w:t>7.</w:t>
      </w:r>
      <w:r>
        <w:rPr>
          <w:rFonts w:hint="eastAsia" w:ascii="仿宋" w:hAnsi="仿宋" w:cs="仿宋"/>
          <w:b/>
          <w:bCs/>
          <w:szCs w:val="28"/>
          <w:lang w:val="en-US" w:eastAsia="zh-CN"/>
        </w:rPr>
        <w:t>2</w:t>
      </w:r>
      <w:r>
        <w:rPr>
          <w:rFonts w:hint="eastAsia" w:ascii="仿宋" w:hAnsi="仿宋" w:eastAsia="仿宋" w:cs="仿宋"/>
          <w:b/>
          <w:bCs/>
          <w:szCs w:val="28"/>
          <w:lang w:val="en-US" w:eastAsia="zh-CN"/>
        </w:rPr>
        <w:t>.2火灾爆炸事故</w:t>
      </w:r>
    </w:p>
    <w:p>
      <w:pPr>
        <w:pStyle w:val="39"/>
        <w:spacing w:line="360" w:lineRule="auto"/>
        <w:ind w:left="0" w:leftChars="0" w:firstLine="560" w:firstLineChars="200"/>
        <w:rPr>
          <w:rFonts w:hint="eastAsia"/>
          <w:sz w:val="28"/>
          <w:szCs w:val="28"/>
        </w:rPr>
      </w:pPr>
      <w:r>
        <w:rPr>
          <w:rFonts w:hint="eastAsia"/>
          <w:sz w:val="28"/>
          <w:szCs w:val="28"/>
          <w:lang w:val="en-US" w:eastAsia="zh-CN"/>
        </w:rPr>
        <w:t>当泄漏引发火灾，现场处置组负责及时封堵车间门口，对雨水口进行封堵，防止消防废水通过雨水系统排入厂区外水体；如消防废水进入园区雨水管网，后勤保障组迅速联系签约单位、通报各职能部门，并上报应急领导小组，升级应急响应，上报政府部门。</w:t>
      </w:r>
    </w:p>
    <w:p>
      <w:pPr>
        <w:outlineLvl w:val="1"/>
        <w:rPr>
          <w:rFonts w:ascii="Times New Roman" w:hAnsi="Times New Roman"/>
          <w:b/>
          <w:bCs/>
          <w:szCs w:val="24"/>
        </w:rPr>
      </w:pPr>
      <w:bookmarkStart w:id="102" w:name="_Toc22902"/>
      <w:bookmarkStart w:id="103" w:name="_Toc14139"/>
      <w:bookmarkStart w:id="104" w:name="_Toc24319_WPSOffice_Level2"/>
      <w:r>
        <w:rPr>
          <w:rFonts w:hint="eastAsia" w:ascii="Times New Roman" w:hAnsi="Times New Roman"/>
          <w:b/>
          <w:bCs/>
          <w:szCs w:val="28"/>
          <w:lang w:val="en-US" w:eastAsia="zh-CN"/>
        </w:rPr>
        <w:t>7</w:t>
      </w:r>
      <w:r>
        <w:rPr>
          <w:rFonts w:ascii="Times New Roman" w:hAnsi="Times New Roman"/>
          <w:b/>
          <w:bCs/>
          <w:szCs w:val="28"/>
        </w:rPr>
        <w:t>.</w:t>
      </w:r>
      <w:r>
        <w:rPr>
          <w:rFonts w:hint="eastAsia" w:ascii="Times New Roman" w:hAnsi="Times New Roman"/>
          <w:b/>
          <w:bCs/>
          <w:szCs w:val="28"/>
          <w:lang w:val="en-US" w:eastAsia="zh-CN"/>
        </w:rPr>
        <w:t>3</w:t>
      </w:r>
      <w:r>
        <w:rPr>
          <w:rFonts w:ascii="Times New Roman" w:hAnsi="Times New Roman"/>
          <w:b/>
          <w:bCs/>
          <w:szCs w:val="28"/>
        </w:rPr>
        <w:t>关键岗位应急处置卡</w:t>
      </w:r>
      <w:bookmarkEnd w:id="102"/>
      <w:bookmarkEnd w:id="103"/>
    </w:p>
    <w:p>
      <w:pPr>
        <w:rPr>
          <w:rFonts w:hint="eastAsia" w:ascii="Times New Roman" w:hAnsi="Times New Roman"/>
          <w:szCs w:val="28"/>
        </w:rPr>
      </w:pPr>
      <w:r>
        <w:rPr>
          <w:rFonts w:ascii="Times New Roman" w:hAnsi="Times New Roman"/>
          <w:szCs w:val="28"/>
        </w:rPr>
        <w:t xml:space="preserve">    本公司</w:t>
      </w:r>
      <w:r>
        <w:rPr>
          <w:rFonts w:hint="eastAsia" w:ascii="Times New Roman" w:hAnsi="Times New Roman"/>
          <w:szCs w:val="28"/>
        </w:rPr>
        <w:t>租赁面积较小，风险物质暂存量较小，突发环境事件情形下的首要任务是确保可控的污染物不排入外环境，具体体现为泄漏物或次生消防废水不流入外环境，需要后勤保障组高度警惕，一旦污染物产生量较大，有可能进入雨水</w:t>
      </w:r>
      <w:r>
        <w:rPr>
          <w:rFonts w:hint="eastAsia" w:ascii="Times New Roman" w:hAnsi="Times New Roman"/>
          <w:szCs w:val="28"/>
          <w:lang w:val="en-US" w:eastAsia="zh-CN"/>
        </w:rPr>
        <w:t>明排</w:t>
      </w:r>
      <w:r>
        <w:rPr>
          <w:rFonts w:hint="eastAsia" w:ascii="Times New Roman" w:hAnsi="Times New Roman"/>
          <w:szCs w:val="28"/>
        </w:rPr>
        <w:t>，第一时间封堵公司内部各出雨水口</w:t>
      </w:r>
      <w:r>
        <w:rPr>
          <w:rFonts w:ascii="Times New Roman" w:hAnsi="Times New Roman"/>
          <w:szCs w:val="28"/>
        </w:rPr>
        <w:t>。</w:t>
      </w:r>
      <w:r>
        <w:rPr>
          <w:rFonts w:hint="eastAsia" w:ascii="Times New Roman" w:hAnsi="Times New Roman"/>
          <w:szCs w:val="28"/>
        </w:rPr>
        <w:t>厂区总排口</w:t>
      </w:r>
      <w:r>
        <w:rPr>
          <w:rFonts w:hint="eastAsia" w:ascii="Times New Roman" w:hAnsi="Times New Roman"/>
          <w:szCs w:val="28"/>
          <w:lang w:val="en-US" w:eastAsia="zh-CN"/>
        </w:rPr>
        <w:t>没</w:t>
      </w:r>
      <w:r>
        <w:rPr>
          <w:rFonts w:hint="eastAsia" w:ascii="Times New Roman" w:hAnsi="Times New Roman"/>
          <w:szCs w:val="28"/>
        </w:rPr>
        <w:t>有截止阀，</w:t>
      </w:r>
      <w:r>
        <w:rPr>
          <w:rFonts w:hint="eastAsia" w:ascii="Times New Roman" w:hAnsi="Times New Roman"/>
          <w:szCs w:val="28"/>
          <w:lang w:val="en-US" w:eastAsia="zh-CN"/>
        </w:rPr>
        <w:t>在雨水总排口放有沙袋，一旦</w:t>
      </w:r>
      <w:r>
        <w:rPr>
          <w:rFonts w:hint="eastAsia" w:ascii="Times New Roman" w:hAnsi="Times New Roman"/>
          <w:szCs w:val="28"/>
        </w:rPr>
        <w:t>事故</w:t>
      </w:r>
      <w:r>
        <w:rPr>
          <w:rFonts w:hint="eastAsia" w:ascii="Times New Roman" w:hAnsi="Times New Roman"/>
          <w:szCs w:val="28"/>
          <w:lang w:val="en-US" w:eastAsia="zh-CN"/>
        </w:rPr>
        <w:t>发生及时封堵雨水口</w:t>
      </w:r>
      <w:r>
        <w:rPr>
          <w:rFonts w:hint="eastAsia" w:ascii="Times New Roman" w:hAnsi="Times New Roman"/>
          <w:szCs w:val="28"/>
        </w:rPr>
        <w:t>。</w:t>
      </w:r>
    </w:p>
    <w:p>
      <w:pPr>
        <w:jc w:val="center"/>
        <w:rPr>
          <w:rFonts w:hint="eastAsia" w:ascii="仿宋" w:hAnsi="仿宋" w:eastAsia="仿宋" w:cs="仿宋"/>
          <w:b/>
          <w:bCs/>
          <w:sz w:val="24"/>
          <w:szCs w:val="24"/>
        </w:rPr>
      </w:pPr>
      <w:r>
        <w:rPr>
          <w:rFonts w:hint="eastAsia" w:ascii="仿宋" w:hAnsi="仿宋" w:eastAsia="仿宋" w:cs="仿宋"/>
          <w:sz w:val="24"/>
          <w:szCs w:val="24"/>
        </w:rPr>
        <w:t>表</w:t>
      </w:r>
      <w:r>
        <w:rPr>
          <w:rFonts w:hint="eastAsia" w:ascii="仿宋" w:hAnsi="仿宋" w:eastAsia="仿宋" w:cs="仿宋"/>
          <w:sz w:val="24"/>
          <w:szCs w:val="24"/>
          <w:lang w:val="en-US" w:eastAsia="zh-CN"/>
        </w:rPr>
        <w:t>7-</w:t>
      </w:r>
      <w:r>
        <w:rPr>
          <w:rFonts w:hint="eastAsia" w:ascii="仿宋" w:hAnsi="仿宋" w:eastAsia="仿宋" w:cs="仿宋"/>
          <w:sz w:val="24"/>
          <w:szCs w:val="24"/>
        </w:rPr>
        <w:t>2-1  关键岗位应急处置卡-1</w:t>
      </w:r>
    </w:p>
    <w:tbl>
      <w:tblPr>
        <w:tblStyle w:val="40"/>
        <w:tblW w:w="87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3"/>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283" w:type="dxa"/>
            <w:shd w:val="clear" w:color="auto" w:fill="D7D7D7"/>
            <w:vAlign w:val="center"/>
          </w:tcPr>
          <w:p>
            <w:pPr>
              <w:spacing w:line="288" w:lineRule="auto"/>
              <w:jc w:val="center"/>
              <w:rPr>
                <w:rFonts w:ascii="Times New Roman" w:hAnsi="Times New Roman"/>
                <w:sz w:val="24"/>
                <w:szCs w:val="24"/>
              </w:rPr>
            </w:pPr>
            <w:r>
              <w:rPr>
                <w:rFonts w:hint="eastAsia" w:ascii="Times New Roman" w:hAnsi="Times New Roman"/>
                <w:sz w:val="24"/>
                <w:szCs w:val="24"/>
              </w:rPr>
              <w:t>关键岗位</w:t>
            </w:r>
          </w:p>
        </w:tc>
        <w:tc>
          <w:tcPr>
            <w:tcW w:w="7516" w:type="dxa"/>
            <w:shd w:val="clear" w:color="auto" w:fill="auto"/>
            <w:vAlign w:val="center"/>
          </w:tcPr>
          <w:p>
            <w:pPr>
              <w:spacing w:line="288" w:lineRule="auto"/>
              <w:jc w:val="center"/>
              <w:rPr>
                <w:rFonts w:ascii="Times New Roman" w:hAnsi="Times New Roman"/>
                <w:sz w:val="24"/>
                <w:szCs w:val="24"/>
              </w:rPr>
            </w:pPr>
            <w:r>
              <w:rPr>
                <w:rFonts w:hint="eastAsia" w:ascii="Times New Roman" w:hAnsi="Times New Roman"/>
                <w:sz w:val="24"/>
                <w:szCs w:val="24"/>
              </w:rPr>
              <w:t>污染物控制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0" w:hRule="atLeast"/>
        </w:trPr>
        <w:tc>
          <w:tcPr>
            <w:tcW w:w="1283" w:type="dxa"/>
            <w:shd w:val="clear" w:color="auto" w:fill="D7D7D7"/>
            <w:vAlign w:val="center"/>
          </w:tcPr>
          <w:p>
            <w:pPr>
              <w:spacing w:line="288" w:lineRule="auto"/>
              <w:jc w:val="center"/>
              <w:rPr>
                <w:rFonts w:ascii="Times New Roman" w:hAnsi="Times New Roman"/>
                <w:sz w:val="24"/>
                <w:szCs w:val="24"/>
              </w:rPr>
            </w:pPr>
            <w:r>
              <w:rPr>
                <w:rFonts w:ascii="Times New Roman" w:hAnsi="Times New Roman"/>
                <w:sz w:val="24"/>
                <w:szCs w:val="24"/>
              </w:rPr>
              <w:t>责任人</w:t>
            </w:r>
          </w:p>
        </w:tc>
        <w:tc>
          <w:tcPr>
            <w:tcW w:w="7516" w:type="dxa"/>
            <w:shd w:val="clear" w:color="auto" w:fill="auto"/>
            <w:vAlign w:val="center"/>
          </w:tcPr>
          <w:p>
            <w:pPr>
              <w:spacing w:line="288" w:lineRule="auto"/>
              <w:jc w:val="center"/>
              <w:rPr>
                <w:rFonts w:hint="default" w:ascii="Times New Roman" w:hAnsi="Times New Roman" w:eastAsia="仿宋"/>
                <w:sz w:val="24"/>
                <w:szCs w:val="24"/>
                <w:lang w:val="en-US" w:eastAsia="zh-CN"/>
              </w:rPr>
            </w:pPr>
            <w:r>
              <w:rPr>
                <w:rFonts w:hint="eastAsia" w:ascii="Times New Roman" w:hAnsi="Times New Roman"/>
                <w:sz w:val="24"/>
                <w:szCs w:val="24"/>
                <w:lang w:val="en-US" w:eastAsia="zh-CN"/>
              </w:rPr>
              <w:t xml:space="preserve">汤共平 </w:t>
            </w:r>
            <w:r>
              <w:rPr>
                <w:rFonts w:hint="eastAsia" w:ascii="仿宋" w:hAnsi="仿宋" w:eastAsia="仿宋" w:cs="仿宋"/>
                <w:kern w:val="2"/>
                <w:sz w:val="24"/>
                <w:szCs w:val="24"/>
                <w:vertAlign w:val="baseline"/>
                <w:lang w:val="en-US" w:eastAsia="zh-CN" w:bidi="ar-SA"/>
              </w:rPr>
              <w:t>13323451081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283" w:type="dxa"/>
            <w:shd w:val="clear" w:color="auto" w:fill="D7D7D7"/>
            <w:vAlign w:val="center"/>
          </w:tcPr>
          <w:p>
            <w:pPr>
              <w:spacing w:line="288" w:lineRule="auto"/>
              <w:jc w:val="center"/>
              <w:rPr>
                <w:rFonts w:ascii="Times New Roman" w:hAnsi="Times New Roman"/>
                <w:sz w:val="24"/>
                <w:szCs w:val="24"/>
              </w:rPr>
            </w:pPr>
            <w:r>
              <w:rPr>
                <w:rFonts w:ascii="Times New Roman" w:hAnsi="Times New Roman"/>
                <w:sz w:val="24"/>
                <w:szCs w:val="24"/>
              </w:rPr>
              <w:t>应急处置要求</w:t>
            </w:r>
          </w:p>
        </w:tc>
        <w:tc>
          <w:tcPr>
            <w:tcW w:w="7516" w:type="dxa"/>
            <w:shd w:val="clear" w:color="auto" w:fill="auto"/>
            <w:vAlign w:val="center"/>
          </w:tcPr>
          <w:p>
            <w:pPr>
              <w:spacing w:line="288" w:lineRule="auto"/>
              <w:jc w:val="center"/>
              <w:rPr>
                <w:rFonts w:ascii="Times New Roman" w:hAnsi="Times New Roman"/>
                <w:sz w:val="24"/>
                <w:szCs w:val="24"/>
              </w:rPr>
            </w:pPr>
            <w:r>
              <w:rPr>
                <w:rFonts w:ascii="Times New Roman" w:hAnsi="Times New Roman"/>
                <w:sz w:val="24"/>
                <w:szCs w:val="24"/>
              </w:rPr>
              <w:t>一旦污染物</w:t>
            </w:r>
            <w:r>
              <w:rPr>
                <w:rFonts w:hint="eastAsia" w:ascii="Times New Roman" w:hAnsi="Times New Roman"/>
                <w:sz w:val="24"/>
                <w:szCs w:val="24"/>
              </w:rPr>
              <w:t>产生量较大，</w:t>
            </w:r>
            <w:r>
              <w:rPr>
                <w:rFonts w:ascii="Times New Roman" w:hAnsi="Times New Roman"/>
                <w:sz w:val="24"/>
                <w:szCs w:val="24"/>
              </w:rPr>
              <w:t>第一时间</w:t>
            </w:r>
            <w:r>
              <w:rPr>
                <w:rFonts w:hint="eastAsia" w:ascii="Times New Roman" w:hAnsi="Times New Roman"/>
                <w:sz w:val="24"/>
                <w:szCs w:val="24"/>
                <w:lang w:val="en-US" w:eastAsia="zh-CN"/>
              </w:rPr>
              <w:t>封堵雨水口，防止污染水进入雨水管道。</w:t>
            </w:r>
          </w:p>
        </w:tc>
      </w:tr>
    </w:tbl>
    <w:p>
      <w:pPr>
        <w:jc w:val="center"/>
        <w:rPr>
          <w:rFonts w:ascii="Times New Roman" w:hAnsi="Times New Roman"/>
          <w:b/>
          <w:bCs/>
          <w:sz w:val="24"/>
          <w:szCs w:val="24"/>
        </w:rPr>
      </w:pPr>
      <w:r>
        <w:rPr>
          <w:rFonts w:hint="eastAsia" w:ascii="仿宋" w:hAnsi="仿宋" w:eastAsia="仿宋" w:cs="仿宋"/>
          <w:sz w:val="24"/>
          <w:szCs w:val="24"/>
        </w:rPr>
        <w:t>表</w:t>
      </w:r>
      <w:r>
        <w:rPr>
          <w:rFonts w:hint="eastAsia" w:ascii="仿宋" w:hAnsi="仿宋" w:eastAsia="仿宋" w:cs="仿宋"/>
          <w:sz w:val="24"/>
          <w:szCs w:val="24"/>
          <w:lang w:val="en-US" w:eastAsia="zh-CN"/>
        </w:rPr>
        <w:t>7-</w:t>
      </w:r>
      <w:r>
        <w:rPr>
          <w:rFonts w:hint="eastAsia" w:ascii="仿宋" w:hAnsi="仿宋" w:eastAsia="仿宋" w:cs="仿宋"/>
          <w:sz w:val="24"/>
          <w:szCs w:val="24"/>
        </w:rPr>
        <w:t>2-2  关键岗位应急处置卡-2</w:t>
      </w:r>
    </w:p>
    <w:tbl>
      <w:tblPr>
        <w:tblStyle w:val="40"/>
        <w:tblW w:w="88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3"/>
        <w:gridCol w:w="7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3" w:type="dxa"/>
            <w:shd w:val="clear" w:color="auto" w:fill="D7D7D7"/>
            <w:vAlign w:val="center"/>
          </w:tcPr>
          <w:p>
            <w:pPr>
              <w:spacing w:line="288" w:lineRule="auto"/>
              <w:jc w:val="center"/>
              <w:rPr>
                <w:rFonts w:ascii="Times New Roman" w:hAnsi="Times New Roman"/>
                <w:sz w:val="24"/>
                <w:szCs w:val="24"/>
              </w:rPr>
            </w:pPr>
            <w:r>
              <w:rPr>
                <w:rFonts w:hint="eastAsia" w:ascii="Times New Roman" w:hAnsi="Times New Roman"/>
                <w:sz w:val="24"/>
                <w:szCs w:val="24"/>
              </w:rPr>
              <w:t>关键岗位</w:t>
            </w:r>
          </w:p>
        </w:tc>
        <w:tc>
          <w:tcPr>
            <w:tcW w:w="7536" w:type="dxa"/>
            <w:shd w:val="clear" w:color="auto" w:fill="auto"/>
            <w:vAlign w:val="center"/>
          </w:tcPr>
          <w:p>
            <w:pPr>
              <w:spacing w:line="288" w:lineRule="auto"/>
              <w:jc w:val="center"/>
              <w:rPr>
                <w:rFonts w:ascii="Times New Roman" w:hAnsi="Times New Roman"/>
                <w:sz w:val="24"/>
                <w:szCs w:val="24"/>
              </w:rPr>
            </w:pPr>
            <w:r>
              <w:rPr>
                <w:rFonts w:hint="eastAsia" w:ascii="Times New Roman" w:hAnsi="Times New Roman"/>
                <w:sz w:val="24"/>
                <w:szCs w:val="24"/>
              </w:rPr>
              <w:t>泄漏事故应急处置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3" w:type="dxa"/>
            <w:shd w:val="clear" w:color="auto" w:fill="D7D7D7"/>
            <w:vAlign w:val="center"/>
          </w:tcPr>
          <w:p>
            <w:pPr>
              <w:spacing w:line="288" w:lineRule="auto"/>
              <w:jc w:val="center"/>
              <w:rPr>
                <w:rFonts w:ascii="Times New Roman" w:hAnsi="Times New Roman"/>
                <w:sz w:val="24"/>
                <w:szCs w:val="24"/>
              </w:rPr>
            </w:pPr>
            <w:r>
              <w:rPr>
                <w:rFonts w:ascii="Times New Roman" w:hAnsi="Times New Roman"/>
                <w:sz w:val="24"/>
                <w:szCs w:val="24"/>
              </w:rPr>
              <w:t>责任人</w:t>
            </w:r>
          </w:p>
        </w:tc>
        <w:tc>
          <w:tcPr>
            <w:tcW w:w="7536" w:type="dxa"/>
            <w:shd w:val="clear" w:color="auto" w:fill="auto"/>
            <w:vAlign w:val="center"/>
          </w:tcPr>
          <w:p>
            <w:pPr>
              <w:spacing w:line="288" w:lineRule="auto"/>
              <w:jc w:val="center"/>
              <w:rPr>
                <w:rFonts w:hint="default" w:ascii="Times New Roman" w:hAnsi="Times New Roman" w:eastAsia="仿宋"/>
                <w:sz w:val="24"/>
                <w:szCs w:val="24"/>
                <w:lang w:val="en-US" w:eastAsia="zh-CN"/>
              </w:rPr>
            </w:pPr>
            <w:r>
              <w:rPr>
                <w:rFonts w:hint="eastAsia" w:ascii="Times New Roman" w:hAnsi="Times New Roman"/>
                <w:sz w:val="24"/>
                <w:szCs w:val="24"/>
                <w:lang w:val="en-US" w:eastAsia="zh-CN"/>
              </w:rPr>
              <w:t xml:space="preserve">刘文德 </w:t>
            </w:r>
            <w:r>
              <w:rPr>
                <w:rFonts w:hint="eastAsia" w:ascii="仿宋" w:hAnsi="仿宋" w:eastAsia="仿宋" w:cs="仿宋"/>
                <w:kern w:val="2"/>
                <w:sz w:val="24"/>
                <w:szCs w:val="24"/>
                <w:vertAlign w:val="baseline"/>
                <w:lang w:val="en-US" w:eastAsia="zh-CN" w:bidi="ar-SA"/>
              </w:rPr>
              <w:t>13207621638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3" w:type="dxa"/>
            <w:shd w:val="clear" w:color="auto" w:fill="D7D7D7"/>
            <w:vAlign w:val="center"/>
          </w:tcPr>
          <w:p>
            <w:pPr>
              <w:spacing w:line="288" w:lineRule="auto"/>
              <w:jc w:val="center"/>
              <w:rPr>
                <w:rFonts w:ascii="Times New Roman" w:hAnsi="Times New Roman"/>
                <w:sz w:val="24"/>
                <w:szCs w:val="24"/>
              </w:rPr>
            </w:pPr>
            <w:r>
              <w:rPr>
                <w:rFonts w:ascii="Times New Roman" w:hAnsi="Times New Roman"/>
                <w:sz w:val="24"/>
                <w:szCs w:val="24"/>
              </w:rPr>
              <w:t>应急处置要求</w:t>
            </w:r>
          </w:p>
        </w:tc>
        <w:tc>
          <w:tcPr>
            <w:tcW w:w="7536" w:type="dxa"/>
            <w:shd w:val="clear" w:color="auto" w:fill="auto"/>
            <w:vAlign w:val="center"/>
          </w:tcPr>
          <w:p>
            <w:pPr>
              <w:numPr>
                <w:ilvl w:val="0"/>
                <w:numId w:val="8"/>
              </w:numPr>
              <w:spacing w:line="288" w:lineRule="auto"/>
              <w:jc w:val="center"/>
              <w:rPr>
                <w:rFonts w:ascii="Times New Roman" w:hAnsi="Times New Roman"/>
                <w:sz w:val="24"/>
                <w:szCs w:val="24"/>
              </w:rPr>
            </w:pPr>
            <w:r>
              <w:rPr>
                <w:rFonts w:hint="eastAsia" w:ascii="Times New Roman" w:hAnsi="Times New Roman"/>
                <w:sz w:val="24"/>
                <w:szCs w:val="24"/>
              </w:rPr>
              <w:t>将破损</w:t>
            </w:r>
            <w:r>
              <w:rPr>
                <w:rFonts w:hint="eastAsia" w:ascii="Times New Roman" w:hAnsi="Times New Roman"/>
                <w:sz w:val="24"/>
                <w:szCs w:val="24"/>
                <w:lang w:val="en-US" w:eastAsia="zh-CN"/>
              </w:rPr>
              <w:t>机油</w:t>
            </w:r>
            <w:r>
              <w:rPr>
                <w:rFonts w:hint="eastAsia" w:ascii="Times New Roman" w:hAnsi="Times New Roman"/>
                <w:sz w:val="24"/>
                <w:szCs w:val="24"/>
              </w:rPr>
              <w:t>桶放入收集桶</w:t>
            </w:r>
          </w:p>
          <w:p>
            <w:pPr>
              <w:numPr>
                <w:ilvl w:val="0"/>
                <w:numId w:val="8"/>
              </w:numPr>
              <w:spacing w:line="288" w:lineRule="auto"/>
              <w:jc w:val="center"/>
              <w:rPr>
                <w:rFonts w:ascii="Times New Roman" w:hAnsi="Times New Roman"/>
                <w:sz w:val="24"/>
                <w:szCs w:val="24"/>
              </w:rPr>
            </w:pPr>
            <w:r>
              <w:rPr>
                <w:rFonts w:hint="eastAsia" w:ascii="Times New Roman" w:hAnsi="Times New Roman"/>
                <w:sz w:val="24"/>
                <w:szCs w:val="24"/>
              </w:rPr>
              <w:t>用消防沙吸附泄漏物，将现场清理干净。吸附废物作为危废放入收容桶，暂存于危废间。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3" w:type="dxa"/>
            <w:shd w:val="clear" w:color="auto" w:fill="D7D7D7"/>
            <w:vAlign w:val="center"/>
          </w:tcPr>
          <w:p>
            <w:pPr>
              <w:spacing w:line="288" w:lineRule="auto"/>
              <w:jc w:val="center"/>
              <w:rPr>
                <w:rFonts w:ascii="Times New Roman" w:hAnsi="Times New Roman"/>
                <w:sz w:val="24"/>
                <w:szCs w:val="24"/>
              </w:rPr>
            </w:pPr>
            <w:r>
              <w:rPr>
                <w:rFonts w:hint="eastAsia" w:ascii="Times New Roman" w:hAnsi="Times New Roman"/>
                <w:sz w:val="24"/>
                <w:szCs w:val="24"/>
              </w:rPr>
              <w:t>上报须知</w:t>
            </w:r>
          </w:p>
        </w:tc>
        <w:tc>
          <w:tcPr>
            <w:tcW w:w="7536" w:type="dxa"/>
            <w:shd w:val="clear" w:color="auto" w:fill="auto"/>
            <w:vAlign w:val="center"/>
          </w:tcPr>
          <w:p>
            <w:pPr>
              <w:spacing w:line="288" w:lineRule="auto"/>
              <w:jc w:val="center"/>
              <w:rPr>
                <w:rFonts w:ascii="Times New Roman" w:hAnsi="Times New Roman"/>
                <w:sz w:val="24"/>
                <w:szCs w:val="24"/>
              </w:rPr>
            </w:pPr>
            <w:r>
              <w:rPr>
                <w:rFonts w:hint="eastAsia" w:ascii="Times New Roman" w:hAnsi="Times New Roman"/>
                <w:sz w:val="24"/>
                <w:szCs w:val="24"/>
              </w:rPr>
              <w:t>若现场处置无法控制，第一时间上报应急指挥办公室</w:t>
            </w:r>
            <w:r>
              <w:rPr>
                <w:rFonts w:hint="eastAsia" w:ascii="Times New Roman" w:hAnsi="Times New Roman"/>
                <w:sz w:val="24"/>
                <w:szCs w:val="24"/>
                <w:highlight w:val="none"/>
              </w:rPr>
              <w:t>（</w:t>
            </w:r>
            <w:r>
              <w:rPr>
                <w:rFonts w:hint="eastAsia" w:ascii="仿宋" w:hAnsi="仿宋" w:eastAsia="仿宋" w:cs="仿宋"/>
                <w:sz w:val="24"/>
                <w:szCs w:val="24"/>
                <w:lang w:val="en-US" w:eastAsia="zh-CN"/>
              </w:rPr>
              <w:t>13752798575</w:t>
            </w:r>
            <w:r>
              <w:rPr>
                <w:rFonts w:hint="eastAsia" w:ascii="Times New Roman" w:hAnsi="Times New Roman"/>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3" w:type="dxa"/>
            <w:shd w:val="clear" w:color="auto" w:fill="D7D7D7"/>
            <w:vAlign w:val="center"/>
          </w:tcPr>
          <w:p>
            <w:pPr>
              <w:spacing w:line="288" w:lineRule="auto"/>
              <w:jc w:val="center"/>
              <w:rPr>
                <w:rFonts w:ascii="Times New Roman" w:hAnsi="Times New Roman"/>
                <w:sz w:val="24"/>
                <w:szCs w:val="24"/>
              </w:rPr>
            </w:pPr>
            <w:r>
              <w:rPr>
                <w:rFonts w:hint="eastAsia" w:ascii="Times New Roman" w:hAnsi="Times New Roman"/>
                <w:sz w:val="24"/>
                <w:szCs w:val="24"/>
              </w:rPr>
              <w:t>应急物资</w:t>
            </w:r>
          </w:p>
        </w:tc>
        <w:tc>
          <w:tcPr>
            <w:tcW w:w="7536" w:type="dxa"/>
            <w:shd w:val="clear" w:color="auto" w:fill="auto"/>
            <w:vAlign w:val="center"/>
          </w:tcPr>
          <w:p>
            <w:pPr>
              <w:spacing w:line="288" w:lineRule="auto"/>
              <w:jc w:val="center"/>
              <w:rPr>
                <w:rFonts w:ascii="Times New Roman" w:hAnsi="Times New Roman"/>
                <w:sz w:val="24"/>
                <w:szCs w:val="24"/>
              </w:rPr>
            </w:pPr>
            <w:r>
              <w:rPr>
                <w:rFonts w:hint="eastAsia" w:ascii="Times New Roman" w:hAnsi="Times New Roman"/>
                <w:sz w:val="24"/>
                <w:szCs w:val="24"/>
              </w:rPr>
              <w:t>消防沙、手套、危废收容桶、防护服</w:t>
            </w:r>
          </w:p>
        </w:tc>
      </w:tr>
    </w:tbl>
    <w:p>
      <w:pPr>
        <w:jc w:val="center"/>
        <w:rPr>
          <w:rFonts w:hint="eastAsia" w:ascii="仿宋" w:hAnsi="仿宋" w:eastAsia="仿宋" w:cs="仿宋"/>
          <w:b/>
          <w:bCs/>
          <w:sz w:val="24"/>
          <w:szCs w:val="24"/>
        </w:rPr>
      </w:pPr>
      <w:r>
        <w:rPr>
          <w:rFonts w:hint="eastAsia" w:ascii="仿宋" w:hAnsi="仿宋" w:eastAsia="仿宋" w:cs="仿宋"/>
          <w:sz w:val="24"/>
          <w:szCs w:val="24"/>
        </w:rPr>
        <w:t>表</w:t>
      </w:r>
      <w:r>
        <w:rPr>
          <w:rFonts w:hint="eastAsia" w:ascii="仿宋" w:hAnsi="仿宋" w:eastAsia="仿宋" w:cs="仿宋"/>
          <w:sz w:val="24"/>
          <w:szCs w:val="24"/>
          <w:lang w:val="en-US" w:eastAsia="zh-CN"/>
        </w:rPr>
        <w:t>7-</w:t>
      </w:r>
      <w:r>
        <w:rPr>
          <w:rFonts w:hint="eastAsia" w:ascii="仿宋" w:hAnsi="仿宋" w:eastAsia="仿宋" w:cs="仿宋"/>
          <w:sz w:val="24"/>
          <w:szCs w:val="24"/>
        </w:rPr>
        <w:t>2-3  关键岗位应急处置卡-3</w:t>
      </w:r>
    </w:p>
    <w:tbl>
      <w:tblPr>
        <w:tblStyle w:val="40"/>
        <w:tblW w:w="88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9"/>
        <w:gridCol w:w="4040"/>
        <w:gridCol w:w="3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269" w:type="dxa"/>
            <w:shd w:val="clear" w:color="auto" w:fill="D7D7D7"/>
            <w:vAlign w:val="center"/>
          </w:tcPr>
          <w:p>
            <w:pPr>
              <w:spacing w:line="288" w:lineRule="auto"/>
              <w:jc w:val="center"/>
              <w:rPr>
                <w:rFonts w:ascii="Times New Roman" w:hAnsi="Times New Roman"/>
                <w:sz w:val="24"/>
                <w:szCs w:val="24"/>
              </w:rPr>
            </w:pPr>
            <w:r>
              <w:rPr>
                <w:rFonts w:hint="eastAsia" w:ascii="Times New Roman" w:hAnsi="Times New Roman"/>
                <w:sz w:val="24"/>
                <w:szCs w:val="24"/>
              </w:rPr>
              <w:t>关键岗位</w:t>
            </w:r>
          </w:p>
        </w:tc>
        <w:tc>
          <w:tcPr>
            <w:tcW w:w="7550" w:type="dxa"/>
            <w:gridSpan w:val="2"/>
            <w:shd w:val="clear" w:color="auto" w:fill="auto"/>
            <w:vAlign w:val="center"/>
          </w:tcPr>
          <w:p>
            <w:pPr>
              <w:spacing w:line="288" w:lineRule="auto"/>
              <w:jc w:val="center"/>
              <w:rPr>
                <w:rFonts w:ascii="Times New Roman" w:hAnsi="Times New Roman"/>
                <w:sz w:val="24"/>
                <w:szCs w:val="24"/>
              </w:rPr>
            </w:pPr>
            <w:r>
              <w:rPr>
                <w:rFonts w:hint="eastAsia" w:ascii="Times New Roman" w:hAnsi="Times New Roman"/>
                <w:sz w:val="24"/>
                <w:szCs w:val="24"/>
              </w:rPr>
              <w:t>火灾事故应急处置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269" w:type="dxa"/>
            <w:shd w:val="clear" w:color="auto" w:fill="D7D7D7"/>
            <w:vAlign w:val="center"/>
          </w:tcPr>
          <w:p>
            <w:pPr>
              <w:spacing w:line="288" w:lineRule="auto"/>
              <w:jc w:val="center"/>
              <w:rPr>
                <w:rFonts w:ascii="Times New Roman" w:hAnsi="Times New Roman"/>
                <w:sz w:val="24"/>
                <w:szCs w:val="24"/>
              </w:rPr>
            </w:pPr>
            <w:r>
              <w:rPr>
                <w:rFonts w:ascii="Times New Roman" w:hAnsi="Times New Roman"/>
                <w:sz w:val="24"/>
                <w:szCs w:val="24"/>
              </w:rPr>
              <w:t>责任人</w:t>
            </w:r>
          </w:p>
        </w:tc>
        <w:tc>
          <w:tcPr>
            <w:tcW w:w="4040" w:type="dxa"/>
            <w:shd w:val="clear" w:color="auto" w:fill="auto"/>
            <w:vAlign w:val="center"/>
          </w:tcPr>
          <w:p>
            <w:pPr>
              <w:spacing w:line="288" w:lineRule="auto"/>
              <w:jc w:val="center"/>
              <w:rPr>
                <w:rFonts w:ascii="Times New Roman" w:hAnsi="Times New Roman"/>
                <w:sz w:val="24"/>
                <w:szCs w:val="24"/>
              </w:rPr>
            </w:pPr>
            <w:r>
              <w:rPr>
                <w:rFonts w:hint="eastAsia" w:ascii="Times New Roman" w:hAnsi="Times New Roman"/>
                <w:sz w:val="24"/>
                <w:szCs w:val="24"/>
                <w:lang w:val="en-US" w:eastAsia="zh-CN"/>
              </w:rPr>
              <w:t xml:space="preserve">刘文德 </w:t>
            </w:r>
            <w:r>
              <w:rPr>
                <w:rFonts w:hint="eastAsia" w:ascii="仿宋" w:hAnsi="仿宋" w:eastAsia="仿宋" w:cs="仿宋"/>
                <w:kern w:val="2"/>
                <w:sz w:val="24"/>
                <w:szCs w:val="24"/>
                <w:vertAlign w:val="baseline"/>
                <w:lang w:val="en-US" w:eastAsia="zh-CN" w:bidi="ar-SA"/>
              </w:rPr>
              <w:t>13207621638</w:t>
            </w:r>
          </w:p>
        </w:tc>
        <w:tc>
          <w:tcPr>
            <w:tcW w:w="3510" w:type="dxa"/>
            <w:shd w:val="clear" w:color="auto" w:fill="auto"/>
            <w:vAlign w:val="center"/>
          </w:tcPr>
          <w:p>
            <w:pPr>
              <w:spacing w:line="288" w:lineRule="auto"/>
              <w:jc w:val="center"/>
              <w:rPr>
                <w:rFonts w:ascii="Times New Roman" w:hAnsi="Times New Roman"/>
                <w:sz w:val="24"/>
                <w:szCs w:val="24"/>
              </w:rPr>
            </w:pPr>
            <w:r>
              <w:rPr>
                <w:rFonts w:hint="eastAsia" w:ascii="Times New Roman" w:hAnsi="Times New Roman"/>
                <w:sz w:val="24"/>
                <w:szCs w:val="24"/>
                <w:lang w:val="en-US" w:eastAsia="zh-CN"/>
              </w:rPr>
              <w:t xml:space="preserve">汤共平 </w:t>
            </w:r>
            <w:r>
              <w:rPr>
                <w:rFonts w:hint="eastAsia" w:ascii="仿宋" w:hAnsi="仿宋" w:eastAsia="仿宋" w:cs="仿宋"/>
                <w:kern w:val="2"/>
                <w:sz w:val="24"/>
                <w:szCs w:val="24"/>
                <w:vertAlign w:val="baseline"/>
                <w:lang w:val="en-US" w:eastAsia="zh-CN" w:bidi="ar-SA"/>
              </w:rPr>
              <w:t>13323451081</w:t>
            </w:r>
            <w:bookmarkStart w:id="234" w:name="_GoBack"/>
            <w:bookmarkEnd w:id="23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0" w:hRule="atLeast"/>
        </w:trPr>
        <w:tc>
          <w:tcPr>
            <w:tcW w:w="1269" w:type="dxa"/>
            <w:shd w:val="clear" w:color="auto" w:fill="D7D7D7"/>
            <w:vAlign w:val="center"/>
          </w:tcPr>
          <w:p>
            <w:pPr>
              <w:spacing w:line="288" w:lineRule="auto"/>
              <w:jc w:val="center"/>
              <w:rPr>
                <w:rFonts w:ascii="Times New Roman" w:hAnsi="Times New Roman"/>
                <w:sz w:val="24"/>
                <w:szCs w:val="24"/>
              </w:rPr>
            </w:pPr>
            <w:r>
              <w:rPr>
                <w:rFonts w:ascii="Times New Roman" w:hAnsi="Times New Roman"/>
                <w:sz w:val="24"/>
                <w:szCs w:val="24"/>
              </w:rPr>
              <w:t>应急处置要求</w:t>
            </w:r>
          </w:p>
        </w:tc>
        <w:tc>
          <w:tcPr>
            <w:tcW w:w="4040" w:type="dxa"/>
            <w:shd w:val="clear" w:color="auto" w:fill="auto"/>
            <w:vAlign w:val="center"/>
          </w:tcPr>
          <w:p>
            <w:pPr>
              <w:numPr>
                <w:ilvl w:val="0"/>
                <w:numId w:val="9"/>
              </w:numPr>
              <w:spacing w:line="288" w:lineRule="auto"/>
              <w:jc w:val="center"/>
              <w:rPr>
                <w:rFonts w:ascii="Times New Roman" w:hAnsi="Times New Roman"/>
                <w:sz w:val="24"/>
                <w:szCs w:val="24"/>
              </w:rPr>
            </w:pPr>
            <w:r>
              <w:rPr>
                <w:rFonts w:hint="eastAsia" w:ascii="Times New Roman" w:hAnsi="Times New Roman"/>
                <w:sz w:val="24"/>
                <w:szCs w:val="24"/>
              </w:rPr>
              <w:t>将现场燃烧废物放入收集桶</w:t>
            </w:r>
          </w:p>
          <w:p>
            <w:pPr>
              <w:numPr>
                <w:ilvl w:val="0"/>
                <w:numId w:val="9"/>
              </w:numPr>
              <w:spacing w:line="288" w:lineRule="auto"/>
              <w:jc w:val="center"/>
              <w:rPr>
                <w:rFonts w:ascii="Times New Roman" w:hAnsi="Times New Roman"/>
                <w:sz w:val="24"/>
                <w:szCs w:val="24"/>
              </w:rPr>
            </w:pPr>
            <w:r>
              <w:rPr>
                <w:rFonts w:hint="eastAsia" w:ascii="Times New Roman" w:hAnsi="Times New Roman"/>
                <w:sz w:val="24"/>
                <w:szCs w:val="24"/>
              </w:rPr>
              <w:t>用消防沙吸附未燃烧的泄漏物，将现场清理干净。吸附废物作为危废放入收容桶，暂存于危废间。</w:t>
            </w:r>
          </w:p>
        </w:tc>
        <w:tc>
          <w:tcPr>
            <w:tcW w:w="3510" w:type="dxa"/>
            <w:shd w:val="clear" w:color="auto" w:fill="auto"/>
            <w:vAlign w:val="center"/>
          </w:tcPr>
          <w:p>
            <w:pPr>
              <w:numPr>
                <w:ilvl w:val="0"/>
                <w:numId w:val="10"/>
              </w:numPr>
              <w:spacing w:line="288" w:lineRule="auto"/>
              <w:jc w:val="center"/>
              <w:rPr>
                <w:rFonts w:ascii="Times New Roman" w:hAnsi="Times New Roman"/>
                <w:sz w:val="24"/>
                <w:szCs w:val="24"/>
              </w:rPr>
            </w:pPr>
            <w:r>
              <w:rPr>
                <w:rFonts w:hint="eastAsia" w:ascii="Times New Roman" w:hAnsi="Times New Roman"/>
                <w:sz w:val="24"/>
                <w:szCs w:val="24"/>
              </w:rPr>
              <w:t>准备必要应急物资</w:t>
            </w:r>
          </w:p>
          <w:p>
            <w:pPr>
              <w:numPr>
                <w:ilvl w:val="0"/>
                <w:numId w:val="10"/>
              </w:numPr>
              <w:spacing w:line="288" w:lineRule="auto"/>
              <w:jc w:val="center"/>
              <w:rPr>
                <w:rFonts w:ascii="Times New Roman" w:hAnsi="Times New Roman"/>
                <w:sz w:val="24"/>
                <w:szCs w:val="24"/>
              </w:rPr>
            </w:pPr>
            <w:r>
              <w:rPr>
                <w:rFonts w:hint="eastAsia" w:ascii="Times New Roman" w:hAnsi="Times New Roman"/>
                <w:sz w:val="24"/>
                <w:szCs w:val="24"/>
              </w:rPr>
              <w:t>一旦污染物产生量较大，</w:t>
            </w:r>
            <w:r>
              <w:rPr>
                <w:rFonts w:ascii="Times New Roman" w:hAnsi="Times New Roman"/>
                <w:sz w:val="24"/>
                <w:szCs w:val="24"/>
              </w:rPr>
              <w:t>第一时间</w:t>
            </w:r>
            <w:r>
              <w:rPr>
                <w:rFonts w:hint="eastAsia" w:ascii="Times New Roman" w:hAnsi="Times New Roman"/>
                <w:sz w:val="24"/>
                <w:szCs w:val="24"/>
                <w:lang w:val="en-US" w:eastAsia="zh-CN"/>
              </w:rPr>
              <w:t>封堵雨水口，防止污染水进入雨水管道。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269" w:type="dxa"/>
            <w:shd w:val="clear" w:color="auto" w:fill="D7D7D7"/>
            <w:vAlign w:val="center"/>
          </w:tcPr>
          <w:p>
            <w:pPr>
              <w:spacing w:line="288" w:lineRule="auto"/>
              <w:jc w:val="center"/>
              <w:rPr>
                <w:rFonts w:ascii="Times New Roman" w:hAnsi="Times New Roman"/>
                <w:sz w:val="24"/>
                <w:szCs w:val="24"/>
              </w:rPr>
            </w:pPr>
            <w:r>
              <w:rPr>
                <w:rFonts w:hint="eastAsia" w:ascii="Times New Roman" w:hAnsi="Times New Roman"/>
                <w:sz w:val="24"/>
                <w:szCs w:val="24"/>
              </w:rPr>
              <w:t>上报须知</w:t>
            </w:r>
          </w:p>
        </w:tc>
        <w:tc>
          <w:tcPr>
            <w:tcW w:w="7550" w:type="dxa"/>
            <w:gridSpan w:val="2"/>
            <w:shd w:val="clear" w:color="auto" w:fill="auto"/>
            <w:vAlign w:val="center"/>
          </w:tcPr>
          <w:p>
            <w:pPr>
              <w:spacing w:line="288" w:lineRule="auto"/>
              <w:jc w:val="center"/>
              <w:rPr>
                <w:rFonts w:ascii="Times New Roman" w:hAnsi="Times New Roman"/>
                <w:sz w:val="24"/>
                <w:szCs w:val="24"/>
              </w:rPr>
            </w:pPr>
            <w:r>
              <w:rPr>
                <w:rFonts w:hint="eastAsia" w:ascii="Times New Roman" w:hAnsi="Times New Roman"/>
                <w:sz w:val="24"/>
                <w:szCs w:val="24"/>
              </w:rPr>
              <w:t>若现场处置无法控制，第一时间上报应急指挥办公室</w:t>
            </w:r>
            <w:r>
              <w:rPr>
                <w:rFonts w:hint="eastAsia" w:ascii="Times New Roman" w:hAnsi="Times New Roman"/>
                <w:sz w:val="24"/>
                <w:szCs w:val="24"/>
                <w:highlight w:val="none"/>
              </w:rPr>
              <w:t>（</w:t>
            </w:r>
            <w:r>
              <w:rPr>
                <w:rFonts w:hint="eastAsia" w:ascii="仿宋" w:hAnsi="仿宋" w:eastAsia="仿宋" w:cs="仿宋"/>
                <w:sz w:val="24"/>
                <w:szCs w:val="24"/>
                <w:lang w:val="en-US" w:eastAsia="zh-CN"/>
              </w:rPr>
              <w:t>13752798575</w:t>
            </w:r>
            <w:r>
              <w:rPr>
                <w:rFonts w:hint="eastAsia" w:ascii="Times New Roman" w:hAnsi="Times New Roman"/>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1269" w:type="dxa"/>
            <w:shd w:val="clear" w:color="auto" w:fill="D7D7D7"/>
            <w:vAlign w:val="center"/>
          </w:tcPr>
          <w:p>
            <w:pPr>
              <w:spacing w:line="288" w:lineRule="auto"/>
              <w:jc w:val="center"/>
              <w:rPr>
                <w:rFonts w:ascii="Times New Roman" w:hAnsi="Times New Roman"/>
                <w:sz w:val="24"/>
                <w:szCs w:val="24"/>
              </w:rPr>
            </w:pPr>
            <w:r>
              <w:rPr>
                <w:rFonts w:hint="eastAsia" w:ascii="Times New Roman" w:hAnsi="Times New Roman"/>
                <w:sz w:val="24"/>
                <w:szCs w:val="24"/>
              </w:rPr>
              <w:t>应急物资</w:t>
            </w:r>
          </w:p>
        </w:tc>
        <w:tc>
          <w:tcPr>
            <w:tcW w:w="7550" w:type="dxa"/>
            <w:gridSpan w:val="2"/>
            <w:shd w:val="clear" w:color="auto" w:fill="auto"/>
            <w:vAlign w:val="center"/>
          </w:tcPr>
          <w:p>
            <w:pPr>
              <w:spacing w:line="288" w:lineRule="auto"/>
              <w:jc w:val="center"/>
              <w:rPr>
                <w:rFonts w:ascii="Times New Roman" w:hAnsi="Times New Roman"/>
                <w:sz w:val="24"/>
                <w:szCs w:val="24"/>
              </w:rPr>
            </w:pPr>
            <w:r>
              <w:rPr>
                <w:rFonts w:hint="eastAsia" w:ascii="Times New Roman" w:hAnsi="Times New Roman"/>
                <w:sz w:val="24"/>
                <w:szCs w:val="24"/>
              </w:rPr>
              <w:t>应急物资需求：消防沙、手套、危废收容桶、防护服</w:t>
            </w:r>
          </w:p>
        </w:tc>
      </w:tr>
    </w:tbl>
    <w:p>
      <w:pPr>
        <w:pStyle w:val="39"/>
        <w:ind w:left="0" w:leftChars="0" w:firstLine="0" w:firstLineChars="0"/>
      </w:pPr>
    </w:p>
    <w:p>
      <w:pPr>
        <w:outlineLvl w:val="1"/>
        <w:rPr>
          <w:rFonts w:hint="eastAsia" w:ascii="仿宋" w:hAnsi="仿宋" w:eastAsia="仿宋" w:cs="仿宋"/>
          <w:b/>
          <w:bCs/>
          <w:szCs w:val="28"/>
        </w:rPr>
      </w:pPr>
      <w:bookmarkStart w:id="105" w:name="_Toc945"/>
      <w:bookmarkStart w:id="106" w:name="_Toc2675"/>
      <w:r>
        <w:rPr>
          <w:rFonts w:hint="eastAsia" w:ascii="仿宋" w:hAnsi="仿宋" w:eastAsia="仿宋" w:cs="仿宋"/>
          <w:b/>
          <w:bCs/>
          <w:szCs w:val="28"/>
          <w:lang w:val="en-US" w:eastAsia="zh-CN"/>
        </w:rPr>
        <w:t>7</w:t>
      </w:r>
      <w:r>
        <w:rPr>
          <w:rFonts w:hint="eastAsia" w:ascii="仿宋" w:hAnsi="仿宋" w:eastAsia="仿宋" w:cs="仿宋"/>
          <w:b/>
          <w:bCs/>
          <w:szCs w:val="28"/>
        </w:rPr>
        <w:t>.3应急设施（备）及应急物资的启用程序</w:t>
      </w:r>
      <w:bookmarkEnd w:id="104"/>
      <w:bookmarkEnd w:id="105"/>
      <w:bookmarkEnd w:id="106"/>
    </w:p>
    <w:p>
      <w:pPr>
        <w:ind w:firstLine="560" w:firstLineChars="200"/>
        <w:rPr>
          <w:rFonts w:ascii="Times New Roman" w:hAnsi="Times New Roman"/>
          <w:sz w:val="28"/>
          <w:szCs w:val="28"/>
        </w:rPr>
      </w:pPr>
      <w:r>
        <w:rPr>
          <w:rFonts w:ascii="Times New Roman" w:hAnsi="Times New Roman"/>
          <w:sz w:val="28"/>
          <w:szCs w:val="28"/>
        </w:rPr>
        <w:t>公司</w:t>
      </w:r>
      <w:r>
        <w:rPr>
          <w:rFonts w:hint="eastAsia" w:ascii="Times New Roman" w:hAnsi="Times New Roman"/>
          <w:sz w:val="28"/>
          <w:szCs w:val="28"/>
        </w:rPr>
        <w:t>设有应急物资暂存柜</w:t>
      </w:r>
      <w:r>
        <w:rPr>
          <w:rFonts w:ascii="Times New Roman" w:hAnsi="Times New Roman"/>
          <w:sz w:val="28"/>
          <w:szCs w:val="28"/>
        </w:rPr>
        <w:t>，</w:t>
      </w:r>
      <w:r>
        <w:rPr>
          <w:rFonts w:hint="eastAsia" w:ascii="Times New Roman" w:hAnsi="Times New Roman"/>
          <w:sz w:val="28"/>
          <w:szCs w:val="28"/>
        </w:rPr>
        <w:t>暂存柜钥匙保管人及联系方式为：</w:t>
      </w:r>
    </w:p>
    <w:p>
      <w:pPr>
        <w:ind w:firstLine="560" w:firstLineChars="200"/>
        <w:rPr>
          <w:rFonts w:hint="default" w:ascii="Times New Roman" w:hAnsi="Times New Roman"/>
          <w:sz w:val="28"/>
          <w:szCs w:val="28"/>
          <w:lang w:val="en-US" w:eastAsia="zh-CN"/>
        </w:rPr>
      </w:pPr>
      <w:bookmarkStart w:id="107" w:name="_Toc11456_WPSOffice_Level2"/>
      <w:r>
        <w:rPr>
          <w:rFonts w:hint="eastAsia" w:ascii="Times New Roman" w:hAnsi="Times New Roman"/>
          <w:sz w:val="28"/>
          <w:szCs w:val="28"/>
        </w:rPr>
        <w:t>汤共平：</w:t>
      </w:r>
      <w:r>
        <w:rPr>
          <w:rFonts w:hint="eastAsia" w:ascii="Times New Roman" w:hAnsi="Times New Roman"/>
          <w:sz w:val="28"/>
          <w:szCs w:val="28"/>
          <w:lang w:val="en-US" w:eastAsia="zh-CN"/>
        </w:rPr>
        <w:t>13323451081</w:t>
      </w:r>
    </w:p>
    <w:p>
      <w:pPr>
        <w:outlineLvl w:val="1"/>
        <w:rPr>
          <w:rFonts w:hint="eastAsia" w:ascii="仿宋" w:hAnsi="仿宋" w:eastAsia="仿宋" w:cs="仿宋"/>
          <w:b/>
          <w:bCs/>
          <w:szCs w:val="28"/>
        </w:rPr>
      </w:pPr>
      <w:bookmarkStart w:id="108" w:name="_Toc16832"/>
      <w:bookmarkStart w:id="109" w:name="_Toc2043"/>
      <w:r>
        <w:rPr>
          <w:rFonts w:hint="eastAsia" w:ascii="仿宋" w:hAnsi="仿宋" w:eastAsia="仿宋" w:cs="仿宋"/>
          <w:b/>
          <w:bCs/>
          <w:szCs w:val="28"/>
          <w:lang w:val="en-US" w:eastAsia="zh-CN"/>
        </w:rPr>
        <w:t>7</w:t>
      </w:r>
      <w:r>
        <w:rPr>
          <w:rFonts w:hint="eastAsia" w:ascii="仿宋" w:hAnsi="仿宋" w:eastAsia="仿宋" w:cs="仿宋"/>
          <w:b/>
          <w:bCs/>
          <w:szCs w:val="28"/>
        </w:rPr>
        <w:t>.4人员紧急撤离和疏散</w:t>
      </w:r>
      <w:bookmarkEnd w:id="107"/>
      <w:bookmarkEnd w:id="108"/>
      <w:bookmarkEnd w:id="109"/>
    </w:p>
    <w:p>
      <w:pPr>
        <w:ind w:firstLine="560" w:firstLineChars="200"/>
        <w:rPr>
          <w:rFonts w:hint="eastAsia" w:ascii="仿宋" w:hAnsi="仿宋" w:eastAsia="仿宋" w:cs="仿宋"/>
          <w:szCs w:val="28"/>
        </w:rPr>
      </w:pPr>
      <w:r>
        <w:rPr>
          <w:rFonts w:hint="eastAsia" w:ascii="仿宋" w:hAnsi="仿宋" w:eastAsia="仿宋" w:cs="仿宋"/>
          <w:szCs w:val="28"/>
        </w:rPr>
        <w:t>本公司风险物质暂存量较小，成产规模较小，根据风险评估分析，突发环境事件对环境的危害较小。突发火灾/爆炸环境事件时，需要在厂区内设立警戒，禁止无关人员进入警戒范围内。若事故短时间无法得到有效控制，需配合有关部门对现场进行人员疏散，疏散时应向事故发生的上风向或侧风向快速撤离。</w:t>
      </w:r>
    </w:p>
    <w:p>
      <w:pPr>
        <w:rPr>
          <w:rFonts w:ascii="Times New Roman" w:hAnsi="Times New Roman"/>
          <w:szCs w:val="28"/>
        </w:rPr>
      </w:pPr>
      <w:bookmarkStart w:id="110" w:name="_Toc382151144"/>
      <w:bookmarkStart w:id="111" w:name="_Toc335765606"/>
      <w:bookmarkStart w:id="112" w:name="_Toc12621"/>
      <w:bookmarkStart w:id="113" w:name="_Toc268247552"/>
      <w:bookmarkStart w:id="114" w:name="_Toc28293_WPSOffice_Level2"/>
    </w:p>
    <w:p>
      <w:pPr>
        <w:outlineLvl w:val="9"/>
        <w:rPr>
          <w:rFonts w:hint="eastAsia" w:ascii="Times New Roman" w:hAnsi="Times New Roman"/>
          <w:b/>
          <w:bCs/>
          <w:szCs w:val="28"/>
          <w:lang w:val="en-US" w:eastAsia="zh-CN"/>
        </w:rPr>
      </w:pPr>
    </w:p>
    <w:p>
      <w:pPr>
        <w:outlineLvl w:val="9"/>
        <w:rPr>
          <w:rFonts w:hint="eastAsia" w:ascii="Times New Roman" w:hAnsi="Times New Roman"/>
          <w:b/>
          <w:bCs/>
          <w:szCs w:val="28"/>
          <w:lang w:val="en-US" w:eastAsia="zh-CN"/>
        </w:rPr>
      </w:pPr>
    </w:p>
    <w:p>
      <w:pPr>
        <w:outlineLvl w:val="9"/>
        <w:rPr>
          <w:rFonts w:hint="eastAsia" w:ascii="Times New Roman" w:hAnsi="Times New Roman"/>
          <w:b/>
          <w:bCs/>
          <w:szCs w:val="28"/>
          <w:lang w:val="en-US" w:eastAsia="zh-CN"/>
        </w:rPr>
      </w:pPr>
    </w:p>
    <w:p>
      <w:pPr>
        <w:outlineLvl w:val="9"/>
        <w:rPr>
          <w:rFonts w:hint="eastAsia" w:ascii="Times New Roman" w:hAnsi="Times New Roman"/>
          <w:b/>
          <w:bCs/>
          <w:szCs w:val="28"/>
          <w:lang w:val="en-US" w:eastAsia="zh-CN"/>
        </w:rPr>
      </w:pPr>
    </w:p>
    <w:p>
      <w:pPr>
        <w:outlineLvl w:val="9"/>
        <w:rPr>
          <w:rFonts w:hint="eastAsia" w:ascii="Times New Roman" w:hAnsi="Times New Roman"/>
          <w:b/>
          <w:bCs/>
          <w:szCs w:val="28"/>
          <w:lang w:val="en-US" w:eastAsia="zh-CN"/>
        </w:rPr>
      </w:pPr>
    </w:p>
    <w:p>
      <w:pPr>
        <w:outlineLvl w:val="9"/>
        <w:rPr>
          <w:rFonts w:hint="eastAsia" w:ascii="Times New Roman" w:hAnsi="Times New Roman"/>
          <w:b/>
          <w:bCs/>
          <w:szCs w:val="28"/>
          <w:lang w:val="en-US" w:eastAsia="zh-CN"/>
        </w:rPr>
      </w:pPr>
    </w:p>
    <w:p>
      <w:pPr>
        <w:outlineLvl w:val="9"/>
        <w:rPr>
          <w:rFonts w:hint="eastAsia" w:ascii="Times New Roman" w:hAnsi="Times New Roman"/>
          <w:b/>
          <w:bCs/>
          <w:szCs w:val="28"/>
          <w:lang w:val="en-US" w:eastAsia="zh-CN"/>
        </w:rPr>
      </w:pPr>
    </w:p>
    <w:p>
      <w:pPr>
        <w:outlineLvl w:val="9"/>
        <w:rPr>
          <w:rFonts w:hint="eastAsia" w:ascii="Times New Roman" w:hAnsi="Times New Roman"/>
          <w:b/>
          <w:bCs/>
          <w:szCs w:val="28"/>
          <w:lang w:val="en-US" w:eastAsia="zh-CN"/>
        </w:rPr>
      </w:pPr>
    </w:p>
    <w:p>
      <w:pPr>
        <w:outlineLvl w:val="9"/>
        <w:rPr>
          <w:rFonts w:hint="eastAsia" w:ascii="Times New Roman" w:hAnsi="Times New Roman"/>
          <w:b/>
          <w:bCs/>
          <w:szCs w:val="28"/>
          <w:lang w:val="en-US" w:eastAsia="zh-CN"/>
        </w:rPr>
      </w:pPr>
    </w:p>
    <w:p>
      <w:pPr>
        <w:outlineLvl w:val="9"/>
        <w:rPr>
          <w:rFonts w:hint="eastAsia" w:ascii="Times New Roman" w:hAnsi="Times New Roman"/>
          <w:b/>
          <w:bCs/>
          <w:szCs w:val="28"/>
          <w:lang w:val="en-US" w:eastAsia="zh-CN"/>
        </w:rPr>
      </w:pPr>
    </w:p>
    <w:p>
      <w:pPr>
        <w:outlineLvl w:val="9"/>
        <w:rPr>
          <w:rFonts w:hint="eastAsia" w:ascii="Times New Roman" w:hAnsi="Times New Roman"/>
          <w:b/>
          <w:bCs/>
          <w:szCs w:val="28"/>
          <w:lang w:val="en-US" w:eastAsia="zh-CN"/>
        </w:rPr>
      </w:pPr>
    </w:p>
    <w:p>
      <w:pPr>
        <w:outlineLvl w:val="9"/>
        <w:rPr>
          <w:rFonts w:hint="eastAsia" w:ascii="Times New Roman" w:hAnsi="Times New Roman"/>
          <w:b/>
          <w:bCs/>
          <w:szCs w:val="28"/>
          <w:lang w:val="en-US" w:eastAsia="zh-CN"/>
        </w:rPr>
      </w:pPr>
    </w:p>
    <w:p>
      <w:pPr>
        <w:outlineLvl w:val="9"/>
        <w:rPr>
          <w:rFonts w:hint="eastAsia" w:ascii="Times New Roman" w:hAnsi="Times New Roman"/>
          <w:b/>
          <w:bCs/>
          <w:szCs w:val="28"/>
          <w:lang w:val="en-US" w:eastAsia="zh-CN"/>
        </w:rPr>
      </w:pPr>
    </w:p>
    <w:p>
      <w:pPr>
        <w:outlineLvl w:val="0"/>
        <w:rPr>
          <w:rFonts w:hint="eastAsia" w:ascii="仿宋" w:hAnsi="仿宋" w:eastAsia="仿宋" w:cs="仿宋"/>
          <w:b/>
          <w:bCs/>
          <w:szCs w:val="28"/>
          <w:lang w:val="en-US" w:eastAsia="zh-CN"/>
        </w:rPr>
      </w:pPr>
      <w:bookmarkStart w:id="115" w:name="_Toc10122"/>
      <w:bookmarkStart w:id="116" w:name="_Toc19712"/>
    </w:p>
    <w:p>
      <w:pPr>
        <w:outlineLvl w:val="0"/>
        <w:rPr>
          <w:rFonts w:hint="eastAsia" w:ascii="仿宋" w:hAnsi="仿宋" w:eastAsia="仿宋" w:cs="仿宋"/>
          <w:b/>
          <w:bCs/>
          <w:szCs w:val="28"/>
          <w:lang w:val="en-US" w:eastAsia="zh-CN"/>
        </w:rPr>
      </w:pPr>
    </w:p>
    <w:p>
      <w:pPr>
        <w:outlineLvl w:val="0"/>
        <w:rPr>
          <w:rFonts w:hint="eastAsia" w:ascii="仿宋" w:hAnsi="仿宋" w:eastAsia="仿宋" w:cs="仿宋"/>
          <w:b/>
          <w:bCs/>
          <w:szCs w:val="28"/>
        </w:rPr>
      </w:pPr>
      <w:r>
        <w:rPr>
          <w:rFonts w:hint="eastAsia" w:ascii="仿宋" w:hAnsi="仿宋" w:eastAsia="仿宋" w:cs="仿宋"/>
          <w:b/>
          <w:bCs/>
          <w:szCs w:val="28"/>
          <w:lang w:val="en-US" w:eastAsia="zh-CN"/>
        </w:rPr>
        <w:t>8</w:t>
      </w:r>
      <w:r>
        <w:rPr>
          <w:rFonts w:hint="eastAsia" w:ascii="仿宋" w:hAnsi="仿宋" w:eastAsia="仿宋" w:cs="仿宋"/>
          <w:b/>
          <w:bCs/>
          <w:szCs w:val="28"/>
        </w:rPr>
        <w:t>.应急监测</w:t>
      </w:r>
      <w:bookmarkEnd w:id="115"/>
      <w:bookmarkEnd w:id="116"/>
    </w:p>
    <w:p>
      <w:pPr>
        <w:ind w:firstLine="560" w:firstLineChars="200"/>
        <w:rPr>
          <w:rFonts w:ascii="Times New Roman" w:hAnsi="Times New Roman"/>
          <w:szCs w:val="28"/>
        </w:rPr>
      </w:pPr>
      <w:r>
        <w:rPr>
          <w:rFonts w:ascii="Times New Roman" w:hAnsi="Times New Roman"/>
          <w:szCs w:val="28"/>
        </w:rPr>
        <w:t>当突发环境事件可能对外部环境产生影响时，需要进行应急监测。</w:t>
      </w:r>
    </w:p>
    <w:p>
      <w:pPr>
        <w:ind w:firstLine="560" w:firstLineChars="200"/>
        <w:rPr>
          <w:rFonts w:ascii="Times New Roman" w:hAnsi="Times New Roman"/>
          <w:szCs w:val="28"/>
        </w:rPr>
      </w:pPr>
      <w:r>
        <w:rPr>
          <w:rFonts w:ascii="Times New Roman" w:hAnsi="Times New Roman"/>
          <w:szCs w:val="28"/>
        </w:rPr>
        <w:t>当发生社会级事件时，</w:t>
      </w:r>
      <w:r>
        <w:rPr>
          <w:rFonts w:hint="eastAsia" w:ascii="Times New Roman" w:hAnsi="Times New Roman"/>
          <w:szCs w:val="28"/>
          <w:lang w:val="en-US" w:eastAsia="zh-CN"/>
        </w:rPr>
        <w:t>应及时上报经开区生态环境局，同时</w:t>
      </w:r>
      <w:r>
        <w:rPr>
          <w:rFonts w:ascii="Times New Roman" w:hAnsi="Times New Roman"/>
          <w:szCs w:val="28"/>
        </w:rPr>
        <w:t>应急</w:t>
      </w:r>
      <w:r>
        <w:rPr>
          <w:rFonts w:hint="eastAsia" w:ascii="Times New Roman" w:hAnsi="Times New Roman"/>
          <w:szCs w:val="28"/>
          <w:lang w:val="en-US" w:eastAsia="zh-CN"/>
        </w:rPr>
        <w:t>疏散</w:t>
      </w:r>
      <w:r>
        <w:rPr>
          <w:rFonts w:ascii="Times New Roman" w:hAnsi="Times New Roman"/>
          <w:szCs w:val="28"/>
        </w:rPr>
        <w:t>组</w:t>
      </w:r>
      <w:r>
        <w:rPr>
          <w:rFonts w:hint="eastAsia" w:ascii="Times New Roman" w:hAnsi="Times New Roman"/>
          <w:szCs w:val="28"/>
          <w:lang w:val="en-US" w:eastAsia="zh-CN"/>
        </w:rPr>
        <w:t>联系</w:t>
      </w:r>
      <w:r>
        <w:rPr>
          <w:rFonts w:ascii="Times New Roman" w:hAnsi="Times New Roman"/>
          <w:szCs w:val="28"/>
        </w:rPr>
        <w:t>外部</w:t>
      </w:r>
      <w:r>
        <w:rPr>
          <w:rFonts w:hint="eastAsia" w:ascii="Times New Roman" w:hAnsi="Times New Roman"/>
          <w:szCs w:val="28"/>
          <w:lang w:val="en-US" w:eastAsia="zh-CN"/>
        </w:rPr>
        <w:t>应急</w:t>
      </w:r>
      <w:r>
        <w:rPr>
          <w:rFonts w:ascii="Times New Roman" w:hAnsi="Times New Roman"/>
          <w:szCs w:val="28"/>
        </w:rPr>
        <w:t>监测单位依据事故情形对周边大气环境、地表水体进行应急监测。</w:t>
      </w:r>
    </w:p>
    <w:p>
      <w:pPr>
        <w:outlineLvl w:val="1"/>
        <w:rPr>
          <w:rFonts w:hint="eastAsia" w:ascii="仿宋" w:hAnsi="仿宋" w:eastAsia="仿宋" w:cs="仿宋"/>
          <w:szCs w:val="28"/>
        </w:rPr>
      </w:pPr>
      <w:bookmarkStart w:id="117" w:name="_Toc10236"/>
      <w:bookmarkStart w:id="118" w:name="_Toc18245"/>
      <w:r>
        <w:rPr>
          <w:rFonts w:hint="eastAsia" w:ascii="仿宋" w:hAnsi="仿宋" w:eastAsia="仿宋" w:cs="仿宋"/>
          <w:b/>
          <w:bCs/>
          <w:szCs w:val="28"/>
          <w:lang w:val="en-US" w:eastAsia="zh-CN"/>
        </w:rPr>
        <w:t>8</w:t>
      </w:r>
      <w:r>
        <w:rPr>
          <w:rFonts w:hint="eastAsia" w:ascii="仿宋" w:hAnsi="仿宋" w:eastAsia="仿宋" w:cs="仿宋"/>
          <w:b/>
          <w:bCs/>
          <w:szCs w:val="28"/>
        </w:rPr>
        <w:t>.1大气环境监测方案</w:t>
      </w:r>
      <w:bookmarkEnd w:id="117"/>
      <w:bookmarkEnd w:id="118"/>
    </w:p>
    <w:p>
      <w:pPr>
        <w:ind w:firstLine="560" w:firstLineChars="200"/>
        <w:rPr>
          <w:rFonts w:ascii="Times New Roman" w:hAnsi="Times New Roman"/>
          <w:szCs w:val="28"/>
        </w:rPr>
      </w:pPr>
      <w:r>
        <w:rPr>
          <w:rFonts w:ascii="Times New Roman" w:hAnsi="Times New Roman"/>
          <w:szCs w:val="28"/>
        </w:rPr>
        <w:t>监测点位：以事故地点为中心，在下风向按一定间隔的扇形或圆形布点，并根据污染物的特性在不同高度采样，同时在事故点的上风向适当位置布设对照点，同时在大气环境风险受体处依据需要布设点位。根据风向变化随时调整点位。</w:t>
      </w:r>
    </w:p>
    <w:p>
      <w:pPr>
        <w:ind w:firstLine="560" w:firstLineChars="200"/>
        <w:rPr>
          <w:rFonts w:ascii="Times New Roman" w:hAnsi="Times New Roman"/>
          <w:szCs w:val="28"/>
        </w:rPr>
      </w:pPr>
      <w:r>
        <w:rPr>
          <w:rFonts w:ascii="Times New Roman" w:hAnsi="Times New Roman"/>
          <w:szCs w:val="28"/>
        </w:rPr>
        <w:t>监测频次：根据现场污染状况确定。事故刚发生时，采样频次适当增加，待摸清污染物变化规律后，可减少采样频次。</w:t>
      </w:r>
    </w:p>
    <w:p>
      <w:pPr>
        <w:ind w:firstLine="560" w:firstLineChars="200"/>
        <w:rPr>
          <w:rFonts w:ascii="Times New Roman" w:hAnsi="Times New Roman"/>
          <w:szCs w:val="28"/>
        </w:rPr>
      </w:pPr>
      <w:r>
        <w:rPr>
          <w:rFonts w:ascii="Times New Roman" w:hAnsi="Times New Roman"/>
          <w:szCs w:val="28"/>
        </w:rPr>
        <w:t>监测因子如表所示。</w:t>
      </w:r>
    </w:p>
    <w:p>
      <w:pPr>
        <w:tabs>
          <w:tab w:val="left" w:pos="426"/>
        </w:tabs>
        <w:jc w:val="center"/>
        <w:rPr>
          <w:rFonts w:ascii="Times New Roman" w:hAnsi="Times New Roman"/>
          <w:b/>
          <w:bCs/>
          <w:sz w:val="24"/>
          <w:szCs w:val="24"/>
        </w:rPr>
      </w:pPr>
      <w:r>
        <w:rPr>
          <w:rFonts w:hint="eastAsia" w:ascii="仿宋" w:hAnsi="仿宋" w:eastAsia="仿宋" w:cs="仿宋"/>
          <w:sz w:val="24"/>
          <w:szCs w:val="24"/>
        </w:rPr>
        <w:t>表</w:t>
      </w:r>
      <w:r>
        <w:rPr>
          <w:rFonts w:hint="eastAsia" w:ascii="仿宋" w:hAnsi="仿宋" w:eastAsia="仿宋" w:cs="仿宋"/>
          <w:sz w:val="24"/>
          <w:szCs w:val="24"/>
          <w:lang w:val="en-US" w:eastAsia="zh-CN"/>
        </w:rPr>
        <w:t>8-</w:t>
      </w:r>
      <w:r>
        <w:rPr>
          <w:rFonts w:hint="eastAsia" w:ascii="仿宋" w:hAnsi="仿宋" w:eastAsia="仿宋" w:cs="仿宋"/>
          <w:sz w:val="24"/>
          <w:szCs w:val="24"/>
        </w:rPr>
        <w:t>1-1 大气环境应急监测因子</w:t>
      </w:r>
    </w:p>
    <w:tbl>
      <w:tblPr>
        <w:tblStyle w:val="40"/>
        <w:tblW w:w="87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3"/>
        <w:gridCol w:w="2093"/>
        <w:gridCol w:w="2178"/>
        <w:gridCol w:w="22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2323" w:type="dxa"/>
            <w:shd w:val="clear" w:color="auto" w:fill="D9D9D9"/>
            <w:vAlign w:val="center"/>
          </w:tcPr>
          <w:p>
            <w:pPr>
              <w:adjustRightInd w:val="0"/>
              <w:snapToGrid w:val="0"/>
              <w:spacing w:line="288" w:lineRule="auto"/>
              <w:jc w:val="center"/>
              <w:rPr>
                <w:rFonts w:ascii="Times New Roman" w:hAnsi="Times New Roman"/>
                <w:sz w:val="24"/>
                <w:szCs w:val="24"/>
              </w:rPr>
            </w:pPr>
            <w:r>
              <w:rPr>
                <w:rFonts w:ascii="Times New Roman" w:hAnsi="Times New Roman"/>
                <w:sz w:val="24"/>
                <w:szCs w:val="24"/>
              </w:rPr>
              <w:t>事故类型</w:t>
            </w:r>
          </w:p>
        </w:tc>
        <w:tc>
          <w:tcPr>
            <w:tcW w:w="2093" w:type="dxa"/>
            <w:shd w:val="clear" w:color="auto" w:fill="D9D9D9"/>
            <w:vAlign w:val="center"/>
          </w:tcPr>
          <w:p>
            <w:pPr>
              <w:adjustRightInd w:val="0"/>
              <w:snapToGrid w:val="0"/>
              <w:spacing w:line="288" w:lineRule="auto"/>
              <w:jc w:val="center"/>
              <w:rPr>
                <w:rFonts w:ascii="Times New Roman" w:hAnsi="Times New Roman"/>
                <w:sz w:val="24"/>
                <w:szCs w:val="24"/>
              </w:rPr>
            </w:pPr>
            <w:r>
              <w:rPr>
                <w:rFonts w:ascii="Times New Roman" w:hAnsi="Times New Roman"/>
                <w:sz w:val="24"/>
                <w:szCs w:val="24"/>
              </w:rPr>
              <w:t>响应级别</w:t>
            </w:r>
          </w:p>
        </w:tc>
        <w:tc>
          <w:tcPr>
            <w:tcW w:w="2178" w:type="dxa"/>
            <w:shd w:val="clear" w:color="auto" w:fill="D9D9D9"/>
            <w:vAlign w:val="center"/>
          </w:tcPr>
          <w:p>
            <w:pPr>
              <w:adjustRightInd w:val="0"/>
              <w:snapToGrid w:val="0"/>
              <w:spacing w:line="288" w:lineRule="auto"/>
              <w:jc w:val="center"/>
              <w:rPr>
                <w:rFonts w:ascii="Times New Roman" w:hAnsi="Times New Roman"/>
                <w:sz w:val="24"/>
                <w:szCs w:val="24"/>
              </w:rPr>
            </w:pPr>
            <w:r>
              <w:rPr>
                <w:rFonts w:ascii="Times New Roman" w:hAnsi="Times New Roman"/>
                <w:sz w:val="24"/>
                <w:szCs w:val="24"/>
              </w:rPr>
              <w:t>环境风险物质</w:t>
            </w:r>
          </w:p>
        </w:tc>
        <w:tc>
          <w:tcPr>
            <w:tcW w:w="2204" w:type="dxa"/>
            <w:shd w:val="clear" w:color="auto" w:fill="D9D9D9"/>
            <w:vAlign w:val="center"/>
          </w:tcPr>
          <w:p>
            <w:pPr>
              <w:adjustRightInd w:val="0"/>
              <w:snapToGrid w:val="0"/>
              <w:spacing w:line="288" w:lineRule="auto"/>
              <w:jc w:val="center"/>
              <w:rPr>
                <w:rFonts w:ascii="Times New Roman" w:hAnsi="Times New Roman"/>
                <w:sz w:val="24"/>
                <w:szCs w:val="24"/>
              </w:rPr>
            </w:pPr>
            <w:r>
              <w:rPr>
                <w:rFonts w:ascii="Times New Roman" w:hAnsi="Times New Roman"/>
                <w:sz w:val="24"/>
                <w:szCs w:val="24"/>
              </w:rPr>
              <w:t>监测因子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2323" w:type="dxa"/>
            <w:vAlign w:val="center"/>
          </w:tcPr>
          <w:p>
            <w:pPr>
              <w:adjustRightInd w:val="0"/>
              <w:snapToGrid w:val="0"/>
              <w:spacing w:line="288" w:lineRule="auto"/>
              <w:jc w:val="center"/>
              <w:rPr>
                <w:rFonts w:ascii="Times New Roman" w:hAnsi="Times New Roman"/>
                <w:sz w:val="24"/>
                <w:szCs w:val="24"/>
              </w:rPr>
            </w:pPr>
            <w:r>
              <w:rPr>
                <w:rFonts w:hint="eastAsia" w:ascii="Times New Roman" w:hAnsi="Times New Roman"/>
                <w:sz w:val="24"/>
                <w:szCs w:val="24"/>
                <w:lang w:val="en-US" w:eastAsia="zh-CN"/>
              </w:rPr>
              <w:t>机油、切削液、废机油、废切削液</w:t>
            </w:r>
            <w:r>
              <w:rPr>
                <w:rFonts w:hint="eastAsia" w:ascii="Times New Roman" w:hAnsi="Times New Roman"/>
                <w:sz w:val="24"/>
                <w:szCs w:val="24"/>
              </w:rPr>
              <w:t>泄漏，发生火灾事故</w:t>
            </w:r>
          </w:p>
        </w:tc>
        <w:tc>
          <w:tcPr>
            <w:tcW w:w="2093" w:type="dxa"/>
            <w:vAlign w:val="center"/>
          </w:tcPr>
          <w:p>
            <w:pPr>
              <w:adjustRightInd w:val="0"/>
              <w:snapToGrid w:val="0"/>
              <w:spacing w:line="288" w:lineRule="auto"/>
              <w:jc w:val="center"/>
              <w:rPr>
                <w:rFonts w:ascii="Times New Roman" w:hAnsi="Times New Roman"/>
                <w:sz w:val="24"/>
                <w:szCs w:val="24"/>
              </w:rPr>
            </w:pPr>
            <w:r>
              <w:rPr>
                <w:rFonts w:ascii="Times New Roman" w:hAnsi="Times New Roman"/>
                <w:sz w:val="24"/>
                <w:szCs w:val="24"/>
              </w:rPr>
              <w:t>公司级</w:t>
            </w:r>
          </w:p>
        </w:tc>
        <w:tc>
          <w:tcPr>
            <w:tcW w:w="2178" w:type="dxa"/>
            <w:vAlign w:val="center"/>
          </w:tcPr>
          <w:p>
            <w:pPr>
              <w:adjustRightInd w:val="0"/>
              <w:snapToGrid w:val="0"/>
              <w:spacing w:line="288" w:lineRule="auto"/>
              <w:jc w:val="center"/>
              <w:rPr>
                <w:rFonts w:hint="eastAsia" w:ascii="Times New Roman" w:hAnsi="Times New Roman" w:eastAsia="仿宋"/>
                <w:sz w:val="24"/>
                <w:szCs w:val="24"/>
                <w:lang w:eastAsia="zh-CN"/>
              </w:rPr>
            </w:pPr>
            <w:r>
              <w:rPr>
                <w:rFonts w:hint="eastAsia" w:ascii="Times New Roman" w:hAnsi="Times New Roman"/>
                <w:sz w:val="24"/>
                <w:szCs w:val="24"/>
                <w:lang w:val="en-US" w:eastAsia="zh-CN"/>
              </w:rPr>
              <w:t>液切削液</w:t>
            </w:r>
            <w:r>
              <w:rPr>
                <w:rFonts w:hint="eastAsia" w:ascii="Times New Roman" w:hAnsi="Times New Roman"/>
                <w:sz w:val="24"/>
                <w:szCs w:val="24"/>
                <w:lang w:eastAsia="zh-CN"/>
              </w:rPr>
              <w:t>、</w:t>
            </w:r>
            <w:r>
              <w:rPr>
                <w:rFonts w:hint="eastAsia" w:ascii="Times New Roman" w:hAnsi="Times New Roman"/>
                <w:sz w:val="24"/>
                <w:szCs w:val="24"/>
              </w:rPr>
              <w:t>废</w:t>
            </w:r>
            <w:r>
              <w:rPr>
                <w:rFonts w:hint="eastAsia" w:ascii="Times New Roman" w:hAnsi="Times New Roman"/>
                <w:sz w:val="24"/>
                <w:szCs w:val="24"/>
                <w:lang w:val="en-US" w:eastAsia="zh-CN"/>
              </w:rPr>
              <w:t>机油</w:t>
            </w:r>
          </w:p>
        </w:tc>
        <w:tc>
          <w:tcPr>
            <w:tcW w:w="2204" w:type="dxa"/>
            <w:vAlign w:val="center"/>
          </w:tcPr>
          <w:p>
            <w:pPr>
              <w:adjustRightInd w:val="0"/>
              <w:snapToGrid w:val="0"/>
              <w:spacing w:line="288" w:lineRule="auto"/>
              <w:jc w:val="center"/>
              <w:rPr>
                <w:rFonts w:ascii="Times New Roman" w:hAnsi="Times New Roman"/>
                <w:sz w:val="24"/>
                <w:szCs w:val="24"/>
              </w:rPr>
            </w:pPr>
            <w:r>
              <w:rPr>
                <w:rFonts w:ascii="Times New Roman" w:hAnsi="Times New Roman"/>
                <w:sz w:val="24"/>
                <w:szCs w:val="24"/>
              </w:rPr>
              <w:t>非甲烷总烃</w:t>
            </w:r>
            <w:r>
              <w:rPr>
                <w:rFonts w:hint="eastAsia" w:ascii="Times New Roman" w:hAnsi="Times New Roman"/>
                <w:sz w:val="24"/>
                <w:szCs w:val="24"/>
              </w:rPr>
              <w:t>、CO</w:t>
            </w:r>
          </w:p>
        </w:tc>
      </w:tr>
    </w:tbl>
    <w:p>
      <w:pPr>
        <w:outlineLvl w:val="1"/>
        <w:rPr>
          <w:rFonts w:hint="eastAsia" w:ascii="仿宋" w:hAnsi="仿宋" w:eastAsia="仿宋" w:cs="仿宋"/>
          <w:szCs w:val="28"/>
        </w:rPr>
      </w:pPr>
      <w:bookmarkStart w:id="119" w:name="_Toc8651"/>
      <w:bookmarkStart w:id="120" w:name="_Toc12353"/>
      <w:r>
        <w:rPr>
          <w:rFonts w:hint="eastAsia" w:ascii="仿宋" w:hAnsi="仿宋" w:eastAsia="仿宋" w:cs="仿宋"/>
          <w:b/>
          <w:bCs/>
          <w:szCs w:val="28"/>
          <w:lang w:val="en-US" w:eastAsia="zh-CN"/>
        </w:rPr>
        <w:t>8</w:t>
      </w:r>
      <w:r>
        <w:rPr>
          <w:rFonts w:hint="eastAsia" w:ascii="仿宋" w:hAnsi="仿宋" w:eastAsia="仿宋" w:cs="仿宋"/>
          <w:b/>
          <w:bCs/>
          <w:szCs w:val="28"/>
        </w:rPr>
        <w:t>.2水环境监测方案</w:t>
      </w:r>
      <w:bookmarkEnd w:id="119"/>
      <w:bookmarkEnd w:id="120"/>
    </w:p>
    <w:p>
      <w:pPr>
        <w:ind w:firstLine="560" w:firstLineChars="200"/>
        <w:rPr>
          <w:rFonts w:ascii="Times New Roman" w:hAnsi="Times New Roman"/>
          <w:szCs w:val="28"/>
        </w:rPr>
      </w:pPr>
      <w:r>
        <w:rPr>
          <w:rFonts w:ascii="Times New Roman" w:hAnsi="Times New Roman"/>
          <w:szCs w:val="28"/>
        </w:rPr>
        <w:t>监测点位：</w:t>
      </w:r>
      <w:r>
        <w:rPr>
          <w:rFonts w:hint="eastAsia" w:ascii="Times New Roman" w:hAnsi="Times New Roman"/>
          <w:szCs w:val="28"/>
        </w:rPr>
        <w:t>厂区</w:t>
      </w:r>
      <w:r>
        <w:rPr>
          <w:rFonts w:hint="eastAsia" w:ascii="Times New Roman" w:hAnsi="Times New Roman"/>
          <w:szCs w:val="28"/>
          <w:lang w:val="en-US" w:eastAsia="zh-CN"/>
        </w:rPr>
        <w:t>雨水</w:t>
      </w:r>
      <w:r>
        <w:rPr>
          <w:rFonts w:ascii="Times New Roman" w:hAnsi="Times New Roman"/>
          <w:szCs w:val="28"/>
        </w:rPr>
        <w:t>排口</w:t>
      </w:r>
    </w:p>
    <w:p>
      <w:pPr>
        <w:tabs>
          <w:tab w:val="left" w:pos="426"/>
        </w:tabs>
        <w:ind w:firstLine="560" w:firstLineChars="200"/>
        <w:rPr>
          <w:rFonts w:ascii="Times New Roman" w:hAnsi="Times New Roman"/>
          <w:szCs w:val="28"/>
        </w:rPr>
      </w:pPr>
      <w:r>
        <w:rPr>
          <w:rFonts w:ascii="Times New Roman" w:hAnsi="Times New Roman"/>
          <w:szCs w:val="28"/>
        </w:rPr>
        <w:t>监测频次：根据现场污染状况确定。事故刚发生时，采样频次适当增加，待摸清污染物变化规律后，可减少采样频次。</w:t>
      </w:r>
    </w:p>
    <w:p>
      <w:pPr>
        <w:tabs>
          <w:tab w:val="left" w:pos="426"/>
        </w:tabs>
        <w:ind w:firstLine="560" w:firstLineChars="200"/>
        <w:rPr>
          <w:rFonts w:ascii="Times New Roman" w:hAnsi="Times New Roman"/>
          <w:szCs w:val="24"/>
        </w:rPr>
      </w:pPr>
      <w:r>
        <w:rPr>
          <w:rFonts w:ascii="Times New Roman" w:hAnsi="Times New Roman"/>
          <w:szCs w:val="28"/>
        </w:rPr>
        <w:t>监测因子如下表所示。</w:t>
      </w:r>
    </w:p>
    <w:p>
      <w:pPr>
        <w:tabs>
          <w:tab w:val="left" w:pos="426"/>
        </w:tabs>
        <w:jc w:val="center"/>
        <w:rPr>
          <w:rFonts w:ascii="仿宋" w:hAnsi="仿宋"/>
          <w:b/>
          <w:bCs/>
          <w:sz w:val="24"/>
          <w:szCs w:val="24"/>
        </w:rPr>
      </w:pPr>
      <w:r>
        <w:rPr>
          <w:rFonts w:ascii="仿宋" w:hAnsi="仿宋"/>
          <w:sz w:val="24"/>
          <w:szCs w:val="24"/>
        </w:rPr>
        <w:t>表</w:t>
      </w:r>
      <w:r>
        <w:rPr>
          <w:rFonts w:hint="eastAsia" w:ascii="仿宋" w:hAnsi="仿宋"/>
          <w:sz w:val="24"/>
          <w:szCs w:val="24"/>
          <w:lang w:val="en-US" w:eastAsia="zh-CN"/>
        </w:rPr>
        <w:t>8-</w:t>
      </w:r>
      <w:r>
        <w:rPr>
          <w:rFonts w:hint="eastAsia" w:ascii="仿宋" w:hAnsi="仿宋"/>
          <w:sz w:val="24"/>
          <w:szCs w:val="24"/>
        </w:rPr>
        <w:t>2-1</w:t>
      </w:r>
      <w:r>
        <w:rPr>
          <w:rFonts w:ascii="仿宋" w:hAnsi="仿宋"/>
          <w:sz w:val="24"/>
          <w:szCs w:val="24"/>
        </w:rPr>
        <w:t xml:space="preserve">  水环境应急监测因子</w:t>
      </w:r>
    </w:p>
    <w:tbl>
      <w:tblPr>
        <w:tblStyle w:val="40"/>
        <w:tblW w:w="87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2"/>
        <w:gridCol w:w="1672"/>
        <w:gridCol w:w="1499"/>
        <w:gridCol w:w="2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2942" w:type="dxa"/>
            <w:shd w:val="clear" w:color="auto" w:fill="D9D9D9"/>
            <w:vAlign w:val="center"/>
          </w:tcPr>
          <w:p>
            <w:pPr>
              <w:adjustRightInd w:val="0"/>
              <w:snapToGrid w:val="0"/>
              <w:spacing w:line="288" w:lineRule="auto"/>
              <w:jc w:val="center"/>
              <w:rPr>
                <w:rFonts w:ascii="Times New Roman" w:hAnsi="Times New Roman"/>
                <w:sz w:val="24"/>
                <w:szCs w:val="24"/>
              </w:rPr>
            </w:pPr>
            <w:r>
              <w:rPr>
                <w:rFonts w:ascii="Times New Roman" w:hAnsi="Times New Roman"/>
                <w:sz w:val="24"/>
                <w:szCs w:val="24"/>
              </w:rPr>
              <w:t>事故类型</w:t>
            </w:r>
          </w:p>
        </w:tc>
        <w:tc>
          <w:tcPr>
            <w:tcW w:w="1672" w:type="dxa"/>
            <w:shd w:val="clear" w:color="auto" w:fill="D9D9D9"/>
            <w:vAlign w:val="center"/>
          </w:tcPr>
          <w:p>
            <w:pPr>
              <w:adjustRightInd w:val="0"/>
              <w:snapToGrid w:val="0"/>
              <w:spacing w:line="288" w:lineRule="auto"/>
              <w:jc w:val="center"/>
              <w:rPr>
                <w:rFonts w:ascii="Times New Roman" w:hAnsi="Times New Roman"/>
                <w:sz w:val="24"/>
                <w:szCs w:val="24"/>
              </w:rPr>
            </w:pPr>
            <w:r>
              <w:rPr>
                <w:rFonts w:ascii="Times New Roman" w:hAnsi="Times New Roman"/>
                <w:sz w:val="24"/>
                <w:szCs w:val="24"/>
              </w:rPr>
              <w:t>响应级别</w:t>
            </w:r>
          </w:p>
        </w:tc>
        <w:tc>
          <w:tcPr>
            <w:tcW w:w="1499" w:type="dxa"/>
            <w:shd w:val="clear" w:color="auto" w:fill="D9D9D9"/>
            <w:vAlign w:val="center"/>
          </w:tcPr>
          <w:p>
            <w:pPr>
              <w:adjustRightInd w:val="0"/>
              <w:snapToGrid w:val="0"/>
              <w:spacing w:line="288" w:lineRule="auto"/>
              <w:jc w:val="center"/>
              <w:rPr>
                <w:rFonts w:ascii="Times New Roman" w:hAnsi="Times New Roman"/>
                <w:sz w:val="24"/>
                <w:szCs w:val="24"/>
              </w:rPr>
            </w:pPr>
            <w:r>
              <w:rPr>
                <w:rFonts w:ascii="Times New Roman" w:hAnsi="Times New Roman"/>
                <w:sz w:val="24"/>
                <w:szCs w:val="24"/>
              </w:rPr>
              <w:t>环境风险物质</w:t>
            </w:r>
          </w:p>
        </w:tc>
        <w:tc>
          <w:tcPr>
            <w:tcW w:w="2645" w:type="dxa"/>
            <w:shd w:val="clear" w:color="auto" w:fill="D9D9D9"/>
            <w:vAlign w:val="center"/>
          </w:tcPr>
          <w:p>
            <w:pPr>
              <w:adjustRightInd w:val="0"/>
              <w:snapToGrid w:val="0"/>
              <w:spacing w:line="288" w:lineRule="auto"/>
              <w:jc w:val="center"/>
              <w:rPr>
                <w:rFonts w:ascii="Times New Roman" w:hAnsi="Times New Roman"/>
                <w:sz w:val="24"/>
                <w:szCs w:val="24"/>
              </w:rPr>
            </w:pPr>
            <w:r>
              <w:rPr>
                <w:rFonts w:ascii="Times New Roman" w:hAnsi="Times New Roman"/>
                <w:sz w:val="24"/>
                <w:szCs w:val="24"/>
              </w:rPr>
              <w:t>监测因子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942" w:type="dxa"/>
            <w:vAlign w:val="center"/>
          </w:tcPr>
          <w:p>
            <w:pPr>
              <w:adjustRightInd w:val="0"/>
              <w:snapToGrid w:val="0"/>
              <w:spacing w:line="288" w:lineRule="auto"/>
              <w:jc w:val="center"/>
              <w:rPr>
                <w:rFonts w:ascii="Times New Roman" w:hAnsi="Times New Roman"/>
                <w:sz w:val="24"/>
                <w:szCs w:val="24"/>
              </w:rPr>
            </w:pPr>
            <w:r>
              <w:rPr>
                <w:rFonts w:hint="eastAsia" w:ascii="Times New Roman" w:hAnsi="Times New Roman"/>
                <w:sz w:val="24"/>
                <w:szCs w:val="24"/>
                <w:lang w:val="en-US" w:eastAsia="zh-CN"/>
              </w:rPr>
              <w:t>机油、切削液、废机油、废切削液</w:t>
            </w:r>
            <w:r>
              <w:rPr>
                <w:rFonts w:hint="eastAsia" w:ascii="Times New Roman" w:hAnsi="Times New Roman"/>
                <w:sz w:val="24"/>
                <w:szCs w:val="24"/>
              </w:rPr>
              <w:t>泄漏，发生火灾/爆炸事故，次生消防废水</w:t>
            </w:r>
          </w:p>
        </w:tc>
        <w:tc>
          <w:tcPr>
            <w:tcW w:w="1672" w:type="dxa"/>
            <w:vAlign w:val="center"/>
          </w:tcPr>
          <w:p>
            <w:pPr>
              <w:adjustRightInd w:val="0"/>
              <w:snapToGrid w:val="0"/>
              <w:spacing w:line="288" w:lineRule="auto"/>
              <w:jc w:val="center"/>
              <w:rPr>
                <w:rFonts w:ascii="Times New Roman" w:hAnsi="Times New Roman"/>
                <w:sz w:val="24"/>
                <w:szCs w:val="24"/>
              </w:rPr>
            </w:pPr>
            <w:r>
              <w:rPr>
                <w:rFonts w:ascii="Times New Roman" w:hAnsi="Times New Roman"/>
                <w:sz w:val="24"/>
                <w:szCs w:val="24"/>
              </w:rPr>
              <w:t>公司级</w:t>
            </w:r>
          </w:p>
        </w:tc>
        <w:tc>
          <w:tcPr>
            <w:tcW w:w="1499" w:type="dxa"/>
            <w:vAlign w:val="center"/>
          </w:tcPr>
          <w:p>
            <w:pPr>
              <w:adjustRightInd w:val="0"/>
              <w:snapToGrid w:val="0"/>
              <w:spacing w:line="288" w:lineRule="auto"/>
              <w:jc w:val="center"/>
              <w:rPr>
                <w:rFonts w:ascii="Times New Roman" w:hAnsi="Times New Roman"/>
                <w:sz w:val="24"/>
                <w:szCs w:val="24"/>
              </w:rPr>
            </w:pPr>
            <w:r>
              <w:rPr>
                <w:rFonts w:hint="eastAsia" w:ascii="Times New Roman" w:hAnsi="Times New Roman"/>
                <w:sz w:val="24"/>
                <w:szCs w:val="24"/>
                <w:lang w:val="en-US" w:eastAsia="zh-CN"/>
              </w:rPr>
              <w:t>液切削液</w:t>
            </w:r>
            <w:r>
              <w:rPr>
                <w:rFonts w:hint="eastAsia" w:ascii="Times New Roman" w:hAnsi="Times New Roman"/>
                <w:sz w:val="24"/>
                <w:szCs w:val="24"/>
                <w:lang w:eastAsia="zh-CN"/>
              </w:rPr>
              <w:t>、</w:t>
            </w:r>
            <w:r>
              <w:rPr>
                <w:rFonts w:hint="eastAsia" w:ascii="Times New Roman" w:hAnsi="Times New Roman"/>
                <w:sz w:val="24"/>
                <w:szCs w:val="24"/>
              </w:rPr>
              <w:t>废</w:t>
            </w:r>
            <w:r>
              <w:rPr>
                <w:rFonts w:hint="eastAsia" w:ascii="Times New Roman" w:hAnsi="Times New Roman"/>
                <w:sz w:val="24"/>
                <w:szCs w:val="24"/>
                <w:lang w:val="en-US" w:eastAsia="zh-CN"/>
              </w:rPr>
              <w:t>机油</w:t>
            </w:r>
          </w:p>
        </w:tc>
        <w:tc>
          <w:tcPr>
            <w:tcW w:w="2645" w:type="dxa"/>
            <w:vAlign w:val="center"/>
          </w:tcPr>
          <w:p>
            <w:pPr>
              <w:adjustRightInd w:val="0"/>
              <w:snapToGrid w:val="0"/>
              <w:spacing w:line="288" w:lineRule="auto"/>
              <w:jc w:val="center"/>
              <w:rPr>
                <w:rFonts w:ascii="Times New Roman" w:hAnsi="Times New Roman"/>
                <w:sz w:val="24"/>
                <w:szCs w:val="24"/>
              </w:rPr>
            </w:pPr>
            <w:r>
              <w:rPr>
                <w:rFonts w:ascii="Times New Roman" w:hAnsi="Times New Roman"/>
                <w:sz w:val="24"/>
                <w:szCs w:val="24"/>
              </w:rPr>
              <w:t>pH、COD、</w:t>
            </w:r>
            <w:r>
              <w:rPr>
                <w:rFonts w:hint="eastAsia" w:ascii="Times New Roman" w:hAnsi="Times New Roman"/>
                <w:sz w:val="24"/>
                <w:szCs w:val="24"/>
                <w:lang w:val="en-US" w:eastAsia="zh-CN"/>
              </w:rPr>
              <w:t>石油类</w:t>
            </w:r>
            <w:r>
              <w:rPr>
                <w:rFonts w:ascii="Times New Roman" w:hAnsi="Times New Roman"/>
                <w:sz w:val="24"/>
                <w:szCs w:val="24"/>
              </w:rPr>
              <w:t>等</w:t>
            </w:r>
          </w:p>
        </w:tc>
      </w:tr>
    </w:tbl>
    <w:p>
      <w:pPr>
        <w:pStyle w:val="39"/>
        <w:sectPr>
          <w:pgSz w:w="12240" w:h="15840"/>
          <w:pgMar w:top="1440" w:right="1800" w:bottom="1440" w:left="1800" w:header="720" w:footer="720" w:gutter="0"/>
          <w:cols w:space="720" w:num="1"/>
        </w:sectPr>
      </w:pPr>
    </w:p>
    <w:p>
      <w:pPr>
        <w:outlineLvl w:val="0"/>
        <w:rPr>
          <w:rFonts w:hint="eastAsia" w:ascii="仿宋" w:hAnsi="仿宋" w:eastAsia="仿宋" w:cs="仿宋"/>
          <w:b/>
          <w:bCs/>
          <w:szCs w:val="28"/>
        </w:rPr>
      </w:pPr>
      <w:bookmarkStart w:id="121" w:name="_Toc1607"/>
      <w:bookmarkStart w:id="122" w:name="_Toc23927"/>
      <w:r>
        <w:rPr>
          <w:rFonts w:hint="eastAsia" w:ascii="仿宋" w:hAnsi="仿宋" w:eastAsia="仿宋" w:cs="仿宋"/>
          <w:b/>
          <w:bCs/>
          <w:szCs w:val="28"/>
        </w:rPr>
        <w:t>9.应急终止</w:t>
      </w:r>
      <w:bookmarkEnd w:id="110"/>
      <w:bookmarkEnd w:id="111"/>
      <w:bookmarkEnd w:id="112"/>
      <w:bookmarkEnd w:id="113"/>
      <w:bookmarkEnd w:id="114"/>
      <w:bookmarkEnd w:id="121"/>
      <w:bookmarkEnd w:id="122"/>
    </w:p>
    <w:p>
      <w:pPr>
        <w:outlineLvl w:val="1"/>
        <w:rPr>
          <w:rFonts w:hint="eastAsia" w:ascii="仿宋" w:hAnsi="仿宋" w:eastAsia="仿宋" w:cs="仿宋"/>
          <w:b/>
          <w:bCs/>
          <w:szCs w:val="28"/>
        </w:rPr>
      </w:pPr>
      <w:bookmarkStart w:id="123" w:name="_Toc268247553"/>
      <w:bookmarkStart w:id="124" w:name="_Toc335765607"/>
      <w:bookmarkStart w:id="125" w:name="_Toc22814"/>
      <w:bookmarkStart w:id="126" w:name="_Toc3764"/>
      <w:r>
        <w:rPr>
          <w:rFonts w:hint="eastAsia" w:ascii="仿宋" w:hAnsi="仿宋" w:eastAsia="仿宋" w:cs="仿宋"/>
          <w:b/>
          <w:bCs/>
          <w:szCs w:val="28"/>
        </w:rPr>
        <w:t>9.1应急终止的条件</w:t>
      </w:r>
      <w:bookmarkEnd w:id="123"/>
      <w:bookmarkEnd w:id="124"/>
      <w:bookmarkEnd w:id="125"/>
      <w:bookmarkEnd w:id="126"/>
    </w:p>
    <w:p>
      <w:pPr>
        <w:ind w:firstLine="560" w:firstLineChars="200"/>
        <w:rPr>
          <w:rFonts w:hint="eastAsia" w:ascii="仿宋" w:hAnsi="仿宋" w:eastAsia="仿宋" w:cs="仿宋"/>
          <w:szCs w:val="28"/>
        </w:rPr>
      </w:pPr>
      <w:r>
        <w:rPr>
          <w:rFonts w:hint="eastAsia" w:ascii="仿宋" w:hAnsi="仿宋" w:eastAsia="仿宋" w:cs="仿宋"/>
          <w:szCs w:val="28"/>
        </w:rPr>
        <w:t>（1）事故现场得到控制，污染物不再泄漏或释放，或者污染物的泄漏或释放已降至规定限值以内；</w:t>
      </w:r>
    </w:p>
    <w:p>
      <w:pPr>
        <w:ind w:firstLine="560" w:firstLineChars="200"/>
        <w:rPr>
          <w:rFonts w:hint="eastAsia" w:ascii="仿宋" w:hAnsi="仿宋" w:eastAsia="仿宋" w:cs="仿宋"/>
          <w:szCs w:val="28"/>
        </w:rPr>
      </w:pPr>
      <w:r>
        <w:rPr>
          <w:rFonts w:hint="eastAsia" w:ascii="仿宋" w:hAnsi="仿宋" w:eastAsia="仿宋" w:cs="仿宋"/>
          <w:szCs w:val="28"/>
        </w:rPr>
        <w:t>（2）事件所造成的危害已经被彻底消除，无继发可能；</w:t>
      </w:r>
    </w:p>
    <w:p>
      <w:pPr>
        <w:ind w:firstLine="560" w:firstLineChars="200"/>
        <w:rPr>
          <w:rFonts w:hint="eastAsia" w:ascii="仿宋" w:hAnsi="仿宋" w:eastAsia="仿宋" w:cs="仿宋"/>
          <w:szCs w:val="28"/>
        </w:rPr>
      </w:pPr>
      <w:r>
        <w:rPr>
          <w:rFonts w:hint="eastAsia" w:ascii="仿宋" w:hAnsi="仿宋" w:eastAsia="仿宋" w:cs="仿宋"/>
          <w:szCs w:val="28"/>
        </w:rPr>
        <w:t>（3）采取了必要的防护措施以保护公众免受再次危害，并使事件可能引起的中长期影响趋于合理且尽量减少危害。</w:t>
      </w:r>
    </w:p>
    <w:p>
      <w:pPr>
        <w:ind w:firstLine="560" w:firstLineChars="200"/>
        <w:rPr>
          <w:rFonts w:hint="eastAsia" w:ascii="仿宋" w:hAnsi="仿宋" w:eastAsia="仿宋" w:cs="仿宋"/>
          <w:szCs w:val="28"/>
        </w:rPr>
      </w:pPr>
      <w:r>
        <w:rPr>
          <w:rFonts w:hint="eastAsia" w:ascii="仿宋" w:hAnsi="仿宋" w:eastAsia="仿宋" w:cs="仿宋"/>
          <w:szCs w:val="28"/>
        </w:rPr>
        <w:t>（4）导致次生、衍生事故隐患消除。</w:t>
      </w:r>
      <w:bookmarkStart w:id="127" w:name="_Toc335765608"/>
      <w:bookmarkStart w:id="128" w:name="_Toc330284333"/>
    </w:p>
    <w:p>
      <w:pPr>
        <w:outlineLvl w:val="1"/>
        <w:rPr>
          <w:rFonts w:hint="eastAsia" w:ascii="仿宋" w:hAnsi="仿宋" w:eastAsia="仿宋" w:cs="仿宋"/>
          <w:b/>
          <w:bCs/>
          <w:szCs w:val="28"/>
        </w:rPr>
      </w:pPr>
      <w:bookmarkStart w:id="129" w:name="_Toc2663"/>
      <w:bookmarkStart w:id="130" w:name="_Toc28563"/>
      <w:r>
        <w:rPr>
          <w:rFonts w:hint="eastAsia" w:ascii="仿宋" w:hAnsi="仿宋" w:eastAsia="仿宋" w:cs="仿宋"/>
          <w:b/>
          <w:bCs/>
          <w:szCs w:val="28"/>
        </w:rPr>
        <w:t>9.2应急终止</w:t>
      </w:r>
      <w:bookmarkEnd w:id="127"/>
      <w:bookmarkEnd w:id="128"/>
      <w:bookmarkEnd w:id="129"/>
      <w:bookmarkEnd w:id="130"/>
    </w:p>
    <w:p>
      <w:pPr>
        <w:ind w:firstLine="560" w:firstLineChars="200"/>
        <w:rPr>
          <w:rFonts w:hint="eastAsia" w:ascii="仿宋" w:hAnsi="仿宋" w:eastAsia="仿宋" w:cs="仿宋"/>
          <w:szCs w:val="28"/>
        </w:rPr>
      </w:pPr>
      <w:r>
        <w:rPr>
          <w:rFonts w:hint="eastAsia" w:ascii="仿宋" w:hAnsi="仿宋" w:eastAsia="仿宋" w:cs="仿宋"/>
          <w:szCs w:val="28"/>
        </w:rPr>
        <w:t>经应急指挥部确认满足相应应急预案终止条件时，由总指挥下达应急终止指令。应急状态终止后，根据有关指示和实际情况继续进行环境监测和评价工作。</w:t>
      </w:r>
    </w:p>
    <w:p>
      <w:pPr>
        <w:outlineLvl w:val="0"/>
        <w:rPr>
          <w:rFonts w:hint="eastAsia" w:ascii="仿宋" w:hAnsi="仿宋" w:eastAsia="仿宋" w:cs="仿宋"/>
          <w:b/>
          <w:bCs/>
          <w:szCs w:val="28"/>
        </w:rPr>
      </w:pPr>
      <w:bookmarkStart w:id="131" w:name="_Toc29226"/>
      <w:r>
        <w:rPr>
          <w:rFonts w:ascii="Times New Roman" w:hAnsi="Times New Roman"/>
          <w:szCs w:val="28"/>
        </w:rPr>
        <w:br w:type="page"/>
      </w:r>
      <w:bookmarkStart w:id="132" w:name="_Toc20901"/>
      <w:bookmarkStart w:id="133" w:name="_Toc24150_WPSOffice_Level1"/>
      <w:bookmarkStart w:id="134" w:name="_Toc14606"/>
      <w:r>
        <w:rPr>
          <w:rFonts w:hint="eastAsia" w:ascii="仿宋" w:hAnsi="仿宋" w:eastAsia="仿宋" w:cs="仿宋"/>
          <w:b/>
          <w:bCs/>
          <w:szCs w:val="28"/>
        </w:rPr>
        <w:t>10.后期处置</w:t>
      </w:r>
      <w:bookmarkEnd w:id="131"/>
      <w:bookmarkEnd w:id="132"/>
      <w:bookmarkEnd w:id="133"/>
      <w:bookmarkEnd w:id="134"/>
    </w:p>
    <w:p>
      <w:pPr>
        <w:outlineLvl w:val="1"/>
        <w:rPr>
          <w:rFonts w:hint="eastAsia" w:ascii="仿宋" w:hAnsi="仿宋" w:eastAsia="仿宋" w:cs="仿宋"/>
          <w:szCs w:val="28"/>
        </w:rPr>
      </w:pPr>
      <w:bookmarkStart w:id="135" w:name="_Toc13842"/>
      <w:bookmarkStart w:id="136" w:name="_Toc26051"/>
      <w:bookmarkStart w:id="137" w:name="_Toc7653_WPSOffice_Level2"/>
      <w:bookmarkStart w:id="138" w:name="_Toc382151146"/>
      <w:bookmarkStart w:id="139" w:name="_Toc335765610"/>
      <w:bookmarkStart w:id="140" w:name="_Toc14153"/>
      <w:r>
        <w:rPr>
          <w:rFonts w:hint="eastAsia" w:ascii="仿宋" w:hAnsi="仿宋" w:eastAsia="仿宋" w:cs="仿宋"/>
          <w:b/>
          <w:bCs/>
          <w:szCs w:val="28"/>
        </w:rPr>
        <w:t>10.1现场恢复</w:t>
      </w:r>
      <w:bookmarkEnd w:id="135"/>
      <w:bookmarkEnd w:id="136"/>
      <w:bookmarkEnd w:id="137"/>
    </w:p>
    <w:p>
      <w:pPr>
        <w:ind w:firstLine="560" w:firstLineChars="200"/>
        <w:rPr>
          <w:rFonts w:hint="eastAsia" w:ascii="仿宋" w:hAnsi="仿宋" w:eastAsia="仿宋" w:cs="仿宋"/>
          <w:szCs w:val="28"/>
        </w:rPr>
      </w:pPr>
      <w:r>
        <w:rPr>
          <w:rFonts w:hint="eastAsia" w:ascii="仿宋" w:hAnsi="仿宋" w:eastAsia="仿宋" w:cs="仿宋"/>
          <w:szCs w:val="28"/>
        </w:rPr>
        <w:t>对于火灾/爆炸事故，恢复现场前应进行必要的调查取证工作，包括录像、拍照、绘图等，并将这些资料移交给事故调查处理小组。</w:t>
      </w:r>
    </w:p>
    <w:p>
      <w:pPr>
        <w:outlineLvl w:val="1"/>
        <w:rPr>
          <w:rFonts w:hint="eastAsia" w:ascii="仿宋" w:hAnsi="仿宋" w:eastAsia="仿宋" w:cs="仿宋"/>
          <w:szCs w:val="28"/>
        </w:rPr>
      </w:pPr>
      <w:bookmarkStart w:id="141" w:name="_Toc29975"/>
      <w:bookmarkStart w:id="142" w:name="_Toc32289_WPSOffice_Level2"/>
      <w:bookmarkStart w:id="143" w:name="_Toc24269"/>
      <w:r>
        <w:rPr>
          <w:rFonts w:hint="eastAsia" w:ascii="仿宋" w:hAnsi="仿宋" w:eastAsia="仿宋" w:cs="仿宋"/>
          <w:b/>
          <w:bCs/>
          <w:szCs w:val="28"/>
        </w:rPr>
        <w:t>10.2环境恢复</w:t>
      </w:r>
      <w:bookmarkEnd w:id="141"/>
      <w:bookmarkEnd w:id="142"/>
      <w:bookmarkEnd w:id="143"/>
    </w:p>
    <w:p>
      <w:pPr>
        <w:ind w:firstLine="560" w:firstLineChars="200"/>
        <w:rPr>
          <w:rFonts w:hint="eastAsia" w:ascii="仿宋" w:hAnsi="仿宋" w:eastAsia="仿宋" w:cs="仿宋"/>
          <w:szCs w:val="28"/>
        </w:rPr>
      </w:pPr>
      <w:r>
        <w:rPr>
          <w:rFonts w:hint="eastAsia" w:ascii="仿宋" w:hAnsi="仿宋" w:eastAsia="仿宋" w:cs="仿宋"/>
          <w:szCs w:val="28"/>
        </w:rPr>
        <w:t>本公司突发环境事件情况下，泄漏事故泄漏物基本可以控制在厂区内。火灾/爆炸事故在火势可控情况下一般不会次生消防废水，若火势扩大需消防水喷淋降温，次生消防废水，消防废水可能流入雨水管网，则需配合做好环境恢复：若应急过程中事故废水有效收集，交有资质单位处理。</w:t>
      </w:r>
    </w:p>
    <w:p>
      <w:pPr>
        <w:outlineLvl w:val="1"/>
        <w:rPr>
          <w:rFonts w:hint="eastAsia" w:ascii="仿宋" w:hAnsi="仿宋" w:eastAsia="仿宋" w:cs="仿宋"/>
          <w:b/>
          <w:bCs/>
          <w:szCs w:val="28"/>
        </w:rPr>
      </w:pPr>
      <w:bookmarkStart w:id="144" w:name="_Toc16584"/>
      <w:bookmarkStart w:id="145" w:name="_Toc2158"/>
      <w:bookmarkStart w:id="146" w:name="_Toc23778_WPSOffice_Level2"/>
      <w:r>
        <w:rPr>
          <w:rFonts w:hint="eastAsia" w:ascii="仿宋" w:hAnsi="仿宋" w:eastAsia="仿宋" w:cs="仿宋"/>
          <w:b/>
          <w:bCs/>
          <w:szCs w:val="28"/>
        </w:rPr>
        <w:t>10.3善后赔偿</w:t>
      </w:r>
      <w:bookmarkEnd w:id="138"/>
      <w:bookmarkEnd w:id="139"/>
      <w:bookmarkEnd w:id="140"/>
      <w:bookmarkEnd w:id="144"/>
      <w:bookmarkEnd w:id="145"/>
      <w:bookmarkEnd w:id="146"/>
    </w:p>
    <w:p>
      <w:pPr>
        <w:ind w:firstLine="560" w:firstLineChars="200"/>
        <w:rPr>
          <w:rFonts w:hint="eastAsia" w:ascii="仿宋" w:hAnsi="仿宋" w:eastAsia="仿宋" w:cs="仿宋"/>
          <w:szCs w:val="28"/>
        </w:rPr>
      </w:pPr>
      <w:r>
        <w:rPr>
          <w:rFonts w:hint="eastAsia" w:ascii="仿宋" w:hAnsi="仿宋" w:eastAsia="仿宋" w:cs="仿宋"/>
          <w:szCs w:val="28"/>
        </w:rPr>
        <w:t>对故意破坏造成严重污染的突发环境事件，相关部门应协助公安机关调查、取证及追究第三方责任。对因突发环境事件受到伤害的企业或个人，按有关法律法规做出相应赔偿。</w:t>
      </w:r>
    </w:p>
    <w:p>
      <w:pPr>
        <w:outlineLvl w:val="1"/>
        <w:rPr>
          <w:rFonts w:hint="eastAsia" w:ascii="仿宋" w:hAnsi="仿宋" w:eastAsia="仿宋" w:cs="仿宋"/>
          <w:b/>
          <w:bCs/>
          <w:szCs w:val="28"/>
        </w:rPr>
      </w:pPr>
      <w:bookmarkStart w:id="147" w:name="_Toc335765613"/>
      <w:bookmarkStart w:id="148" w:name="_Toc11206"/>
      <w:bookmarkStart w:id="149" w:name="_Toc14017"/>
      <w:bookmarkStart w:id="150" w:name="_Toc17764"/>
      <w:bookmarkStart w:id="151" w:name="_Toc28083_WPSOffice_Level2"/>
      <w:bookmarkStart w:id="152" w:name="_Toc382151149"/>
      <w:bookmarkStart w:id="153" w:name="_Toc330284338"/>
      <w:r>
        <w:rPr>
          <w:rFonts w:hint="eastAsia" w:ascii="仿宋" w:hAnsi="仿宋" w:eastAsia="仿宋" w:cs="仿宋"/>
          <w:b/>
          <w:bCs/>
          <w:szCs w:val="28"/>
        </w:rPr>
        <w:t>10.4调查与评估</w:t>
      </w:r>
      <w:bookmarkEnd w:id="147"/>
      <w:bookmarkEnd w:id="148"/>
      <w:bookmarkEnd w:id="149"/>
      <w:bookmarkEnd w:id="150"/>
      <w:bookmarkEnd w:id="151"/>
      <w:bookmarkEnd w:id="152"/>
      <w:bookmarkEnd w:id="153"/>
    </w:p>
    <w:p>
      <w:pPr>
        <w:ind w:firstLine="560" w:firstLineChars="200"/>
        <w:rPr>
          <w:rFonts w:hint="eastAsia" w:ascii="仿宋" w:hAnsi="仿宋" w:eastAsia="仿宋" w:cs="仿宋"/>
          <w:szCs w:val="28"/>
        </w:rPr>
      </w:pPr>
      <w:r>
        <w:rPr>
          <w:rFonts w:hint="eastAsia" w:ascii="仿宋" w:hAnsi="仿宋" w:eastAsia="仿宋" w:cs="仿宋"/>
          <w:szCs w:val="28"/>
        </w:rPr>
        <w:t>突发环境事件的内部调查由事件发生部门负责组织，涉及操作工应如实提供相关材料。如突发环境事件由公司进行调查，由事件发生部门如实提供相关材料并做好有关配合调查的工作。公司突发环境事件应急指挥小组负责组织有关专家，会同事发部门进行应急过程评价，编制突发环境事件调查报告和应急总结报告。</w:t>
      </w:r>
    </w:p>
    <w:p>
      <w:pPr>
        <w:rPr>
          <w:rFonts w:ascii="Times New Roman" w:hAnsi="Times New Roman"/>
          <w:szCs w:val="28"/>
        </w:rPr>
      </w:pPr>
    </w:p>
    <w:p>
      <w:pPr>
        <w:rPr>
          <w:rFonts w:ascii="Times New Roman" w:hAnsi="Times New Roman"/>
          <w:szCs w:val="28"/>
        </w:rPr>
        <w:sectPr>
          <w:pgSz w:w="12240" w:h="15840"/>
          <w:pgMar w:top="1440" w:right="1800" w:bottom="1440" w:left="1800" w:header="720" w:footer="720" w:gutter="0"/>
          <w:cols w:space="720" w:num="1"/>
        </w:sectPr>
      </w:pPr>
    </w:p>
    <w:p>
      <w:pPr>
        <w:outlineLvl w:val="0"/>
        <w:rPr>
          <w:rFonts w:hint="eastAsia" w:ascii="仿宋" w:hAnsi="仿宋" w:eastAsia="仿宋" w:cs="仿宋"/>
          <w:b/>
          <w:bCs/>
          <w:szCs w:val="28"/>
        </w:rPr>
      </w:pPr>
      <w:bookmarkStart w:id="154" w:name="_Toc1963"/>
      <w:bookmarkStart w:id="155" w:name="_Toc29109_WPSOffice_Level1"/>
      <w:bookmarkStart w:id="156" w:name="_Toc14530"/>
      <w:bookmarkStart w:id="157" w:name="_Toc861"/>
      <w:r>
        <w:rPr>
          <w:rFonts w:hint="eastAsia" w:ascii="仿宋" w:hAnsi="仿宋" w:eastAsia="仿宋" w:cs="仿宋"/>
          <w:b/>
          <w:bCs/>
          <w:szCs w:val="28"/>
        </w:rPr>
        <w:t>11.保障措施</w:t>
      </w:r>
      <w:bookmarkEnd w:id="154"/>
      <w:bookmarkEnd w:id="155"/>
      <w:bookmarkEnd w:id="156"/>
      <w:bookmarkEnd w:id="157"/>
    </w:p>
    <w:p>
      <w:pPr>
        <w:outlineLvl w:val="1"/>
        <w:rPr>
          <w:rFonts w:hint="eastAsia" w:ascii="仿宋" w:hAnsi="仿宋" w:eastAsia="仿宋" w:cs="仿宋"/>
          <w:b/>
          <w:bCs/>
          <w:szCs w:val="28"/>
        </w:rPr>
      </w:pPr>
      <w:bookmarkStart w:id="158" w:name="_Toc13153"/>
      <w:bookmarkStart w:id="159" w:name="_Toc29266"/>
      <w:bookmarkStart w:id="160" w:name="_Toc28239"/>
      <w:bookmarkStart w:id="161" w:name="_Toc18750_WPSOffice_Level2"/>
      <w:r>
        <w:rPr>
          <w:rFonts w:hint="eastAsia" w:ascii="仿宋" w:hAnsi="仿宋" w:eastAsia="仿宋" w:cs="仿宋"/>
          <w:b/>
          <w:bCs/>
          <w:szCs w:val="28"/>
        </w:rPr>
        <w:t>11.1通信与信息保障</w:t>
      </w:r>
      <w:bookmarkEnd w:id="158"/>
      <w:bookmarkEnd w:id="159"/>
      <w:bookmarkEnd w:id="160"/>
      <w:bookmarkEnd w:id="161"/>
    </w:p>
    <w:p>
      <w:pPr>
        <w:ind w:firstLine="560" w:firstLineChars="200"/>
        <w:rPr>
          <w:rFonts w:hint="eastAsia" w:ascii="仿宋" w:hAnsi="仿宋" w:eastAsia="仿宋" w:cs="仿宋"/>
          <w:szCs w:val="28"/>
        </w:rPr>
      </w:pPr>
      <w:r>
        <w:rPr>
          <w:rFonts w:hint="eastAsia" w:ascii="仿宋" w:hAnsi="仿宋" w:eastAsia="仿宋" w:cs="仿宋"/>
          <w:szCs w:val="28"/>
        </w:rPr>
        <w:t>明确了应急组织机构各成员以及与本预案关联的各单位联系方式，日常对通信设施进行经常性检查，确保通信系统的可靠性，发现问题及时解决。</w:t>
      </w:r>
    </w:p>
    <w:p>
      <w:pPr>
        <w:outlineLvl w:val="1"/>
        <w:rPr>
          <w:rFonts w:hint="eastAsia" w:ascii="仿宋" w:hAnsi="仿宋" w:eastAsia="仿宋" w:cs="仿宋"/>
          <w:b/>
          <w:bCs/>
          <w:szCs w:val="28"/>
        </w:rPr>
      </w:pPr>
      <w:bookmarkStart w:id="162" w:name="_Toc6302"/>
      <w:bookmarkStart w:id="163" w:name="_Toc4947"/>
      <w:bookmarkStart w:id="164" w:name="_Toc11964"/>
      <w:bookmarkStart w:id="165" w:name="_Toc17185_WPSOffice_Level2"/>
      <w:r>
        <w:rPr>
          <w:rFonts w:hint="eastAsia" w:ascii="仿宋" w:hAnsi="仿宋" w:eastAsia="仿宋" w:cs="仿宋"/>
          <w:b/>
          <w:bCs/>
          <w:szCs w:val="28"/>
        </w:rPr>
        <w:t>11.2应急队伍保障</w:t>
      </w:r>
      <w:bookmarkEnd w:id="162"/>
      <w:bookmarkEnd w:id="163"/>
      <w:bookmarkEnd w:id="164"/>
      <w:bookmarkEnd w:id="165"/>
    </w:p>
    <w:p>
      <w:pPr>
        <w:ind w:firstLine="560" w:firstLineChars="200"/>
        <w:rPr>
          <w:rFonts w:hint="eastAsia" w:ascii="仿宋" w:hAnsi="仿宋" w:eastAsia="仿宋" w:cs="仿宋"/>
          <w:szCs w:val="28"/>
        </w:rPr>
      </w:pPr>
      <w:bookmarkStart w:id="166" w:name="_Toc4723_WPSOffice_Level2"/>
      <w:bookmarkStart w:id="167" w:name="_Toc31654"/>
      <w:r>
        <w:rPr>
          <w:rFonts w:hint="eastAsia" w:ascii="仿宋" w:hAnsi="仿宋" w:eastAsia="仿宋" w:cs="仿宋"/>
          <w:szCs w:val="28"/>
        </w:rPr>
        <w:t>建立了突发环境事件应急组织机构，明确了事故状态下各处置小组的职责和任务，明确了应急状态下预警、响应流程各环节的责任人，以保障突发环境事件时尽快开展处置行动，将影响降到最低。</w:t>
      </w:r>
    </w:p>
    <w:p>
      <w:pPr>
        <w:outlineLvl w:val="1"/>
        <w:rPr>
          <w:rFonts w:hint="eastAsia" w:ascii="仿宋" w:hAnsi="仿宋" w:eastAsia="仿宋" w:cs="仿宋"/>
          <w:b/>
          <w:bCs/>
          <w:szCs w:val="28"/>
        </w:rPr>
      </w:pPr>
      <w:bookmarkStart w:id="168" w:name="_Toc27950"/>
      <w:bookmarkStart w:id="169" w:name="_Toc22384"/>
      <w:r>
        <w:rPr>
          <w:rFonts w:hint="eastAsia" w:ascii="仿宋" w:hAnsi="仿宋" w:eastAsia="仿宋" w:cs="仿宋"/>
          <w:b/>
          <w:bCs/>
          <w:szCs w:val="28"/>
        </w:rPr>
        <w:t>11.3应急物资装备保障</w:t>
      </w:r>
      <w:bookmarkEnd w:id="166"/>
      <w:bookmarkEnd w:id="167"/>
      <w:bookmarkEnd w:id="168"/>
      <w:bookmarkEnd w:id="169"/>
    </w:p>
    <w:p>
      <w:pPr>
        <w:ind w:firstLine="560" w:firstLineChars="200"/>
        <w:rPr>
          <w:rFonts w:hint="eastAsia" w:ascii="仿宋" w:hAnsi="仿宋" w:eastAsia="仿宋" w:cs="仿宋"/>
          <w:szCs w:val="28"/>
        </w:rPr>
      </w:pPr>
      <w:r>
        <w:rPr>
          <w:rFonts w:hint="eastAsia" w:ascii="仿宋" w:hAnsi="仿宋" w:eastAsia="仿宋" w:cs="仿宋"/>
          <w:szCs w:val="28"/>
        </w:rPr>
        <w:t>明确了应急物资种类、存放地点、专管人信息等。应急办公室定期检查应急物资的品种和数量是否充足并符合要求，若有差距及时拟报采购计划，保证应急物资充足。</w:t>
      </w:r>
    </w:p>
    <w:p>
      <w:pPr>
        <w:outlineLvl w:val="1"/>
        <w:rPr>
          <w:rFonts w:hint="eastAsia" w:ascii="仿宋" w:hAnsi="仿宋" w:eastAsia="仿宋" w:cs="仿宋"/>
          <w:b/>
          <w:bCs/>
          <w:szCs w:val="28"/>
        </w:rPr>
      </w:pPr>
      <w:bookmarkStart w:id="170" w:name="_Toc6256"/>
      <w:bookmarkStart w:id="171" w:name="_Toc30517"/>
      <w:bookmarkStart w:id="172" w:name="_Toc29247_WPSOffice_Level2"/>
      <w:bookmarkStart w:id="173" w:name="_Toc29795"/>
      <w:r>
        <w:rPr>
          <w:rFonts w:hint="eastAsia" w:ascii="仿宋" w:hAnsi="仿宋" w:eastAsia="仿宋" w:cs="仿宋"/>
          <w:b/>
          <w:bCs/>
          <w:szCs w:val="28"/>
        </w:rPr>
        <w:t>11.4经费保障</w:t>
      </w:r>
      <w:bookmarkEnd w:id="170"/>
      <w:bookmarkEnd w:id="171"/>
      <w:bookmarkEnd w:id="172"/>
      <w:bookmarkEnd w:id="173"/>
    </w:p>
    <w:p>
      <w:pPr>
        <w:ind w:firstLine="560" w:firstLineChars="200"/>
        <w:rPr>
          <w:rFonts w:hint="eastAsia" w:ascii="仿宋" w:hAnsi="仿宋" w:eastAsia="仿宋" w:cs="仿宋"/>
          <w:szCs w:val="28"/>
        </w:rPr>
      </w:pPr>
      <w:r>
        <w:rPr>
          <w:rFonts w:hint="eastAsia" w:ascii="仿宋" w:hAnsi="仿宋" w:eastAsia="仿宋" w:cs="仿宋"/>
          <w:szCs w:val="28"/>
        </w:rPr>
        <w:t>财务部门负责落实突发环境事件应急救援抢险的各项资金，做好事故应急救援必要的资金准备。</w:t>
      </w:r>
    </w:p>
    <w:p>
      <w:pPr>
        <w:ind w:firstLine="560" w:firstLineChars="200"/>
        <w:rPr>
          <w:rFonts w:hint="eastAsia" w:ascii="仿宋" w:hAnsi="仿宋" w:eastAsia="仿宋" w:cs="仿宋"/>
          <w:szCs w:val="28"/>
        </w:rPr>
      </w:pPr>
      <w:r>
        <w:rPr>
          <w:rFonts w:hint="eastAsia" w:ascii="仿宋" w:hAnsi="仿宋" w:eastAsia="仿宋" w:cs="仿宋"/>
          <w:szCs w:val="28"/>
        </w:rPr>
        <w:t>处置突发环境事故所需工作经费列入公司财政预算，由财务部门按照有关规定解决。主要包括体系建设、日常运行、专家队伍建设、救援演练、事故紧急救援装备等费用。</w:t>
      </w:r>
    </w:p>
    <w:p>
      <w:pPr>
        <w:outlineLvl w:val="1"/>
        <w:rPr>
          <w:rFonts w:hint="eastAsia" w:ascii="仿宋" w:hAnsi="仿宋" w:eastAsia="仿宋" w:cs="仿宋"/>
          <w:b/>
          <w:bCs/>
          <w:szCs w:val="28"/>
        </w:rPr>
      </w:pPr>
      <w:bookmarkStart w:id="174" w:name="_Toc7041_WPSOffice_Level2"/>
      <w:bookmarkStart w:id="175" w:name="_Toc22123"/>
      <w:bookmarkStart w:id="176" w:name="_Toc26571"/>
      <w:bookmarkStart w:id="177" w:name="_Toc30973"/>
      <w:r>
        <w:rPr>
          <w:rFonts w:hint="eastAsia" w:ascii="仿宋" w:hAnsi="仿宋" w:eastAsia="仿宋" w:cs="仿宋"/>
          <w:b/>
          <w:bCs/>
          <w:szCs w:val="28"/>
        </w:rPr>
        <w:t>11.5其他保障</w:t>
      </w:r>
      <w:bookmarkEnd w:id="174"/>
      <w:bookmarkEnd w:id="175"/>
      <w:bookmarkEnd w:id="176"/>
      <w:bookmarkEnd w:id="177"/>
    </w:p>
    <w:p>
      <w:pPr>
        <w:ind w:firstLine="560" w:firstLineChars="200"/>
        <w:rPr>
          <w:rFonts w:hint="eastAsia" w:ascii="仿宋" w:hAnsi="仿宋" w:eastAsia="仿宋" w:cs="仿宋"/>
          <w:szCs w:val="28"/>
        </w:rPr>
      </w:pPr>
      <w:r>
        <w:rPr>
          <w:rFonts w:hint="eastAsia" w:ascii="仿宋" w:hAnsi="仿宋" w:eastAsia="仿宋" w:cs="仿宋"/>
          <w:szCs w:val="28"/>
        </w:rPr>
        <w:t>公司各有关部门根据部门职责，为应急救援提供交通运输保障、治安保障、技术保障、医疗保障、后勤保障等。</w:t>
      </w:r>
    </w:p>
    <w:p>
      <w:pPr>
        <w:rPr>
          <w:rFonts w:hint="eastAsia" w:ascii="仿宋" w:hAnsi="仿宋" w:eastAsia="仿宋" w:cs="仿宋"/>
          <w:szCs w:val="28"/>
        </w:rPr>
        <w:sectPr>
          <w:pgSz w:w="12240" w:h="15840"/>
          <w:pgMar w:top="1440" w:right="1800" w:bottom="1440" w:left="1800" w:header="720" w:footer="720" w:gutter="0"/>
          <w:cols w:space="720" w:num="1"/>
        </w:sectPr>
      </w:pPr>
    </w:p>
    <w:p>
      <w:pPr>
        <w:outlineLvl w:val="0"/>
        <w:rPr>
          <w:rFonts w:hint="eastAsia" w:ascii="仿宋" w:hAnsi="仿宋" w:eastAsia="仿宋" w:cs="仿宋"/>
          <w:b/>
          <w:bCs/>
          <w:szCs w:val="28"/>
        </w:rPr>
      </w:pPr>
      <w:bookmarkStart w:id="178" w:name="_Toc28667_WPSOffice_Level1"/>
      <w:bookmarkStart w:id="179" w:name="_Toc19334"/>
      <w:bookmarkStart w:id="180" w:name="_Toc22749"/>
      <w:bookmarkStart w:id="181" w:name="_Toc10678"/>
      <w:r>
        <w:rPr>
          <w:rFonts w:hint="eastAsia" w:ascii="仿宋" w:hAnsi="仿宋" w:eastAsia="仿宋" w:cs="仿宋"/>
          <w:b/>
          <w:bCs/>
          <w:szCs w:val="28"/>
        </w:rPr>
        <w:t>12.培训与演练</w:t>
      </w:r>
      <w:bookmarkEnd w:id="178"/>
      <w:bookmarkEnd w:id="179"/>
      <w:bookmarkEnd w:id="180"/>
      <w:bookmarkEnd w:id="181"/>
    </w:p>
    <w:p>
      <w:pPr>
        <w:outlineLvl w:val="1"/>
        <w:rPr>
          <w:rFonts w:hint="eastAsia" w:ascii="仿宋" w:hAnsi="仿宋" w:eastAsia="仿宋" w:cs="仿宋"/>
          <w:b/>
          <w:bCs/>
          <w:szCs w:val="28"/>
        </w:rPr>
      </w:pPr>
      <w:bookmarkStart w:id="182" w:name="_Toc12307"/>
      <w:bookmarkStart w:id="183" w:name="_Toc23246"/>
      <w:bookmarkStart w:id="184" w:name="_Toc10723"/>
      <w:bookmarkStart w:id="185" w:name="_Toc17208_WPSOffice_Level2"/>
      <w:r>
        <w:rPr>
          <w:rFonts w:hint="eastAsia" w:ascii="仿宋" w:hAnsi="仿宋" w:eastAsia="仿宋" w:cs="仿宋"/>
          <w:b/>
          <w:bCs/>
          <w:szCs w:val="28"/>
        </w:rPr>
        <w:t>12.1培训</w:t>
      </w:r>
      <w:bookmarkEnd w:id="182"/>
      <w:bookmarkEnd w:id="183"/>
      <w:bookmarkEnd w:id="184"/>
      <w:bookmarkEnd w:id="185"/>
    </w:p>
    <w:p>
      <w:pPr>
        <w:ind w:firstLine="560" w:firstLineChars="200"/>
        <w:rPr>
          <w:rFonts w:hint="eastAsia" w:ascii="仿宋" w:hAnsi="仿宋" w:eastAsia="仿宋" w:cs="仿宋"/>
          <w:szCs w:val="28"/>
        </w:rPr>
      </w:pPr>
      <w:r>
        <w:rPr>
          <w:rFonts w:hint="eastAsia" w:ascii="仿宋" w:hAnsi="仿宋" w:eastAsia="仿宋" w:cs="仿宋"/>
          <w:szCs w:val="28"/>
        </w:rPr>
        <w:t>为提高公司应急能力，提升全员应急水平，公司应定期对所有员工进行环保应急知识培训：针对非应急救援人员及新员工进行应急知识（主要包括应急程序、注意事项、逃生路线、集合地点等）的培训；针对应急救援人员进行专门应急救援培训（包括紧急情况判断、应急救援技术、现场处置措施）。应急培训采用内部培训，必要时聘请专家或组织人员参加外委培训，培训后进行考核，并按公司相关规定记录。</w:t>
      </w:r>
    </w:p>
    <w:p>
      <w:pPr>
        <w:ind w:firstLine="560" w:firstLineChars="200"/>
        <w:rPr>
          <w:rFonts w:hint="eastAsia" w:ascii="仿宋" w:hAnsi="仿宋" w:eastAsia="仿宋" w:cs="仿宋"/>
          <w:szCs w:val="28"/>
        </w:rPr>
      </w:pPr>
      <w:r>
        <w:rPr>
          <w:rFonts w:hint="eastAsia" w:ascii="仿宋" w:hAnsi="仿宋" w:eastAsia="仿宋" w:cs="仿宋"/>
          <w:szCs w:val="28"/>
        </w:rPr>
        <w:t>培训可以应用一些环保视频、污染图片及事例，让大家直观地看到水体污染、大气污染带来的危害。</w:t>
      </w:r>
    </w:p>
    <w:p>
      <w:pPr>
        <w:jc w:val="center"/>
        <w:rPr>
          <w:rFonts w:ascii="Times New Roman" w:hAnsi="Times New Roman"/>
          <w:sz w:val="24"/>
          <w:szCs w:val="24"/>
        </w:rPr>
      </w:pPr>
      <w:r>
        <w:rPr>
          <w:rFonts w:hint="eastAsia" w:ascii="仿宋" w:hAnsi="仿宋" w:eastAsia="仿宋" w:cs="仿宋"/>
          <w:sz w:val="24"/>
          <w:szCs w:val="24"/>
        </w:rPr>
        <w:t>表12</w:t>
      </w:r>
      <w:r>
        <w:rPr>
          <w:rFonts w:hint="eastAsia" w:ascii="仿宋" w:hAnsi="仿宋" w:eastAsia="仿宋" w:cs="仿宋"/>
          <w:sz w:val="24"/>
          <w:szCs w:val="24"/>
          <w:lang w:val="en-US" w:eastAsia="zh-CN"/>
        </w:rPr>
        <w:t>-</w:t>
      </w:r>
      <w:r>
        <w:rPr>
          <w:rFonts w:hint="eastAsia" w:ascii="仿宋" w:hAnsi="仿宋" w:eastAsia="仿宋" w:cs="仿宋"/>
          <w:sz w:val="24"/>
          <w:szCs w:val="24"/>
        </w:rPr>
        <w:t>1-1  应急培训记录表</w:t>
      </w:r>
    </w:p>
    <w:p>
      <w:pPr>
        <w:rPr>
          <w:rFonts w:ascii="Times New Roman" w:hAnsi="Times New Roman"/>
          <w:szCs w:val="24"/>
        </w:rPr>
      </w:pPr>
      <w:r>
        <w:rPr>
          <w:rFonts w:ascii="Times New Roman" w:hAnsi="Times New Roman"/>
          <w:szCs w:val="24"/>
        </w:rPr>
        <w:t>部门名称：</w:t>
      </w:r>
    </w:p>
    <w:tbl>
      <w:tblPr>
        <w:tblStyle w:val="40"/>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888"/>
        <w:gridCol w:w="996"/>
        <w:gridCol w:w="2216"/>
        <w:gridCol w:w="954"/>
        <w:gridCol w:w="935"/>
        <w:gridCol w:w="938"/>
        <w:gridCol w:w="1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778" w:type="dxa"/>
            <w:vMerge w:val="restart"/>
            <w:vAlign w:val="center"/>
          </w:tcPr>
          <w:p>
            <w:pPr>
              <w:pStyle w:val="129"/>
              <w:rPr>
                <w:rFonts w:ascii="Times New Roman" w:hAnsi="Times New Roman"/>
              </w:rPr>
            </w:pPr>
            <w:r>
              <w:rPr>
                <w:rFonts w:ascii="Times New Roman" w:hAnsi="Times New Roman"/>
              </w:rPr>
              <w:t>序号</w:t>
            </w:r>
          </w:p>
        </w:tc>
        <w:tc>
          <w:tcPr>
            <w:tcW w:w="888" w:type="dxa"/>
            <w:vMerge w:val="restart"/>
            <w:vAlign w:val="center"/>
          </w:tcPr>
          <w:p>
            <w:pPr>
              <w:pStyle w:val="129"/>
              <w:rPr>
                <w:rFonts w:ascii="Times New Roman" w:hAnsi="Times New Roman"/>
              </w:rPr>
            </w:pPr>
            <w:r>
              <w:rPr>
                <w:rFonts w:ascii="Times New Roman" w:hAnsi="Times New Roman"/>
              </w:rPr>
              <w:t>培训</w:t>
            </w:r>
          </w:p>
          <w:p>
            <w:pPr>
              <w:pStyle w:val="129"/>
              <w:rPr>
                <w:rFonts w:ascii="Times New Roman" w:hAnsi="Times New Roman"/>
              </w:rPr>
            </w:pPr>
            <w:r>
              <w:rPr>
                <w:rFonts w:ascii="Times New Roman" w:hAnsi="Times New Roman"/>
              </w:rPr>
              <w:t>时间</w:t>
            </w:r>
          </w:p>
        </w:tc>
        <w:tc>
          <w:tcPr>
            <w:tcW w:w="996" w:type="dxa"/>
            <w:vMerge w:val="restart"/>
            <w:vAlign w:val="center"/>
          </w:tcPr>
          <w:p>
            <w:pPr>
              <w:pStyle w:val="129"/>
              <w:rPr>
                <w:rFonts w:ascii="Times New Roman" w:hAnsi="Times New Roman"/>
              </w:rPr>
            </w:pPr>
            <w:r>
              <w:rPr>
                <w:rFonts w:ascii="Times New Roman" w:hAnsi="Times New Roman"/>
              </w:rPr>
              <w:t>培训</w:t>
            </w:r>
          </w:p>
          <w:p>
            <w:pPr>
              <w:pStyle w:val="129"/>
              <w:rPr>
                <w:rFonts w:ascii="Times New Roman" w:hAnsi="Times New Roman"/>
              </w:rPr>
            </w:pPr>
            <w:r>
              <w:rPr>
                <w:rFonts w:ascii="Times New Roman" w:hAnsi="Times New Roman"/>
              </w:rPr>
              <w:t>地点</w:t>
            </w:r>
          </w:p>
        </w:tc>
        <w:tc>
          <w:tcPr>
            <w:tcW w:w="2216" w:type="dxa"/>
            <w:vMerge w:val="restart"/>
            <w:vAlign w:val="center"/>
          </w:tcPr>
          <w:p>
            <w:pPr>
              <w:pStyle w:val="129"/>
              <w:rPr>
                <w:rFonts w:ascii="Times New Roman" w:hAnsi="Times New Roman"/>
              </w:rPr>
            </w:pPr>
            <w:r>
              <w:rPr>
                <w:rFonts w:ascii="Times New Roman" w:hAnsi="Times New Roman"/>
              </w:rPr>
              <w:t>培训内容</w:t>
            </w:r>
          </w:p>
        </w:tc>
        <w:tc>
          <w:tcPr>
            <w:tcW w:w="4000" w:type="dxa"/>
            <w:gridSpan w:val="4"/>
            <w:vAlign w:val="center"/>
          </w:tcPr>
          <w:p>
            <w:pPr>
              <w:pStyle w:val="129"/>
              <w:rPr>
                <w:rFonts w:ascii="Times New Roman" w:hAnsi="Times New Roman"/>
              </w:rPr>
            </w:pPr>
            <w:r>
              <w:rPr>
                <w:rFonts w:ascii="Times New Roman" w:hAnsi="Times New Roman"/>
              </w:rPr>
              <w:t>受培训人情况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78" w:type="dxa"/>
            <w:vMerge w:val="continue"/>
            <w:vAlign w:val="center"/>
          </w:tcPr>
          <w:p>
            <w:pPr>
              <w:pStyle w:val="129"/>
              <w:rPr>
                <w:rFonts w:ascii="Times New Roman" w:hAnsi="Times New Roman"/>
              </w:rPr>
            </w:pPr>
          </w:p>
        </w:tc>
        <w:tc>
          <w:tcPr>
            <w:tcW w:w="888" w:type="dxa"/>
            <w:vMerge w:val="continue"/>
            <w:vAlign w:val="center"/>
          </w:tcPr>
          <w:p>
            <w:pPr>
              <w:pStyle w:val="129"/>
              <w:rPr>
                <w:rFonts w:ascii="Times New Roman" w:hAnsi="Times New Roman"/>
              </w:rPr>
            </w:pPr>
          </w:p>
        </w:tc>
        <w:tc>
          <w:tcPr>
            <w:tcW w:w="996" w:type="dxa"/>
            <w:vMerge w:val="continue"/>
            <w:vAlign w:val="center"/>
          </w:tcPr>
          <w:p>
            <w:pPr>
              <w:pStyle w:val="129"/>
              <w:rPr>
                <w:rFonts w:ascii="Times New Roman" w:hAnsi="Times New Roman"/>
              </w:rPr>
            </w:pPr>
          </w:p>
        </w:tc>
        <w:tc>
          <w:tcPr>
            <w:tcW w:w="2216" w:type="dxa"/>
            <w:vMerge w:val="continue"/>
            <w:vAlign w:val="center"/>
          </w:tcPr>
          <w:p>
            <w:pPr>
              <w:pStyle w:val="129"/>
              <w:rPr>
                <w:rFonts w:ascii="Times New Roman" w:hAnsi="Times New Roman"/>
              </w:rPr>
            </w:pPr>
          </w:p>
        </w:tc>
        <w:tc>
          <w:tcPr>
            <w:tcW w:w="954" w:type="dxa"/>
            <w:vAlign w:val="center"/>
          </w:tcPr>
          <w:p>
            <w:pPr>
              <w:pStyle w:val="129"/>
              <w:rPr>
                <w:rFonts w:ascii="Times New Roman" w:hAnsi="Times New Roman"/>
              </w:rPr>
            </w:pPr>
            <w:r>
              <w:rPr>
                <w:rFonts w:ascii="Times New Roman" w:hAnsi="Times New Roman"/>
              </w:rPr>
              <w:t>年龄</w:t>
            </w:r>
          </w:p>
        </w:tc>
        <w:tc>
          <w:tcPr>
            <w:tcW w:w="935" w:type="dxa"/>
            <w:vAlign w:val="center"/>
          </w:tcPr>
          <w:p>
            <w:pPr>
              <w:pStyle w:val="129"/>
              <w:rPr>
                <w:rFonts w:ascii="Times New Roman" w:hAnsi="Times New Roman"/>
              </w:rPr>
            </w:pPr>
            <w:r>
              <w:rPr>
                <w:rFonts w:ascii="Times New Roman" w:hAnsi="Times New Roman"/>
              </w:rPr>
              <w:t>工种</w:t>
            </w:r>
          </w:p>
        </w:tc>
        <w:tc>
          <w:tcPr>
            <w:tcW w:w="938" w:type="dxa"/>
            <w:vAlign w:val="center"/>
          </w:tcPr>
          <w:p>
            <w:pPr>
              <w:pStyle w:val="129"/>
              <w:rPr>
                <w:rFonts w:ascii="Times New Roman" w:hAnsi="Times New Roman"/>
              </w:rPr>
            </w:pPr>
            <w:r>
              <w:rPr>
                <w:rFonts w:ascii="Times New Roman" w:hAnsi="Times New Roman"/>
              </w:rPr>
              <w:t>职务</w:t>
            </w:r>
          </w:p>
        </w:tc>
        <w:tc>
          <w:tcPr>
            <w:tcW w:w="1173" w:type="dxa"/>
            <w:vAlign w:val="center"/>
          </w:tcPr>
          <w:p>
            <w:pPr>
              <w:pStyle w:val="129"/>
              <w:rPr>
                <w:rFonts w:ascii="Times New Roman" w:hAnsi="Times New Roman"/>
              </w:rPr>
            </w:pPr>
            <w:r>
              <w:rPr>
                <w:rFonts w:ascii="Times New Roman" w:hAnsi="Times New Roman"/>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78" w:type="dxa"/>
            <w:vAlign w:val="center"/>
          </w:tcPr>
          <w:p>
            <w:pPr>
              <w:pStyle w:val="129"/>
              <w:rPr>
                <w:rFonts w:ascii="Times New Roman" w:hAnsi="Times New Roman"/>
              </w:rPr>
            </w:pPr>
          </w:p>
        </w:tc>
        <w:tc>
          <w:tcPr>
            <w:tcW w:w="888" w:type="dxa"/>
            <w:vAlign w:val="center"/>
          </w:tcPr>
          <w:p>
            <w:pPr>
              <w:pStyle w:val="129"/>
              <w:rPr>
                <w:rFonts w:ascii="Times New Roman" w:hAnsi="Times New Roman"/>
              </w:rPr>
            </w:pPr>
          </w:p>
        </w:tc>
        <w:tc>
          <w:tcPr>
            <w:tcW w:w="996" w:type="dxa"/>
            <w:vAlign w:val="center"/>
          </w:tcPr>
          <w:p>
            <w:pPr>
              <w:pStyle w:val="129"/>
              <w:rPr>
                <w:rFonts w:ascii="Times New Roman" w:hAnsi="Times New Roman"/>
              </w:rPr>
            </w:pPr>
          </w:p>
        </w:tc>
        <w:tc>
          <w:tcPr>
            <w:tcW w:w="2216" w:type="dxa"/>
            <w:vAlign w:val="center"/>
          </w:tcPr>
          <w:p>
            <w:pPr>
              <w:pStyle w:val="129"/>
              <w:rPr>
                <w:rFonts w:ascii="Times New Roman" w:hAnsi="Times New Roman"/>
              </w:rPr>
            </w:pPr>
          </w:p>
        </w:tc>
        <w:tc>
          <w:tcPr>
            <w:tcW w:w="954" w:type="dxa"/>
            <w:vAlign w:val="center"/>
          </w:tcPr>
          <w:p>
            <w:pPr>
              <w:pStyle w:val="129"/>
              <w:rPr>
                <w:rFonts w:ascii="Times New Roman" w:hAnsi="Times New Roman"/>
              </w:rPr>
            </w:pPr>
          </w:p>
        </w:tc>
        <w:tc>
          <w:tcPr>
            <w:tcW w:w="935" w:type="dxa"/>
            <w:vAlign w:val="center"/>
          </w:tcPr>
          <w:p>
            <w:pPr>
              <w:pStyle w:val="129"/>
              <w:rPr>
                <w:rFonts w:ascii="Times New Roman" w:hAnsi="Times New Roman"/>
              </w:rPr>
            </w:pPr>
          </w:p>
        </w:tc>
        <w:tc>
          <w:tcPr>
            <w:tcW w:w="938" w:type="dxa"/>
            <w:vAlign w:val="center"/>
          </w:tcPr>
          <w:p>
            <w:pPr>
              <w:pStyle w:val="129"/>
              <w:rPr>
                <w:rFonts w:ascii="Times New Roman" w:hAnsi="Times New Roman"/>
              </w:rPr>
            </w:pPr>
          </w:p>
        </w:tc>
        <w:tc>
          <w:tcPr>
            <w:tcW w:w="1173" w:type="dxa"/>
            <w:vAlign w:val="center"/>
          </w:tcPr>
          <w:p>
            <w:pPr>
              <w:pStyle w:val="129"/>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78" w:type="dxa"/>
            <w:vAlign w:val="center"/>
          </w:tcPr>
          <w:p>
            <w:pPr>
              <w:pStyle w:val="129"/>
              <w:rPr>
                <w:rFonts w:ascii="Times New Roman" w:hAnsi="Times New Roman"/>
              </w:rPr>
            </w:pPr>
          </w:p>
        </w:tc>
        <w:tc>
          <w:tcPr>
            <w:tcW w:w="888" w:type="dxa"/>
            <w:vAlign w:val="center"/>
          </w:tcPr>
          <w:p>
            <w:pPr>
              <w:pStyle w:val="129"/>
              <w:rPr>
                <w:rFonts w:ascii="Times New Roman" w:hAnsi="Times New Roman"/>
              </w:rPr>
            </w:pPr>
          </w:p>
        </w:tc>
        <w:tc>
          <w:tcPr>
            <w:tcW w:w="996" w:type="dxa"/>
            <w:vAlign w:val="center"/>
          </w:tcPr>
          <w:p>
            <w:pPr>
              <w:pStyle w:val="129"/>
              <w:rPr>
                <w:rFonts w:ascii="Times New Roman" w:hAnsi="Times New Roman"/>
              </w:rPr>
            </w:pPr>
          </w:p>
        </w:tc>
        <w:tc>
          <w:tcPr>
            <w:tcW w:w="2216" w:type="dxa"/>
            <w:vAlign w:val="center"/>
          </w:tcPr>
          <w:p>
            <w:pPr>
              <w:pStyle w:val="129"/>
              <w:rPr>
                <w:rFonts w:ascii="Times New Roman" w:hAnsi="Times New Roman"/>
              </w:rPr>
            </w:pPr>
          </w:p>
        </w:tc>
        <w:tc>
          <w:tcPr>
            <w:tcW w:w="954" w:type="dxa"/>
            <w:vAlign w:val="center"/>
          </w:tcPr>
          <w:p>
            <w:pPr>
              <w:pStyle w:val="129"/>
              <w:rPr>
                <w:rFonts w:ascii="Times New Roman" w:hAnsi="Times New Roman"/>
              </w:rPr>
            </w:pPr>
          </w:p>
        </w:tc>
        <w:tc>
          <w:tcPr>
            <w:tcW w:w="935" w:type="dxa"/>
            <w:vAlign w:val="center"/>
          </w:tcPr>
          <w:p>
            <w:pPr>
              <w:pStyle w:val="129"/>
              <w:rPr>
                <w:rFonts w:ascii="Times New Roman" w:hAnsi="Times New Roman"/>
              </w:rPr>
            </w:pPr>
          </w:p>
        </w:tc>
        <w:tc>
          <w:tcPr>
            <w:tcW w:w="938" w:type="dxa"/>
            <w:vAlign w:val="center"/>
          </w:tcPr>
          <w:p>
            <w:pPr>
              <w:pStyle w:val="129"/>
              <w:rPr>
                <w:rFonts w:ascii="Times New Roman" w:hAnsi="Times New Roman"/>
              </w:rPr>
            </w:pPr>
          </w:p>
        </w:tc>
        <w:tc>
          <w:tcPr>
            <w:tcW w:w="1173" w:type="dxa"/>
            <w:vAlign w:val="center"/>
          </w:tcPr>
          <w:p>
            <w:pPr>
              <w:pStyle w:val="129"/>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78" w:type="dxa"/>
            <w:vAlign w:val="center"/>
          </w:tcPr>
          <w:p>
            <w:pPr>
              <w:pStyle w:val="129"/>
              <w:rPr>
                <w:rFonts w:ascii="Times New Roman" w:hAnsi="Times New Roman"/>
              </w:rPr>
            </w:pPr>
          </w:p>
        </w:tc>
        <w:tc>
          <w:tcPr>
            <w:tcW w:w="888" w:type="dxa"/>
            <w:vAlign w:val="center"/>
          </w:tcPr>
          <w:p>
            <w:pPr>
              <w:pStyle w:val="129"/>
              <w:rPr>
                <w:rFonts w:ascii="Times New Roman" w:hAnsi="Times New Roman"/>
              </w:rPr>
            </w:pPr>
          </w:p>
        </w:tc>
        <w:tc>
          <w:tcPr>
            <w:tcW w:w="996" w:type="dxa"/>
            <w:vAlign w:val="center"/>
          </w:tcPr>
          <w:p>
            <w:pPr>
              <w:pStyle w:val="129"/>
              <w:rPr>
                <w:rFonts w:ascii="Times New Roman" w:hAnsi="Times New Roman"/>
              </w:rPr>
            </w:pPr>
          </w:p>
        </w:tc>
        <w:tc>
          <w:tcPr>
            <w:tcW w:w="2216" w:type="dxa"/>
            <w:vAlign w:val="center"/>
          </w:tcPr>
          <w:p>
            <w:pPr>
              <w:pStyle w:val="129"/>
              <w:rPr>
                <w:rFonts w:ascii="Times New Roman" w:hAnsi="Times New Roman"/>
              </w:rPr>
            </w:pPr>
          </w:p>
        </w:tc>
        <w:tc>
          <w:tcPr>
            <w:tcW w:w="954" w:type="dxa"/>
            <w:vAlign w:val="center"/>
          </w:tcPr>
          <w:p>
            <w:pPr>
              <w:pStyle w:val="129"/>
              <w:rPr>
                <w:rFonts w:ascii="Times New Roman" w:hAnsi="Times New Roman"/>
              </w:rPr>
            </w:pPr>
          </w:p>
        </w:tc>
        <w:tc>
          <w:tcPr>
            <w:tcW w:w="935" w:type="dxa"/>
            <w:vAlign w:val="center"/>
          </w:tcPr>
          <w:p>
            <w:pPr>
              <w:pStyle w:val="129"/>
              <w:rPr>
                <w:rFonts w:ascii="Times New Roman" w:hAnsi="Times New Roman"/>
              </w:rPr>
            </w:pPr>
          </w:p>
        </w:tc>
        <w:tc>
          <w:tcPr>
            <w:tcW w:w="938" w:type="dxa"/>
            <w:vAlign w:val="center"/>
          </w:tcPr>
          <w:p>
            <w:pPr>
              <w:pStyle w:val="129"/>
              <w:rPr>
                <w:rFonts w:ascii="Times New Roman" w:hAnsi="Times New Roman"/>
              </w:rPr>
            </w:pPr>
          </w:p>
        </w:tc>
        <w:tc>
          <w:tcPr>
            <w:tcW w:w="1173" w:type="dxa"/>
            <w:vAlign w:val="center"/>
          </w:tcPr>
          <w:p>
            <w:pPr>
              <w:pStyle w:val="129"/>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78" w:type="dxa"/>
            <w:vAlign w:val="center"/>
          </w:tcPr>
          <w:p>
            <w:pPr>
              <w:pStyle w:val="129"/>
              <w:rPr>
                <w:rFonts w:ascii="Times New Roman" w:hAnsi="Times New Roman"/>
              </w:rPr>
            </w:pPr>
          </w:p>
        </w:tc>
        <w:tc>
          <w:tcPr>
            <w:tcW w:w="888" w:type="dxa"/>
            <w:vAlign w:val="center"/>
          </w:tcPr>
          <w:p>
            <w:pPr>
              <w:pStyle w:val="129"/>
              <w:rPr>
                <w:rFonts w:ascii="Times New Roman" w:hAnsi="Times New Roman"/>
              </w:rPr>
            </w:pPr>
          </w:p>
        </w:tc>
        <w:tc>
          <w:tcPr>
            <w:tcW w:w="996" w:type="dxa"/>
            <w:vAlign w:val="center"/>
          </w:tcPr>
          <w:p>
            <w:pPr>
              <w:pStyle w:val="129"/>
              <w:rPr>
                <w:rFonts w:ascii="Times New Roman" w:hAnsi="Times New Roman"/>
              </w:rPr>
            </w:pPr>
          </w:p>
        </w:tc>
        <w:tc>
          <w:tcPr>
            <w:tcW w:w="2216" w:type="dxa"/>
            <w:vAlign w:val="center"/>
          </w:tcPr>
          <w:p>
            <w:pPr>
              <w:pStyle w:val="129"/>
              <w:rPr>
                <w:rFonts w:ascii="Times New Roman" w:hAnsi="Times New Roman"/>
              </w:rPr>
            </w:pPr>
          </w:p>
        </w:tc>
        <w:tc>
          <w:tcPr>
            <w:tcW w:w="954" w:type="dxa"/>
            <w:vAlign w:val="center"/>
          </w:tcPr>
          <w:p>
            <w:pPr>
              <w:pStyle w:val="129"/>
              <w:rPr>
                <w:rFonts w:ascii="Times New Roman" w:hAnsi="Times New Roman"/>
              </w:rPr>
            </w:pPr>
          </w:p>
        </w:tc>
        <w:tc>
          <w:tcPr>
            <w:tcW w:w="935" w:type="dxa"/>
            <w:vAlign w:val="center"/>
          </w:tcPr>
          <w:p>
            <w:pPr>
              <w:pStyle w:val="129"/>
              <w:rPr>
                <w:rFonts w:ascii="Times New Roman" w:hAnsi="Times New Roman"/>
              </w:rPr>
            </w:pPr>
          </w:p>
        </w:tc>
        <w:tc>
          <w:tcPr>
            <w:tcW w:w="938" w:type="dxa"/>
            <w:vAlign w:val="center"/>
          </w:tcPr>
          <w:p>
            <w:pPr>
              <w:pStyle w:val="129"/>
              <w:rPr>
                <w:rFonts w:ascii="Times New Roman" w:hAnsi="Times New Roman"/>
              </w:rPr>
            </w:pPr>
          </w:p>
        </w:tc>
        <w:tc>
          <w:tcPr>
            <w:tcW w:w="1173" w:type="dxa"/>
            <w:vAlign w:val="center"/>
          </w:tcPr>
          <w:p>
            <w:pPr>
              <w:pStyle w:val="129"/>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78" w:type="dxa"/>
            <w:vAlign w:val="center"/>
          </w:tcPr>
          <w:p>
            <w:pPr>
              <w:pStyle w:val="129"/>
              <w:rPr>
                <w:rFonts w:ascii="Times New Roman" w:hAnsi="Times New Roman"/>
              </w:rPr>
            </w:pPr>
          </w:p>
        </w:tc>
        <w:tc>
          <w:tcPr>
            <w:tcW w:w="888" w:type="dxa"/>
            <w:vAlign w:val="center"/>
          </w:tcPr>
          <w:p>
            <w:pPr>
              <w:pStyle w:val="129"/>
              <w:rPr>
                <w:rFonts w:ascii="Times New Roman" w:hAnsi="Times New Roman"/>
              </w:rPr>
            </w:pPr>
          </w:p>
        </w:tc>
        <w:tc>
          <w:tcPr>
            <w:tcW w:w="996" w:type="dxa"/>
            <w:vAlign w:val="center"/>
          </w:tcPr>
          <w:p>
            <w:pPr>
              <w:pStyle w:val="129"/>
              <w:rPr>
                <w:rFonts w:ascii="Times New Roman" w:hAnsi="Times New Roman"/>
              </w:rPr>
            </w:pPr>
          </w:p>
        </w:tc>
        <w:tc>
          <w:tcPr>
            <w:tcW w:w="2216" w:type="dxa"/>
            <w:vAlign w:val="center"/>
          </w:tcPr>
          <w:p>
            <w:pPr>
              <w:pStyle w:val="129"/>
              <w:rPr>
                <w:rFonts w:ascii="Times New Roman" w:hAnsi="Times New Roman"/>
              </w:rPr>
            </w:pPr>
          </w:p>
        </w:tc>
        <w:tc>
          <w:tcPr>
            <w:tcW w:w="954" w:type="dxa"/>
            <w:vAlign w:val="center"/>
          </w:tcPr>
          <w:p>
            <w:pPr>
              <w:pStyle w:val="129"/>
              <w:rPr>
                <w:rFonts w:ascii="Times New Roman" w:hAnsi="Times New Roman"/>
              </w:rPr>
            </w:pPr>
          </w:p>
        </w:tc>
        <w:tc>
          <w:tcPr>
            <w:tcW w:w="935" w:type="dxa"/>
            <w:vAlign w:val="center"/>
          </w:tcPr>
          <w:p>
            <w:pPr>
              <w:pStyle w:val="129"/>
              <w:rPr>
                <w:rFonts w:ascii="Times New Roman" w:hAnsi="Times New Roman"/>
              </w:rPr>
            </w:pPr>
          </w:p>
        </w:tc>
        <w:tc>
          <w:tcPr>
            <w:tcW w:w="938" w:type="dxa"/>
            <w:vAlign w:val="center"/>
          </w:tcPr>
          <w:p>
            <w:pPr>
              <w:pStyle w:val="129"/>
              <w:rPr>
                <w:rFonts w:ascii="Times New Roman" w:hAnsi="Times New Roman"/>
              </w:rPr>
            </w:pPr>
          </w:p>
        </w:tc>
        <w:tc>
          <w:tcPr>
            <w:tcW w:w="1173" w:type="dxa"/>
            <w:vAlign w:val="center"/>
          </w:tcPr>
          <w:p>
            <w:pPr>
              <w:pStyle w:val="129"/>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78" w:type="dxa"/>
            <w:vAlign w:val="center"/>
          </w:tcPr>
          <w:p>
            <w:pPr>
              <w:pStyle w:val="129"/>
              <w:rPr>
                <w:rFonts w:ascii="Times New Roman" w:hAnsi="Times New Roman"/>
              </w:rPr>
            </w:pPr>
          </w:p>
        </w:tc>
        <w:tc>
          <w:tcPr>
            <w:tcW w:w="888" w:type="dxa"/>
            <w:vAlign w:val="center"/>
          </w:tcPr>
          <w:p>
            <w:pPr>
              <w:pStyle w:val="129"/>
              <w:rPr>
                <w:rFonts w:ascii="Times New Roman" w:hAnsi="Times New Roman"/>
              </w:rPr>
            </w:pPr>
          </w:p>
        </w:tc>
        <w:tc>
          <w:tcPr>
            <w:tcW w:w="996" w:type="dxa"/>
            <w:vAlign w:val="center"/>
          </w:tcPr>
          <w:p>
            <w:pPr>
              <w:pStyle w:val="129"/>
              <w:rPr>
                <w:rFonts w:ascii="Times New Roman" w:hAnsi="Times New Roman"/>
              </w:rPr>
            </w:pPr>
          </w:p>
        </w:tc>
        <w:tc>
          <w:tcPr>
            <w:tcW w:w="2216" w:type="dxa"/>
            <w:vAlign w:val="center"/>
          </w:tcPr>
          <w:p>
            <w:pPr>
              <w:pStyle w:val="129"/>
              <w:rPr>
                <w:rFonts w:ascii="Times New Roman" w:hAnsi="Times New Roman"/>
              </w:rPr>
            </w:pPr>
          </w:p>
        </w:tc>
        <w:tc>
          <w:tcPr>
            <w:tcW w:w="954" w:type="dxa"/>
            <w:vAlign w:val="center"/>
          </w:tcPr>
          <w:p>
            <w:pPr>
              <w:pStyle w:val="129"/>
              <w:rPr>
                <w:rFonts w:ascii="Times New Roman" w:hAnsi="Times New Roman"/>
              </w:rPr>
            </w:pPr>
          </w:p>
        </w:tc>
        <w:tc>
          <w:tcPr>
            <w:tcW w:w="935" w:type="dxa"/>
            <w:vAlign w:val="center"/>
          </w:tcPr>
          <w:p>
            <w:pPr>
              <w:pStyle w:val="129"/>
              <w:rPr>
                <w:rFonts w:ascii="Times New Roman" w:hAnsi="Times New Roman"/>
              </w:rPr>
            </w:pPr>
          </w:p>
        </w:tc>
        <w:tc>
          <w:tcPr>
            <w:tcW w:w="938" w:type="dxa"/>
            <w:vAlign w:val="center"/>
          </w:tcPr>
          <w:p>
            <w:pPr>
              <w:pStyle w:val="129"/>
              <w:rPr>
                <w:rFonts w:ascii="Times New Roman" w:hAnsi="Times New Roman"/>
              </w:rPr>
            </w:pPr>
          </w:p>
        </w:tc>
        <w:tc>
          <w:tcPr>
            <w:tcW w:w="1173" w:type="dxa"/>
            <w:vAlign w:val="center"/>
          </w:tcPr>
          <w:p>
            <w:pPr>
              <w:pStyle w:val="129"/>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78" w:type="dxa"/>
            <w:vAlign w:val="center"/>
          </w:tcPr>
          <w:p>
            <w:pPr>
              <w:pStyle w:val="129"/>
              <w:rPr>
                <w:rFonts w:ascii="Times New Roman" w:hAnsi="Times New Roman"/>
              </w:rPr>
            </w:pPr>
          </w:p>
        </w:tc>
        <w:tc>
          <w:tcPr>
            <w:tcW w:w="888" w:type="dxa"/>
            <w:vAlign w:val="center"/>
          </w:tcPr>
          <w:p>
            <w:pPr>
              <w:pStyle w:val="129"/>
              <w:rPr>
                <w:rFonts w:ascii="Times New Roman" w:hAnsi="Times New Roman"/>
              </w:rPr>
            </w:pPr>
          </w:p>
        </w:tc>
        <w:tc>
          <w:tcPr>
            <w:tcW w:w="996" w:type="dxa"/>
            <w:vAlign w:val="center"/>
          </w:tcPr>
          <w:p>
            <w:pPr>
              <w:pStyle w:val="129"/>
              <w:rPr>
                <w:rFonts w:ascii="Times New Roman" w:hAnsi="Times New Roman"/>
              </w:rPr>
            </w:pPr>
          </w:p>
        </w:tc>
        <w:tc>
          <w:tcPr>
            <w:tcW w:w="2216" w:type="dxa"/>
            <w:vAlign w:val="center"/>
          </w:tcPr>
          <w:p>
            <w:pPr>
              <w:pStyle w:val="129"/>
              <w:rPr>
                <w:rFonts w:ascii="Times New Roman" w:hAnsi="Times New Roman"/>
              </w:rPr>
            </w:pPr>
          </w:p>
        </w:tc>
        <w:tc>
          <w:tcPr>
            <w:tcW w:w="954" w:type="dxa"/>
            <w:vAlign w:val="center"/>
          </w:tcPr>
          <w:p>
            <w:pPr>
              <w:pStyle w:val="129"/>
              <w:rPr>
                <w:rFonts w:ascii="Times New Roman" w:hAnsi="Times New Roman"/>
              </w:rPr>
            </w:pPr>
          </w:p>
        </w:tc>
        <w:tc>
          <w:tcPr>
            <w:tcW w:w="935" w:type="dxa"/>
            <w:vAlign w:val="center"/>
          </w:tcPr>
          <w:p>
            <w:pPr>
              <w:pStyle w:val="129"/>
              <w:rPr>
                <w:rFonts w:ascii="Times New Roman" w:hAnsi="Times New Roman"/>
              </w:rPr>
            </w:pPr>
          </w:p>
        </w:tc>
        <w:tc>
          <w:tcPr>
            <w:tcW w:w="938" w:type="dxa"/>
            <w:vAlign w:val="center"/>
          </w:tcPr>
          <w:p>
            <w:pPr>
              <w:pStyle w:val="129"/>
              <w:rPr>
                <w:rFonts w:ascii="Times New Roman" w:hAnsi="Times New Roman"/>
              </w:rPr>
            </w:pPr>
          </w:p>
        </w:tc>
        <w:tc>
          <w:tcPr>
            <w:tcW w:w="1173" w:type="dxa"/>
            <w:vAlign w:val="center"/>
          </w:tcPr>
          <w:p>
            <w:pPr>
              <w:pStyle w:val="129"/>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78" w:type="dxa"/>
            <w:vAlign w:val="center"/>
          </w:tcPr>
          <w:p>
            <w:pPr>
              <w:pStyle w:val="129"/>
              <w:rPr>
                <w:rFonts w:ascii="Times New Roman" w:hAnsi="Times New Roman"/>
              </w:rPr>
            </w:pPr>
          </w:p>
        </w:tc>
        <w:tc>
          <w:tcPr>
            <w:tcW w:w="888" w:type="dxa"/>
            <w:vAlign w:val="center"/>
          </w:tcPr>
          <w:p>
            <w:pPr>
              <w:pStyle w:val="129"/>
              <w:rPr>
                <w:rFonts w:ascii="Times New Roman" w:hAnsi="Times New Roman"/>
              </w:rPr>
            </w:pPr>
          </w:p>
        </w:tc>
        <w:tc>
          <w:tcPr>
            <w:tcW w:w="996" w:type="dxa"/>
            <w:vAlign w:val="center"/>
          </w:tcPr>
          <w:p>
            <w:pPr>
              <w:pStyle w:val="129"/>
              <w:rPr>
                <w:rFonts w:ascii="Times New Roman" w:hAnsi="Times New Roman"/>
              </w:rPr>
            </w:pPr>
          </w:p>
        </w:tc>
        <w:tc>
          <w:tcPr>
            <w:tcW w:w="2216" w:type="dxa"/>
            <w:vAlign w:val="center"/>
          </w:tcPr>
          <w:p>
            <w:pPr>
              <w:pStyle w:val="129"/>
              <w:rPr>
                <w:rFonts w:ascii="Times New Roman" w:hAnsi="Times New Roman"/>
              </w:rPr>
            </w:pPr>
          </w:p>
        </w:tc>
        <w:tc>
          <w:tcPr>
            <w:tcW w:w="954" w:type="dxa"/>
            <w:vAlign w:val="center"/>
          </w:tcPr>
          <w:p>
            <w:pPr>
              <w:pStyle w:val="129"/>
              <w:rPr>
                <w:rFonts w:ascii="Times New Roman" w:hAnsi="Times New Roman"/>
              </w:rPr>
            </w:pPr>
          </w:p>
        </w:tc>
        <w:tc>
          <w:tcPr>
            <w:tcW w:w="935" w:type="dxa"/>
            <w:vAlign w:val="center"/>
          </w:tcPr>
          <w:p>
            <w:pPr>
              <w:pStyle w:val="129"/>
              <w:rPr>
                <w:rFonts w:ascii="Times New Roman" w:hAnsi="Times New Roman"/>
              </w:rPr>
            </w:pPr>
          </w:p>
        </w:tc>
        <w:tc>
          <w:tcPr>
            <w:tcW w:w="938" w:type="dxa"/>
            <w:vAlign w:val="center"/>
          </w:tcPr>
          <w:p>
            <w:pPr>
              <w:pStyle w:val="129"/>
              <w:rPr>
                <w:rFonts w:ascii="Times New Roman" w:hAnsi="Times New Roman"/>
              </w:rPr>
            </w:pPr>
          </w:p>
        </w:tc>
        <w:tc>
          <w:tcPr>
            <w:tcW w:w="1173" w:type="dxa"/>
            <w:vAlign w:val="center"/>
          </w:tcPr>
          <w:p>
            <w:pPr>
              <w:pStyle w:val="129"/>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78" w:type="dxa"/>
            <w:vAlign w:val="center"/>
          </w:tcPr>
          <w:p>
            <w:pPr>
              <w:pStyle w:val="129"/>
              <w:rPr>
                <w:rFonts w:ascii="Times New Roman" w:hAnsi="Times New Roman"/>
              </w:rPr>
            </w:pPr>
          </w:p>
        </w:tc>
        <w:tc>
          <w:tcPr>
            <w:tcW w:w="888" w:type="dxa"/>
            <w:vAlign w:val="center"/>
          </w:tcPr>
          <w:p>
            <w:pPr>
              <w:pStyle w:val="129"/>
              <w:rPr>
                <w:rFonts w:ascii="Times New Roman" w:hAnsi="Times New Roman"/>
              </w:rPr>
            </w:pPr>
          </w:p>
        </w:tc>
        <w:tc>
          <w:tcPr>
            <w:tcW w:w="996" w:type="dxa"/>
            <w:vAlign w:val="center"/>
          </w:tcPr>
          <w:p>
            <w:pPr>
              <w:pStyle w:val="129"/>
              <w:rPr>
                <w:rFonts w:ascii="Times New Roman" w:hAnsi="Times New Roman"/>
              </w:rPr>
            </w:pPr>
          </w:p>
        </w:tc>
        <w:tc>
          <w:tcPr>
            <w:tcW w:w="2216" w:type="dxa"/>
            <w:vAlign w:val="center"/>
          </w:tcPr>
          <w:p>
            <w:pPr>
              <w:pStyle w:val="129"/>
              <w:rPr>
                <w:rFonts w:ascii="Times New Roman" w:hAnsi="Times New Roman"/>
              </w:rPr>
            </w:pPr>
          </w:p>
        </w:tc>
        <w:tc>
          <w:tcPr>
            <w:tcW w:w="954" w:type="dxa"/>
            <w:vAlign w:val="center"/>
          </w:tcPr>
          <w:p>
            <w:pPr>
              <w:pStyle w:val="129"/>
              <w:rPr>
                <w:rFonts w:ascii="Times New Roman" w:hAnsi="Times New Roman"/>
              </w:rPr>
            </w:pPr>
          </w:p>
        </w:tc>
        <w:tc>
          <w:tcPr>
            <w:tcW w:w="935" w:type="dxa"/>
            <w:vAlign w:val="center"/>
          </w:tcPr>
          <w:p>
            <w:pPr>
              <w:pStyle w:val="129"/>
              <w:rPr>
                <w:rFonts w:ascii="Times New Roman" w:hAnsi="Times New Roman"/>
              </w:rPr>
            </w:pPr>
          </w:p>
        </w:tc>
        <w:tc>
          <w:tcPr>
            <w:tcW w:w="938" w:type="dxa"/>
            <w:vAlign w:val="center"/>
          </w:tcPr>
          <w:p>
            <w:pPr>
              <w:pStyle w:val="129"/>
              <w:rPr>
                <w:rFonts w:ascii="Times New Roman" w:hAnsi="Times New Roman"/>
              </w:rPr>
            </w:pPr>
          </w:p>
        </w:tc>
        <w:tc>
          <w:tcPr>
            <w:tcW w:w="1173" w:type="dxa"/>
            <w:vAlign w:val="center"/>
          </w:tcPr>
          <w:p>
            <w:pPr>
              <w:pStyle w:val="129"/>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78" w:type="dxa"/>
            <w:vAlign w:val="center"/>
          </w:tcPr>
          <w:p>
            <w:pPr>
              <w:pStyle w:val="129"/>
              <w:rPr>
                <w:rFonts w:ascii="Times New Roman" w:hAnsi="Times New Roman"/>
              </w:rPr>
            </w:pPr>
          </w:p>
        </w:tc>
        <w:tc>
          <w:tcPr>
            <w:tcW w:w="888" w:type="dxa"/>
            <w:vAlign w:val="center"/>
          </w:tcPr>
          <w:p>
            <w:pPr>
              <w:pStyle w:val="129"/>
              <w:rPr>
                <w:rFonts w:ascii="Times New Roman" w:hAnsi="Times New Roman"/>
              </w:rPr>
            </w:pPr>
          </w:p>
        </w:tc>
        <w:tc>
          <w:tcPr>
            <w:tcW w:w="996" w:type="dxa"/>
            <w:vAlign w:val="center"/>
          </w:tcPr>
          <w:p>
            <w:pPr>
              <w:pStyle w:val="129"/>
              <w:rPr>
                <w:rFonts w:ascii="Times New Roman" w:hAnsi="Times New Roman"/>
              </w:rPr>
            </w:pPr>
          </w:p>
        </w:tc>
        <w:tc>
          <w:tcPr>
            <w:tcW w:w="2216" w:type="dxa"/>
            <w:vAlign w:val="center"/>
          </w:tcPr>
          <w:p>
            <w:pPr>
              <w:pStyle w:val="129"/>
              <w:rPr>
                <w:rFonts w:ascii="Times New Roman" w:hAnsi="Times New Roman"/>
              </w:rPr>
            </w:pPr>
          </w:p>
        </w:tc>
        <w:tc>
          <w:tcPr>
            <w:tcW w:w="954" w:type="dxa"/>
            <w:vAlign w:val="center"/>
          </w:tcPr>
          <w:p>
            <w:pPr>
              <w:pStyle w:val="129"/>
              <w:rPr>
                <w:rFonts w:ascii="Times New Roman" w:hAnsi="Times New Roman"/>
              </w:rPr>
            </w:pPr>
          </w:p>
        </w:tc>
        <w:tc>
          <w:tcPr>
            <w:tcW w:w="935" w:type="dxa"/>
            <w:vAlign w:val="center"/>
          </w:tcPr>
          <w:p>
            <w:pPr>
              <w:pStyle w:val="129"/>
              <w:rPr>
                <w:rFonts w:ascii="Times New Roman" w:hAnsi="Times New Roman"/>
              </w:rPr>
            </w:pPr>
          </w:p>
        </w:tc>
        <w:tc>
          <w:tcPr>
            <w:tcW w:w="938" w:type="dxa"/>
            <w:vAlign w:val="center"/>
          </w:tcPr>
          <w:p>
            <w:pPr>
              <w:pStyle w:val="129"/>
              <w:rPr>
                <w:rFonts w:ascii="Times New Roman" w:hAnsi="Times New Roman"/>
              </w:rPr>
            </w:pPr>
          </w:p>
        </w:tc>
        <w:tc>
          <w:tcPr>
            <w:tcW w:w="1173" w:type="dxa"/>
            <w:vAlign w:val="center"/>
          </w:tcPr>
          <w:p>
            <w:pPr>
              <w:pStyle w:val="129"/>
              <w:rPr>
                <w:rFonts w:ascii="Times New Roman" w:hAnsi="Times New Roman"/>
              </w:rPr>
            </w:pPr>
          </w:p>
        </w:tc>
      </w:tr>
    </w:tbl>
    <w:p>
      <w:pPr>
        <w:rPr>
          <w:rFonts w:ascii="Times New Roman" w:hAnsi="Times New Roman"/>
          <w:szCs w:val="24"/>
        </w:rPr>
      </w:pPr>
      <w:r>
        <w:rPr>
          <w:rFonts w:ascii="Times New Roman" w:hAnsi="Times New Roman"/>
          <w:szCs w:val="24"/>
        </w:rPr>
        <w:t>主讲人签字：          填表人：             填表日期： 年  月  日</w:t>
      </w:r>
    </w:p>
    <w:p>
      <w:pPr>
        <w:outlineLvl w:val="1"/>
        <w:rPr>
          <w:rFonts w:hint="eastAsia" w:ascii="仿宋" w:hAnsi="仿宋" w:eastAsia="仿宋" w:cs="仿宋"/>
          <w:b/>
          <w:bCs/>
          <w:szCs w:val="28"/>
        </w:rPr>
      </w:pPr>
      <w:bookmarkStart w:id="186" w:name="_Toc5314"/>
      <w:bookmarkStart w:id="187" w:name="_Toc5019"/>
      <w:bookmarkStart w:id="188" w:name="_Toc24732"/>
      <w:bookmarkStart w:id="189" w:name="_Toc21295_WPSOffice_Level2"/>
      <w:r>
        <w:rPr>
          <w:rFonts w:hint="eastAsia" w:ascii="仿宋" w:hAnsi="仿宋" w:eastAsia="仿宋" w:cs="仿宋"/>
          <w:b/>
          <w:bCs/>
          <w:szCs w:val="28"/>
        </w:rPr>
        <w:t>12.2演练</w:t>
      </w:r>
      <w:bookmarkEnd w:id="186"/>
      <w:bookmarkEnd w:id="187"/>
      <w:bookmarkEnd w:id="188"/>
      <w:bookmarkEnd w:id="189"/>
    </w:p>
    <w:p>
      <w:pPr>
        <w:ind w:firstLine="560" w:firstLineChars="200"/>
        <w:rPr>
          <w:rFonts w:hint="eastAsia" w:ascii="仿宋" w:hAnsi="仿宋" w:eastAsia="仿宋" w:cs="仿宋"/>
          <w:szCs w:val="28"/>
        </w:rPr>
      </w:pPr>
      <w:r>
        <w:rPr>
          <w:rFonts w:hint="eastAsia" w:ascii="仿宋" w:hAnsi="仿宋" w:eastAsia="仿宋" w:cs="仿宋"/>
          <w:szCs w:val="28"/>
        </w:rPr>
        <w:t>公司每年应至少组织一次突发环境事件应急救援演习。演练内容着重针对本预案提出的各类突发环境事件情景，包括环境风险物质泄漏以及发生火灾/爆炸等情景。</w:t>
      </w:r>
    </w:p>
    <w:p>
      <w:pPr>
        <w:ind w:firstLine="560" w:firstLineChars="200"/>
        <w:rPr>
          <w:rFonts w:ascii="Times New Roman" w:hAnsi="Times New Roman"/>
          <w:szCs w:val="24"/>
        </w:rPr>
      </w:pPr>
      <w:r>
        <w:rPr>
          <w:rFonts w:hint="eastAsia" w:ascii="仿宋" w:hAnsi="仿宋" w:eastAsia="仿宋" w:cs="仿宋"/>
          <w:szCs w:val="28"/>
        </w:rPr>
        <w:t>演练结束后，及时对演练的效果进行分析评估，解决演练中暴露的问题。演练过程、评估结果和问题整改结果以文字形式记录并保存。</w:t>
      </w:r>
    </w:p>
    <w:p>
      <w:pPr>
        <w:jc w:val="center"/>
        <w:rPr>
          <w:rFonts w:ascii="Times New Roman" w:hAnsi="Times New Roman"/>
          <w:b/>
          <w:bCs/>
          <w:sz w:val="24"/>
          <w:szCs w:val="24"/>
        </w:rPr>
      </w:pPr>
      <w:r>
        <w:rPr>
          <w:rFonts w:hint="eastAsia" w:ascii="仿宋" w:hAnsi="仿宋" w:eastAsia="仿宋" w:cs="仿宋"/>
          <w:sz w:val="24"/>
          <w:szCs w:val="24"/>
        </w:rPr>
        <w:t>表12</w:t>
      </w:r>
      <w:r>
        <w:rPr>
          <w:rFonts w:hint="eastAsia" w:ascii="仿宋" w:hAnsi="仿宋" w:eastAsia="仿宋" w:cs="仿宋"/>
          <w:sz w:val="24"/>
          <w:szCs w:val="24"/>
          <w:lang w:val="en-US" w:eastAsia="zh-CN"/>
        </w:rPr>
        <w:t>-</w:t>
      </w:r>
      <w:r>
        <w:rPr>
          <w:rFonts w:hint="eastAsia" w:ascii="仿宋" w:hAnsi="仿宋" w:eastAsia="仿宋" w:cs="仿宋"/>
          <w:sz w:val="24"/>
          <w:szCs w:val="24"/>
        </w:rPr>
        <w:t>2-1  应急演练情况记录表</w:t>
      </w:r>
    </w:p>
    <w:p>
      <w:pPr>
        <w:rPr>
          <w:rFonts w:ascii="Times New Roman" w:hAnsi="Times New Roman"/>
          <w:szCs w:val="24"/>
        </w:rPr>
      </w:pPr>
      <w:r>
        <w:rPr>
          <w:rFonts w:ascii="Times New Roman" w:hAnsi="Times New Roman"/>
          <w:szCs w:val="24"/>
        </w:rPr>
        <w:t>单位名称：</w:t>
      </w:r>
    </w:p>
    <w:tbl>
      <w:tblPr>
        <w:tblStyle w:val="40"/>
        <w:tblW w:w="86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24"/>
        <w:gridCol w:w="1044"/>
        <w:gridCol w:w="525"/>
        <w:gridCol w:w="1571"/>
        <w:gridCol w:w="979"/>
        <w:gridCol w:w="1449"/>
        <w:gridCol w:w="14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555" w:type="dxa"/>
            <w:vAlign w:val="center"/>
          </w:tcPr>
          <w:p>
            <w:pPr>
              <w:pStyle w:val="129"/>
              <w:rPr>
                <w:rFonts w:ascii="Times New Roman" w:hAnsi="Times New Roman"/>
              </w:rPr>
            </w:pPr>
            <w:r>
              <w:rPr>
                <w:rFonts w:ascii="Times New Roman" w:hAnsi="Times New Roman"/>
              </w:rPr>
              <w:t>预案名称</w:t>
            </w:r>
          </w:p>
        </w:tc>
        <w:tc>
          <w:tcPr>
            <w:tcW w:w="1168" w:type="dxa"/>
            <w:gridSpan w:val="2"/>
            <w:vAlign w:val="center"/>
          </w:tcPr>
          <w:p>
            <w:pPr>
              <w:pStyle w:val="129"/>
              <w:rPr>
                <w:rFonts w:ascii="Times New Roman" w:hAnsi="Times New Roman"/>
              </w:rPr>
            </w:pPr>
          </w:p>
        </w:tc>
        <w:tc>
          <w:tcPr>
            <w:tcW w:w="2096" w:type="dxa"/>
            <w:gridSpan w:val="2"/>
            <w:vAlign w:val="center"/>
          </w:tcPr>
          <w:p>
            <w:pPr>
              <w:pStyle w:val="129"/>
              <w:rPr>
                <w:rFonts w:ascii="Times New Roman" w:hAnsi="Times New Roman"/>
              </w:rPr>
            </w:pPr>
            <w:r>
              <w:rPr>
                <w:rFonts w:ascii="Times New Roman" w:hAnsi="Times New Roman"/>
              </w:rPr>
              <w:t>演练时间</w:t>
            </w:r>
          </w:p>
        </w:tc>
        <w:tc>
          <w:tcPr>
            <w:tcW w:w="979" w:type="dxa"/>
            <w:vAlign w:val="center"/>
          </w:tcPr>
          <w:p>
            <w:pPr>
              <w:pStyle w:val="129"/>
              <w:rPr>
                <w:rFonts w:ascii="Times New Roman" w:hAnsi="Times New Roman"/>
              </w:rPr>
            </w:pPr>
          </w:p>
        </w:tc>
        <w:tc>
          <w:tcPr>
            <w:tcW w:w="1449" w:type="dxa"/>
            <w:vAlign w:val="center"/>
          </w:tcPr>
          <w:p>
            <w:pPr>
              <w:pStyle w:val="129"/>
              <w:rPr>
                <w:rFonts w:ascii="Times New Roman" w:hAnsi="Times New Roman"/>
              </w:rPr>
            </w:pPr>
            <w:r>
              <w:rPr>
                <w:rFonts w:ascii="Times New Roman" w:hAnsi="Times New Roman"/>
              </w:rPr>
              <w:t>演练地点</w:t>
            </w:r>
          </w:p>
        </w:tc>
        <w:tc>
          <w:tcPr>
            <w:tcW w:w="1449" w:type="dxa"/>
            <w:vAlign w:val="center"/>
          </w:tcPr>
          <w:p>
            <w:pPr>
              <w:pStyle w:val="129"/>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555" w:type="dxa"/>
            <w:vAlign w:val="center"/>
          </w:tcPr>
          <w:p>
            <w:pPr>
              <w:pStyle w:val="129"/>
              <w:rPr>
                <w:rFonts w:ascii="Times New Roman" w:hAnsi="Times New Roman"/>
              </w:rPr>
            </w:pPr>
            <w:r>
              <w:rPr>
                <w:rFonts w:ascii="Times New Roman" w:hAnsi="Times New Roman"/>
              </w:rPr>
              <w:t>演练</w:t>
            </w:r>
          </w:p>
          <w:p>
            <w:pPr>
              <w:pStyle w:val="129"/>
              <w:rPr>
                <w:rFonts w:ascii="Times New Roman" w:hAnsi="Times New Roman"/>
              </w:rPr>
            </w:pPr>
            <w:r>
              <w:rPr>
                <w:rFonts w:ascii="Times New Roman" w:hAnsi="Times New Roman"/>
              </w:rPr>
              <w:t>总指挥</w:t>
            </w:r>
          </w:p>
        </w:tc>
        <w:tc>
          <w:tcPr>
            <w:tcW w:w="1168" w:type="dxa"/>
            <w:gridSpan w:val="2"/>
            <w:vAlign w:val="center"/>
          </w:tcPr>
          <w:p>
            <w:pPr>
              <w:pStyle w:val="129"/>
              <w:rPr>
                <w:rFonts w:ascii="Times New Roman" w:hAnsi="Times New Roman"/>
              </w:rPr>
            </w:pPr>
          </w:p>
        </w:tc>
        <w:tc>
          <w:tcPr>
            <w:tcW w:w="2096" w:type="dxa"/>
            <w:gridSpan w:val="2"/>
            <w:vAlign w:val="center"/>
          </w:tcPr>
          <w:p>
            <w:pPr>
              <w:pStyle w:val="129"/>
              <w:rPr>
                <w:rFonts w:ascii="Times New Roman" w:hAnsi="Times New Roman"/>
              </w:rPr>
            </w:pPr>
            <w:r>
              <w:rPr>
                <w:rFonts w:ascii="Times New Roman" w:hAnsi="Times New Roman"/>
              </w:rPr>
              <w:t>参演部门及人数</w:t>
            </w:r>
          </w:p>
        </w:tc>
        <w:tc>
          <w:tcPr>
            <w:tcW w:w="979" w:type="dxa"/>
            <w:vAlign w:val="center"/>
          </w:tcPr>
          <w:p>
            <w:pPr>
              <w:pStyle w:val="129"/>
              <w:rPr>
                <w:rFonts w:ascii="Times New Roman" w:hAnsi="Times New Roman"/>
              </w:rPr>
            </w:pPr>
          </w:p>
        </w:tc>
        <w:tc>
          <w:tcPr>
            <w:tcW w:w="1449" w:type="dxa"/>
            <w:vAlign w:val="center"/>
          </w:tcPr>
          <w:p>
            <w:pPr>
              <w:pStyle w:val="129"/>
              <w:rPr>
                <w:rFonts w:ascii="Times New Roman" w:hAnsi="Times New Roman"/>
              </w:rPr>
            </w:pPr>
            <w:r>
              <w:rPr>
                <w:rFonts w:ascii="Times New Roman" w:hAnsi="Times New Roman"/>
              </w:rPr>
              <w:t>演练目的</w:t>
            </w:r>
          </w:p>
        </w:tc>
        <w:tc>
          <w:tcPr>
            <w:tcW w:w="1449" w:type="dxa"/>
            <w:vAlign w:val="center"/>
          </w:tcPr>
          <w:p>
            <w:pPr>
              <w:pStyle w:val="129"/>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2" w:hRule="atLeast"/>
        </w:trPr>
        <w:tc>
          <w:tcPr>
            <w:tcW w:w="8696" w:type="dxa"/>
            <w:gridSpan w:val="8"/>
            <w:vAlign w:val="center"/>
          </w:tcPr>
          <w:p>
            <w:pPr>
              <w:pStyle w:val="129"/>
              <w:jc w:val="both"/>
              <w:rPr>
                <w:rFonts w:ascii="Times New Roman" w:hAnsi="Times New Roman"/>
              </w:rPr>
            </w:pPr>
            <w:r>
              <w:rPr>
                <w:rFonts w:ascii="Times New Roman" w:hAnsi="Times New Roman"/>
              </w:rPr>
              <w:t>演练流程图：</w:t>
            </w:r>
          </w:p>
          <w:p>
            <w:pPr>
              <w:pStyle w:val="129"/>
              <w:jc w:val="both"/>
              <w:rPr>
                <w:rFonts w:ascii="Times New Roman" w:hAnsi="Times New Roman"/>
              </w:rPr>
            </w:pPr>
          </w:p>
          <w:p>
            <w:pPr>
              <w:pStyle w:val="129"/>
              <w:jc w:val="both"/>
              <w:rPr>
                <w:rFonts w:ascii="Times New Roman" w:hAnsi="Times New Roman"/>
              </w:rPr>
            </w:pPr>
          </w:p>
          <w:p>
            <w:pPr>
              <w:pStyle w:val="129"/>
              <w:jc w:val="both"/>
              <w:rPr>
                <w:rFonts w:ascii="Times New Roman" w:hAnsi="Times New Roman"/>
              </w:rPr>
            </w:pPr>
          </w:p>
          <w:p>
            <w:pPr>
              <w:pStyle w:val="129"/>
              <w:jc w:val="both"/>
              <w:rPr>
                <w:rFonts w:ascii="Times New Roman" w:hAnsi="Times New Roman"/>
              </w:rPr>
            </w:pPr>
          </w:p>
          <w:p>
            <w:pPr>
              <w:pStyle w:val="129"/>
              <w:jc w:val="both"/>
              <w:rPr>
                <w:rFonts w:ascii="Times New Roman" w:hAnsi="Times New Roman"/>
              </w:rPr>
            </w:pPr>
          </w:p>
          <w:p>
            <w:pPr>
              <w:pStyle w:val="129"/>
              <w:jc w:val="both"/>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2" w:hRule="atLeast"/>
        </w:trPr>
        <w:tc>
          <w:tcPr>
            <w:tcW w:w="8696" w:type="dxa"/>
            <w:gridSpan w:val="8"/>
            <w:vAlign w:val="center"/>
          </w:tcPr>
          <w:p>
            <w:pPr>
              <w:pStyle w:val="129"/>
              <w:jc w:val="both"/>
              <w:rPr>
                <w:rFonts w:ascii="Times New Roman" w:hAnsi="Times New Roman"/>
              </w:rPr>
            </w:pPr>
            <w:r>
              <w:rPr>
                <w:rFonts w:ascii="Times New Roman" w:hAnsi="Times New Roman"/>
              </w:rPr>
              <w:t>演练效果评估（存在的问题和不足，修订预案的建议）：</w:t>
            </w:r>
          </w:p>
          <w:p>
            <w:pPr>
              <w:pStyle w:val="129"/>
              <w:jc w:val="both"/>
              <w:rPr>
                <w:rFonts w:ascii="Times New Roman" w:hAnsi="Times New Roman"/>
              </w:rPr>
            </w:pPr>
          </w:p>
          <w:p>
            <w:pPr>
              <w:pStyle w:val="129"/>
              <w:jc w:val="both"/>
              <w:rPr>
                <w:rFonts w:ascii="Times New Roman" w:hAnsi="Times New Roman"/>
              </w:rPr>
            </w:pPr>
          </w:p>
          <w:p>
            <w:pPr>
              <w:pStyle w:val="129"/>
              <w:jc w:val="both"/>
              <w:rPr>
                <w:rFonts w:ascii="Times New Roman" w:hAnsi="Times New Roman"/>
              </w:rPr>
            </w:pPr>
          </w:p>
          <w:p>
            <w:pPr>
              <w:pStyle w:val="129"/>
              <w:jc w:val="both"/>
              <w:rPr>
                <w:rFonts w:ascii="Times New Roman" w:hAnsi="Times New Roman"/>
              </w:rPr>
            </w:pPr>
          </w:p>
          <w:p>
            <w:pPr>
              <w:pStyle w:val="129"/>
              <w:jc w:val="both"/>
              <w:rPr>
                <w:rFonts w:ascii="Times New Roman" w:hAnsi="Times New Roman"/>
              </w:rPr>
            </w:pPr>
          </w:p>
          <w:p>
            <w:pPr>
              <w:pStyle w:val="129"/>
              <w:jc w:val="both"/>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679" w:type="dxa"/>
            <w:gridSpan w:val="2"/>
            <w:vAlign w:val="center"/>
          </w:tcPr>
          <w:p>
            <w:pPr>
              <w:pStyle w:val="129"/>
              <w:rPr>
                <w:rFonts w:ascii="Times New Roman" w:hAnsi="Times New Roman"/>
              </w:rPr>
            </w:pPr>
            <w:r>
              <w:rPr>
                <w:rFonts w:ascii="Times New Roman" w:hAnsi="Times New Roman"/>
              </w:rPr>
              <w:t>演练负责人：</w:t>
            </w:r>
          </w:p>
        </w:tc>
        <w:tc>
          <w:tcPr>
            <w:tcW w:w="1569" w:type="dxa"/>
            <w:gridSpan w:val="2"/>
            <w:vAlign w:val="center"/>
          </w:tcPr>
          <w:p>
            <w:pPr>
              <w:pStyle w:val="129"/>
              <w:rPr>
                <w:rFonts w:ascii="Times New Roman" w:hAnsi="Times New Roman"/>
              </w:rPr>
            </w:pPr>
          </w:p>
        </w:tc>
        <w:tc>
          <w:tcPr>
            <w:tcW w:w="1571" w:type="dxa"/>
            <w:vAlign w:val="center"/>
          </w:tcPr>
          <w:p>
            <w:pPr>
              <w:pStyle w:val="129"/>
              <w:rPr>
                <w:rFonts w:ascii="Times New Roman" w:hAnsi="Times New Roman"/>
              </w:rPr>
            </w:pPr>
            <w:r>
              <w:rPr>
                <w:rFonts w:ascii="Times New Roman" w:hAnsi="Times New Roman"/>
              </w:rPr>
              <w:t>填表人：</w:t>
            </w:r>
          </w:p>
        </w:tc>
        <w:tc>
          <w:tcPr>
            <w:tcW w:w="979" w:type="dxa"/>
            <w:vAlign w:val="center"/>
          </w:tcPr>
          <w:p>
            <w:pPr>
              <w:pStyle w:val="129"/>
              <w:rPr>
                <w:rFonts w:ascii="Times New Roman" w:hAnsi="Times New Roman"/>
              </w:rPr>
            </w:pPr>
          </w:p>
        </w:tc>
        <w:tc>
          <w:tcPr>
            <w:tcW w:w="1449" w:type="dxa"/>
            <w:vAlign w:val="center"/>
          </w:tcPr>
          <w:p>
            <w:pPr>
              <w:pStyle w:val="129"/>
              <w:rPr>
                <w:rFonts w:ascii="Times New Roman" w:hAnsi="Times New Roman"/>
              </w:rPr>
            </w:pPr>
            <w:r>
              <w:rPr>
                <w:rFonts w:ascii="Times New Roman" w:hAnsi="Times New Roman"/>
              </w:rPr>
              <w:t>联系电话</w:t>
            </w:r>
          </w:p>
        </w:tc>
        <w:tc>
          <w:tcPr>
            <w:tcW w:w="1449" w:type="dxa"/>
            <w:vAlign w:val="center"/>
          </w:tcPr>
          <w:p>
            <w:pPr>
              <w:pStyle w:val="129"/>
              <w:rPr>
                <w:rFonts w:ascii="Times New Roman" w:hAnsi="Times New Roman"/>
              </w:rPr>
            </w:pPr>
          </w:p>
        </w:tc>
      </w:tr>
    </w:tbl>
    <w:p>
      <w:pPr>
        <w:rPr>
          <w:rFonts w:ascii="Times New Roman" w:hAnsi="Times New Roman"/>
          <w:szCs w:val="28"/>
        </w:rPr>
        <w:sectPr>
          <w:pgSz w:w="12240" w:h="15840"/>
          <w:pgMar w:top="1440" w:right="1800" w:bottom="1440" w:left="1800" w:header="720" w:footer="720" w:gutter="0"/>
          <w:cols w:space="720" w:num="1"/>
        </w:sectPr>
      </w:pPr>
      <w:bookmarkStart w:id="190" w:name="_Toc30195"/>
    </w:p>
    <w:p>
      <w:pPr>
        <w:outlineLvl w:val="0"/>
        <w:rPr>
          <w:rFonts w:hint="eastAsia" w:ascii="仿宋" w:hAnsi="仿宋" w:eastAsia="仿宋" w:cs="仿宋"/>
          <w:b/>
          <w:bCs/>
          <w:szCs w:val="28"/>
        </w:rPr>
      </w:pPr>
      <w:bookmarkStart w:id="191" w:name="_Toc21296_WPSOffice_Level1"/>
      <w:bookmarkStart w:id="192" w:name="_Toc6752"/>
      <w:bookmarkStart w:id="193" w:name="_Toc1146"/>
      <w:r>
        <w:rPr>
          <w:rFonts w:hint="eastAsia" w:ascii="仿宋" w:hAnsi="仿宋" w:eastAsia="仿宋" w:cs="仿宋"/>
          <w:b/>
          <w:bCs/>
          <w:szCs w:val="28"/>
        </w:rPr>
        <w:t>13.奖惩</w:t>
      </w:r>
      <w:bookmarkEnd w:id="190"/>
      <w:bookmarkEnd w:id="191"/>
      <w:bookmarkEnd w:id="192"/>
      <w:bookmarkEnd w:id="193"/>
    </w:p>
    <w:p>
      <w:pPr>
        <w:ind w:firstLine="560" w:firstLineChars="200"/>
        <w:rPr>
          <w:rFonts w:hint="eastAsia" w:ascii="仿宋" w:hAnsi="仿宋" w:eastAsia="仿宋" w:cs="仿宋"/>
          <w:szCs w:val="28"/>
        </w:rPr>
      </w:pPr>
      <w:r>
        <w:rPr>
          <w:rFonts w:hint="eastAsia" w:ascii="仿宋" w:hAnsi="仿宋" w:eastAsia="仿宋" w:cs="仿宋"/>
          <w:szCs w:val="28"/>
        </w:rPr>
        <w:t>对于在突发环境应急救援或演练工作中出色完成应急处置任务，防止或抢救事故有功，对应急救援工作提出重大建议，实施效果显着的部门和个人，依据有关规定由公司给予奖励。</w:t>
      </w:r>
    </w:p>
    <w:p>
      <w:pPr>
        <w:ind w:firstLine="560" w:firstLineChars="200"/>
        <w:rPr>
          <w:rFonts w:ascii="Times New Roman" w:hAnsi="Times New Roman"/>
          <w:szCs w:val="28"/>
        </w:rPr>
      </w:pPr>
      <w:r>
        <w:rPr>
          <w:rFonts w:hint="eastAsia" w:ascii="仿宋" w:hAnsi="仿宋" w:eastAsia="仿宋" w:cs="仿宋"/>
          <w:szCs w:val="28"/>
        </w:rPr>
        <w:t>在应急处置过程中对渎职不作为、给人民生命和财产造成损失、给公司和社会带来负面影响的，根据国家有关法律、法规追究相关责任。</w:t>
      </w:r>
    </w:p>
    <w:p>
      <w:pPr>
        <w:rPr>
          <w:rFonts w:ascii="Times New Roman" w:hAnsi="Times New Roman"/>
          <w:szCs w:val="28"/>
        </w:rPr>
        <w:sectPr>
          <w:pgSz w:w="12240" w:h="15840"/>
          <w:pgMar w:top="1440" w:right="1800" w:bottom="1440" w:left="1800" w:header="720" w:footer="720" w:gutter="0"/>
          <w:cols w:space="720" w:num="1"/>
        </w:sectPr>
      </w:pPr>
    </w:p>
    <w:p>
      <w:pPr>
        <w:outlineLvl w:val="0"/>
        <w:rPr>
          <w:rFonts w:hint="eastAsia" w:ascii="仿宋" w:hAnsi="仿宋" w:eastAsia="仿宋" w:cs="仿宋"/>
          <w:b/>
          <w:bCs/>
          <w:szCs w:val="28"/>
        </w:rPr>
      </w:pPr>
      <w:bookmarkStart w:id="194" w:name="_Toc23943"/>
      <w:bookmarkStart w:id="195" w:name="_Toc15513"/>
      <w:bookmarkStart w:id="196" w:name="_Toc6830"/>
      <w:bookmarkStart w:id="197" w:name="_Toc7345_WPSOffice_Level1"/>
      <w:r>
        <w:rPr>
          <w:rFonts w:hint="eastAsia" w:ascii="仿宋" w:hAnsi="仿宋" w:eastAsia="仿宋" w:cs="仿宋"/>
          <w:b/>
          <w:bCs/>
          <w:szCs w:val="28"/>
        </w:rPr>
        <w:t>14.预案的评审、发布和更新</w:t>
      </w:r>
      <w:bookmarkEnd w:id="194"/>
      <w:bookmarkEnd w:id="195"/>
      <w:bookmarkEnd w:id="196"/>
      <w:bookmarkEnd w:id="197"/>
    </w:p>
    <w:p>
      <w:pPr>
        <w:outlineLvl w:val="1"/>
        <w:rPr>
          <w:rFonts w:hint="eastAsia" w:ascii="仿宋" w:hAnsi="仿宋" w:eastAsia="仿宋" w:cs="仿宋"/>
          <w:b/>
          <w:bCs/>
          <w:szCs w:val="28"/>
        </w:rPr>
      </w:pPr>
      <w:bookmarkStart w:id="198" w:name="_Toc11279"/>
      <w:bookmarkStart w:id="199" w:name="_Toc6166_WPSOffice_Level2"/>
      <w:bookmarkStart w:id="200" w:name="_Toc9177"/>
      <w:bookmarkStart w:id="201" w:name="_Toc25594"/>
      <w:r>
        <w:rPr>
          <w:rFonts w:hint="eastAsia" w:ascii="仿宋" w:hAnsi="仿宋" w:eastAsia="仿宋" w:cs="仿宋"/>
          <w:b/>
          <w:bCs/>
          <w:szCs w:val="28"/>
        </w:rPr>
        <w:t>14.1预案评审</w:t>
      </w:r>
      <w:bookmarkEnd w:id="198"/>
      <w:bookmarkEnd w:id="199"/>
      <w:bookmarkEnd w:id="200"/>
      <w:bookmarkEnd w:id="201"/>
    </w:p>
    <w:p>
      <w:pPr>
        <w:ind w:firstLine="560" w:firstLineChars="200"/>
        <w:rPr>
          <w:rFonts w:hint="eastAsia" w:ascii="仿宋" w:hAnsi="仿宋" w:eastAsia="仿宋" w:cs="仿宋"/>
          <w:szCs w:val="28"/>
        </w:rPr>
      </w:pPr>
      <w:r>
        <w:rPr>
          <w:rFonts w:hint="eastAsia" w:ascii="仿宋" w:hAnsi="仿宋" w:eastAsia="仿宋" w:cs="仿宋"/>
          <w:szCs w:val="28"/>
        </w:rPr>
        <w:t>内部评审：应急预案草案编制完成后，应急总指挥组织应急副总指挥和各应急小组的组长对应急预案草案进行内部评审，针对应急保障措施的可行性、应急分工是否明确、合理等方面进行讨论，对不合理的地方进行修改。</w:t>
      </w:r>
    </w:p>
    <w:p>
      <w:pPr>
        <w:ind w:firstLine="560" w:firstLineChars="200"/>
        <w:rPr>
          <w:rFonts w:hint="eastAsia" w:ascii="仿宋" w:hAnsi="仿宋" w:eastAsia="仿宋" w:cs="仿宋"/>
          <w:szCs w:val="28"/>
        </w:rPr>
      </w:pPr>
      <w:r>
        <w:rPr>
          <w:rFonts w:hint="eastAsia" w:ascii="仿宋" w:hAnsi="仿宋" w:eastAsia="仿宋" w:cs="仿宋"/>
          <w:szCs w:val="28"/>
        </w:rPr>
        <w:t>外部评审：应急预案草案经内部评审后，邀请环保专家组成应急预案评估小组对应急预案草案进行评估。环境应急预案评估小组应当重点评估环境应急预案的实用性、基本要素的完整性、内容格式的规范性、应急保障措施的可行性以及与其他相关预案的衔接性等内容。应急预案编制人员根据评估结果，对应急预案草案进行修改。</w:t>
      </w:r>
      <w:bookmarkStart w:id="202" w:name="_Toc3828"/>
      <w:bookmarkStart w:id="203" w:name="_Toc16603_WPSOffice_Level2"/>
    </w:p>
    <w:p>
      <w:pPr>
        <w:outlineLvl w:val="1"/>
        <w:rPr>
          <w:rFonts w:hint="eastAsia" w:ascii="仿宋" w:hAnsi="仿宋" w:eastAsia="仿宋" w:cs="仿宋"/>
          <w:b/>
          <w:bCs/>
          <w:szCs w:val="28"/>
        </w:rPr>
      </w:pPr>
      <w:bookmarkStart w:id="204" w:name="_Toc4260"/>
      <w:bookmarkStart w:id="205" w:name="_Toc15638"/>
      <w:r>
        <w:rPr>
          <w:rFonts w:hint="eastAsia" w:ascii="仿宋" w:hAnsi="仿宋" w:eastAsia="仿宋" w:cs="仿宋"/>
          <w:b/>
          <w:bCs/>
          <w:szCs w:val="28"/>
        </w:rPr>
        <w:t>14.2预案更新</w:t>
      </w:r>
      <w:bookmarkEnd w:id="202"/>
      <w:bookmarkEnd w:id="203"/>
      <w:bookmarkEnd w:id="204"/>
      <w:bookmarkEnd w:id="205"/>
    </w:p>
    <w:p>
      <w:pPr>
        <w:ind w:firstLine="560" w:firstLineChars="200"/>
        <w:rPr>
          <w:rFonts w:hint="eastAsia" w:ascii="仿宋" w:hAnsi="仿宋" w:eastAsia="仿宋" w:cs="仿宋"/>
          <w:szCs w:val="28"/>
        </w:rPr>
      </w:pPr>
      <w:bookmarkStart w:id="206" w:name="_Toc19868_WPSOffice_Level1"/>
      <w:bookmarkStart w:id="207" w:name="_Toc13251"/>
      <w:r>
        <w:rPr>
          <w:rFonts w:hint="eastAsia" w:ascii="仿宋" w:hAnsi="仿宋" w:eastAsia="仿宋" w:cs="仿宋"/>
          <w:szCs w:val="28"/>
        </w:rPr>
        <w:t>根据《企业事业单位突发环境事件应急预案备案管理办法（试行）》，企业结合环境应急预案实施情况，至少每三年对环境应急预案进行一次回顾性评估。有下列情形之一的，及时修订：</w:t>
      </w:r>
    </w:p>
    <w:p>
      <w:pPr>
        <w:ind w:firstLine="560" w:firstLineChars="200"/>
        <w:rPr>
          <w:rFonts w:hint="eastAsia" w:ascii="仿宋" w:hAnsi="仿宋" w:eastAsia="仿宋" w:cs="仿宋"/>
          <w:szCs w:val="28"/>
        </w:rPr>
      </w:pPr>
      <w:r>
        <w:rPr>
          <w:rFonts w:hint="eastAsia" w:ascii="仿宋" w:hAnsi="仿宋" w:eastAsia="仿宋" w:cs="仿宋"/>
          <w:szCs w:val="28"/>
        </w:rPr>
        <w:t>（一）面临的环境风险发生重大变化，需要重新进行环境风险评估的；</w:t>
      </w:r>
    </w:p>
    <w:p>
      <w:pPr>
        <w:ind w:firstLine="560" w:firstLineChars="200"/>
        <w:rPr>
          <w:rFonts w:hint="eastAsia" w:ascii="仿宋" w:hAnsi="仿宋" w:eastAsia="仿宋" w:cs="仿宋"/>
          <w:szCs w:val="28"/>
        </w:rPr>
      </w:pPr>
      <w:r>
        <w:rPr>
          <w:rFonts w:hint="eastAsia" w:ascii="仿宋" w:hAnsi="仿宋" w:eastAsia="仿宋" w:cs="仿宋"/>
          <w:szCs w:val="28"/>
        </w:rPr>
        <w:t>（二）应急管理组织指挥体系与职责发生重大变化的；</w:t>
      </w:r>
    </w:p>
    <w:p>
      <w:pPr>
        <w:ind w:firstLine="560" w:firstLineChars="200"/>
        <w:rPr>
          <w:rFonts w:hint="eastAsia" w:ascii="仿宋" w:hAnsi="仿宋" w:eastAsia="仿宋" w:cs="仿宋"/>
          <w:szCs w:val="28"/>
        </w:rPr>
      </w:pPr>
      <w:r>
        <w:rPr>
          <w:rFonts w:hint="eastAsia" w:ascii="仿宋" w:hAnsi="仿宋" w:eastAsia="仿宋" w:cs="仿宋"/>
          <w:szCs w:val="28"/>
        </w:rPr>
        <w:t>（三）环境应急监测预警及报告机制、应对流程和措施、应急保障措施发生重大变化的；</w:t>
      </w:r>
    </w:p>
    <w:p>
      <w:pPr>
        <w:ind w:firstLine="560" w:firstLineChars="200"/>
        <w:rPr>
          <w:rFonts w:hint="eastAsia" w:ascii="仿宋" w:hAnsi="仿宋" w:eastAsia="仿宋" w:cs="仿宋"/>
          <w:szCs w:val="28"/>
        </w:rPr>
      </w:pPr>
      <w:r>
        <w:rPr>
          <w:rFonts w:hint="eastAsia" w:ascii="仿宋" w:hAnsi="仿宋" w:eastAsia="仿宋" w:cs="仿宋"/>
          <w:szCs w:val="28"/>
        </w:rPr>
        <w:t>（四）重要应急资源发生重大变化的；</w:t>
      </w:r>
    </w:p>
    <w:p>
      <w:pPr>
        <w:ind w:firstLine="560" w:firstLineChars="200"/>
        <w:rPr>
          <w:rFonts w:hint="eastAsia" w:ascii="仿宋" w:hAnsi="仿宋" w:eastAsia="仿宋" w:cs="仿宋"/>
          <w:szCs w:val="28"/>
        </w:rPr>
      </w:pPr>
      <w:r>
        <w:rPr>
          <w:rFonts w:hint="eastAsia" w:ascii="仿宋" w:hAnsi="仿宋" w:eastAsia="仿宋" w:cs="仿宋"/>
          <w:szCs w:val="28"/>
        </w:rPr>
        <w:t>（五）在突发事件实际应对和应急演练中发现问题，需要对环境应急预案作出重大调整的；</w:t>
      </w:r>
    </w:p>
    <w:p>
      <w:pPr>
        <w:ind w:firstLine="560" w:firstLineChars="200"/>
        <w:rPr>
          <w:rFonts w:hint="eastAsia" w:ascii="仿宋" w:hAnsi="仿宋" w:eastAsia="仿宋" w:cs="仿宋"/>
          <w:szCs w:val="28"/>
        </w:rPr>
      </w:pPr>
      <w:r>
        <w:rPr>
          <w:rFonts w:hint="eastAsia" w:ascii="仿宋" w:hAnsi="仿宋" w:eastAsia="仿宋" w:cs="仿宋"/>
          <w:szCs w:val="28"/>
        </w:rPr>
        <w:t>（六）其他需要修订的情况。</w:t>
      </w:r>
    </w:p>
    <w:p>
      <w:pPr>
        <w:ind w:firstLine="560" w:firstLineChars="200"/>
        <w:rPr>
          <w:rFonts w:hint="eastAsia" w:ascii="仿宋" w:hAnsi="仿宋" w:eastAsia="仿宋" w:cs="仿宋"/>
          <w:szCs w:val="28"/>
        </w:rPr>
      </w:pPr>
      <w:r>
        <w:rPr>
          <w:rFonts w:hint="eastAsia" w:ascii="仿宋" w:hAnsi="仿宋" w:eastAsia="仿宋" w:cs="仿宋"/>
          <w:szCs w:val="28"/>
        </w:rPr>
        <w:t>对环境应急预案进行重大修订的，修订工作参照环境应急预案制定步骤进行。对环境应急预案个别内容进行调整的，修订工作可适当简化。</w:t>
      </w:r>
    </w:p>
    <w:p>
      <w:pPr>
        <w:outlineLvl w:val="1"/>
        <w:rPr>
          <w:rFonts w:hint="eastAsia" w:ascii="仿宋" w:hAnsi="仿宋" w:eastAsia="仿宋" w:cs="仿宋"/>
          <w:b/>
          <w:bCs/>
          <w:szCs w:val="28"/>
        </w:rPr>
      </w:pPr>
      <w:bookmarkStart w:id="208" w:name="_Toc3941"/>
      <w:bookmarkStart w:id="209" w:name="_Toc6104"/>
      <w:r>
        <w:rPr>
          <w:rFonts w:hint="eastAsia" w:ascii="仿宋" w:hAnsi="仿宋" w:eastAsia="仿宋" w:cs="仿宋"/>
          <w:b/>
          <w:bCs/>
          <w:szCs w:val="28"/>
        </w:rPr>
        <w:t>14.3预案</w:t>
      </w:r>
      <w:bookmarkEnd w:id="206"/>
      <w:bookmarkEnd w:id="207"/>
      <w:r>
        <w:rPr>
          <w:rFonts w:hint="eastAsia" w:ascii="仿宋" w:hAnsi="仿宋" w:eastAsia="仿宋" w:cs="仿宋"/>
          <w:b/>
          <w:bCs/>
          <w:szCs w:val="28"/>
        </w:rPr>
        <w:t>发布</w:t>
      </w:r>
      <w:bookmarkEnd w:id="208"/>
      <w:bookmarkEnd w:id="209"/>
    </w:p>
    <w:p>
      <w:pPr>
        <w:ind w:firstLine="560" w:firstLineChars="200"/>
        <w:rPr>
          <w:rFonts w:hint="eastAsia" w:ascii="仿宋" w:hAnsi="仿宋" w:eastAsia="仿宋" w:cs="仿宋"/>
          <w:szCs w:val="28"/>
        </w:rPr>
      </w:pPr>
      <w:bookmarkStart w:id="210" w:name="_Toc30947"/>
      <w:r>
        <w:rPr>
          <w:rFonts w:hint="eastAsia" w:ascii="仿宋" w:hAnsi="仿宋" w:eastAsia="仿宋" w:cs="仿宋"/>
          <w:szCs w:val="28"/>
        </w:rPr>
        <w:t>根据专家意见修改完善后的应急预案，由总经理签署发布令，宣布应急预案生效。企业按规定将应急预案呈报</w:t>
      </w:r>
      <w:r>
        <w:rPr>
          <w:rFonts w:hint="eastAsia" w:ascii="仿宋" w:hAnsi="仿宋" w:cs="仿宋"/>
          <w:szCs w:val="28"/>
          <w:lang w:val="en-US" w:eastAsia="zh-CN"/>
        </w:rPr>
        <w:t>经开</w:t>
      </w:r>
      <w:r>
        <w:rPr>
          <w:rFonts w:hint="eastAsia" w:ascii="仿宋" w:hAnsi="仿宋" w:eastAsia="仿宋" w:cs="仿宋"/>
          <w:szCs w:val="28"/>
          <w:lang w:val="en-US" w:eastAsia="zh-CN"/>
        </w:rPr>
        <w:t>区</w:t>
      </w:r>
      <w:r>
        <w:rPr>
          <w:rFonts w:hint="eastAsia" w:ascii="仿宋" w:hAnsi="仿宋" w:eastAsia="仿宋" w:cs="仿宋"/>
          <w:szCs w:val="28"/>
        </w:rPr>
        <w:t>环境主管部门备案。</w:t>
      </w:r>
    </w:p>
    <w:p>
      <w:pPr>
        <w:outlineLvl w:val="0"/>
        <w:rPr>
          <w:rFonts w:hint="eastAsia" w:ascii="仿宋" w:hAnsi="仿宋" w:eastAsia="仿宋" w:cs="仿宋"/>
          <w:sz w:val="28"/>
          <w:szCs w:val="28"/>
        </w:rPr>
      </w:pPr>
      <w:r>
        <w:rPr>
          <w:rFonts w:ascii="Times New Roman" w:hAnsi="Times New Roman"/>
          <w:szCs w:val="28"/>
        </w:rPr>
        <w:br w:type="page"/>
      </w:r>
      <w:bookmarkStart w:id="211" w:name="_Toc2606"/>
      <w:bookmarkStart w:id="212" w:name="_Toc4871"/>
      <w:bookmarkStart w:id="213" w:name="_Toc19032_WPSOffice_Level1"/>
      <w:r>
        <w:rPr>
          <w:rFonts w:hint="eastAsia" w:ascii="仿宋" w:hAnsi="仿宋" w:eastAsia="仿宋" w:cs="仿宋"/>
          <w:b/>
          <w:bCs/>
          <w:sz w:val="28"/>
          <w:szCs w:val="28"/>
        </w:rPr>
        <w:t>15.附图、附件</w:t>
      </w:r>
      <w:bookmarkEnd w:id="210"/>
      <w:bookmarkEnd w:id="211"/>
      <w:bookmarkEnd w:id="212"/>
      <w:bookmarkEnd w:id="213"/>
    </w:p>
    <w:p>
      <w:pPr>
        <w:ind w:firstLine="560" w:firstLineChars="200"/>
        <w:outlineLvl w:val="1"/>
        <w:rPr>
          <w:rFonts w:hint="eastAsia" w:ascii="仿宋" w:hAnsi="仿宋" w:eastAsia="仿宋" w:cs="仿宋"/>
          <w:sz w:val="28"/>
          <w:szCs w:val="28"/>
        </w:rPr>
      </w:pPr>
      <w:bookmarkStart w:id="214" w:name="_Toc1547"/>
      <w:bookmarkStart w:id="215" w:name="_Toc663_WPSOffice_Level1"/>
      <w:r>
        <w:rPr>
          <w:rFonts w:hint="eastAsia" w:ascii="仿宋" w:hAnsi="仿宋" w:eastAsia="仿宋" w:cs="仿宋"/>
          <w:sz w:val="28"/>
          <w:szCs w:val="28"/>
        </w:rPr>
        <w:t>一、附图</w:t>
      </w:r>
      <w:bookmarkEnd w:id="214"/>
      <w:bookmarkEnd w:id="215"/>
    </w:p>
    <w:p>
      <w:pPr>
        <w:ind w:firstLine="560" w:firstLineChars="200"/>
        <w:rPr>
          <w:rFonts w:hint="eastAsia" w:ascii="仿宋" w:hAnsi="仿宋" w:eastAsia="仿宋" w:cs="仿宋"/>
          <w:sz w:val="28"/>
          <w:szCs w:val="28"/>
        </w:rPr>
      </w:pPr>
      <w:bookmarkStart w:id="216" w:name="_Toc22703"/>
      <w:bookmarkStart w:id="217" w:name="_Toc18481_WPSOffice_Level2"/>
      <w:bookmarkStart w:id="218" w:name="_Toc24408_WPSOffice_Level2"/>
      <w:bookmarkStart w:id="219" w:name="_Toc9056"/>
      <w:bookmarkStart w:id="220" w:name="_Toc33629946"/>
      <w:r>
        <w:rPr>
          <w:rFonts w:hint="eastAsia" w:ascii="仿宋" w:hAnsi="仿宋" w:eastAsia="仿宋" w:cs="仿宋"/>
          <w:sz w:val="28"/>
          <w:szCs w:val="28"/>
        </w:rPr>
        <w:t>附图1  地理位置图</w:t>
      </w:r>
      <w:bookmarkEnd w:id="216"/>
      <w:bookmarkEnd w:id="217"/>
      <w:bookmarkEnd w:id="218"/>
      <w:bookmarkEnd w:id="219"/>
      <w:bookmarkEnd w:id="220"/>
    </w:p>
    <w:p>
      <w:pPr>
        <w:ind w:firstLine="560" w:firstLineChars="200"/>
        <w:rPr>
          <w:rFonts w:hint="eastAsia" w:ascii="仿宋" w:hAnsi="仿宋" w:eastAsia="仿宋" w:cs="仿宋"/>
          <w:sz w:val="28"/>
          <w:szCs w:val="28"/>
        </w:rPr>
      </w:pPr>
      <w:bookmarkStart w:id="221" w:name="_Toc33629947"/>
      <w:bookmarkStart w:id="222" w:name="_Toc17001_WPSOffice_Level2"/>
      <w:bookmarkStart w:id="223" w:name="_Toc28374"/>
      <w:bookmarkStart w:id="224" w:name="_Toc32588_WPSOffice_Level2"/>
      <w:bookmarkStart w:id="225" w:name="_Toc5797"/>
      <w:r>
        <w:rPr>
          <w:rFonts w:hint="eastAsia" w:ascii="仿宋" w:hAnsi="仿宋" w:eastAsia="仿宋" w:cs="仿宋"/>
          <w:sz w:val="28"/>
          <w:szCs w:val="28"/>
        </w:rPr>
        <w:t>附图2  周边环境图</w:t>
      </w:r>
      <w:bookmarkEnd w:id="221"/>
      <w:bookmarkEnd w:id="222"/>
      <w:bookmarkEnd w:id="223"/>
      <w:bookmarkEnd w:id="224"/>
      <w:bookmarkEnd w:id="225"/>
    </w:p>
    <w:p>
      <w:pPr>
        <w:ind w:firstLine="560" w:firstLineChars="200"/>
        <w:rPr>
          <w:rFonts w:hint="eastAsia" w:ascii="仿宋" w:hAnsi="仿宋" w:eastAsia="仿宋" w:cs="仿宋"/>
          <w:sz w:val="28"/>
          <w:szCs w:val="28"/>
        </w:rPr>
      </w:pPr>
      <w:r>
        <w:rPr>
          <w:rFonts w:hint="eastAsia" w:ascii="仿宋" w:hAnsi="仿宋" w:eastAsia="仿宋" w:cs="仿宋"/>
          <w:sz w:val="28"/>
          <w:szCs w:val="28"/>
        </w:rPr>
        <w:t>附图3  平面布置图</w:t>
      </w:r>
    </w:p>
    <w:p>
      <w:pPr>
        <w:pStyle w:val="39"/>
        <w:ind w:left="0" w:leftChars="0" w:firstLine="560"/>
        <w:rPr>
          <w:rFonts w:hint="eastAsia" w:ascii="仿宋" w:hAnsi="仿宋" w:eastAsia="仿宋" w:cs="仿宋"/>
          <w:sz w:val="28"/>
          <w:szCs w:val="28"/>
        </w:rPr>
      </w:pPr>
      <w:r>
        <w:rPr>
          <w:rFonts w:hint="eastAsia" w:ascii="仿宋" w:hAnsi="仿宋" w:eastAsia="仿宋" w:cs="仿宋"/>
          <w:sz w:val="28"/>
          <w:szCs w:val="28"/>
        </w:rPr>
        <w:t xml:space="preserve">附图4 </w:t>
      </w:r>
      <w:r>
        <w:rPr>
          <w:rFonts w:hint="eastAsia" w:ascii="仿宋" w:hAnsi="仿宋" w:eastAsia="仿宋" w:cs="仿宋"/>
          <w:sz w:val="28"/>
          <w:szCs w:val="28"/>
          <w:lang w:val="en-US" w:eastAsia="zh-CN"/>
        </w:rPr>
        <w:t xml:space="preserve"> 500m</w:t>
      </w:r>
      <w:r>
        <w:rPr>
          <w:rFonts w:hint="eastAsia" w:ascii="仿宋" w:hAnsi="仿宋" w:eastAsia="仿宋" w:cs="仿宋"/>
          <w:sz w:val="28"/>
          <w:szCs w:val="28"/>
        </w:rPr>
        <w:t>大气环境风险受体分布图</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附图5  </w:t>
      </w:r>
      <w:r>
        <w:rPr>
          <w:rFonts w:hint="eastAsia" w:ascii="仿宋" w:hAnsi="仿宋" w:eastAsia="仿宋" w:cs="仿宋"/>
          <w:sz w:val="28"/>
          <w:szCs w:val="28"/>
          <w:lang w:val="en-US" w:eastAsia="zh-CN"/>
        </w:rPr>
        <w:t>5km大气</w:t>
      </w:r>
      <w:r>
        <w:rPr>
          <w:rFonts w:hint="eastAsia" w:ascii="仿宋" w:hAnsi="仿宋" w:eastAsia="仿宋" w:cs="仿宋"/>
          <w:sz w:val="28"/>
          <w:szCs w:val="28"/>
        </w:rPr>
        <w:t>环境风险受体分布图</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附图6  应急疏散图</w:t>
      </w:r>
    </w:p>
    <w:p>
      <w:pPr>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 xml:space="preserve">附图7  </w:t>
      </w:r>
      <w:r>
        <w:rPr>
          <w:rFonts w:hint="eastAsia" w:ascii="仿宋" w:hAnsi="仿宋" w:cs="仿宋"/>
          <w:sz w:val="28"/>
          <w:szCs w:val="28"/>
          <w:lang w:val="en-US" w:eastAsia="zh-CN"/>
        </w:rPr>
        <w:t>水环境风险受体图</w:t>
      </w:r>
    </w:p>
    <w:p>
      <w:pPr>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 xml:space="preserve">附图8  </w:t>
      </w:r>
      <w:r>
        <w:rPr>
          <w:rFonts w:hint="eastAsia" w:ascii="仿宋" w:hAnsi="仿宋" w:cs="仿宋"/>
          <w:sz w:val="28"/>
          <w:szCs w:val="28"/>
          <w:lang w:val="en-US" w:eastAsia="zh-CN"/>
        </w:rPr>
        <w:t>应急物资分布图</w:t>
      </w:r>
    </w:p>
    <w:p>
      <w:pPr>
        <w:numPr>
          <w:ilvl w:val="0"/>
          <w:numId w:val="11"/>
        </w:numPr>
        <w:ind w:firstLine="560" w:firstLineChars="200"/>
        <w:outlineLvl w:val="1"/>
        <w:rPr>
          <w:rFonts w:hint="eastAsia" w:ascii="仿宋" w:hAnsi="仿宋" w:eastAsia="仿宋" w:cs="仿宋"/>
          <w:sz w:val="28"/>
          <w:szCs w:val="28"/>
        </w:rPr>
      </w:pPr>
      <w:bookmarkStart w:id="226" w:name="_Toc29202_WPSOffice_Level1"/>
      <w:bookmarkStart w:id="227" w:name="_Toc10875"/>
      <w:r>
        <w:rPr>
          <w:rFonts w:hint="eastAsia" w:ascii="仿宋" w:hAnsi="仿宋" w:eastAsia="仿宋" w:cs="仿宋"/>
          <w:sz w:val="28"/>
          <w:szCs w:val="28"/>
        </w:rPr>
        <w:t>附件</w:t>
      </w:r>
      <w:bookmarkEnd w:id="226"/>
      <w:bookmarkEnd w:id="227"/>
    </w:p>
    <w:p>
      <w:pPr>
        <w:pStyle w:val="39"/>
        <w:ind w:left="0" w:leftChars="0" w:firstLine="560" w:firstLineChars="0"/>
        <w:rPr>
          <w:rFonts w:hint="eastAsia" w:ascii="仿宋" w:hAnsi="仿宋" w:eastAsia="仿宋" w:cs="仿宋"/>
          <w:sz w:val="28"/>
          <w:szCs w:val="28"/>
        </w:rPr>
      </w:pPr>
      <w:bookmarkStart w:id="228" w:name="_Toc33629950"/>
      <w:bookmarkStart w:id="229" w:name="_Toc19220"/>
      <w:bookmarkStart w:id="230" w:name="_Toc6954"/>
      <w:r>
        <w:rPr>
          <w:rFonts w:hint="eastAsia" w:ascii="仿宋" w:hAnsi="仿宋" w:eastAsia="仿宋" w:cs="仿宋"/>
          <w:sz w:val="28"/>
          <w:szCs w:val="28"/>
        </w:rPr>
        <w:t>附件1  营业执照</w:t>
      </w:r>
    </w:p>
    <w:p>
      <w:pPr>
        <w:pStyle w:val="39"/>
        <w:ind w:left="0" w:leftChars="0" w:firstLine="560" w:firstLineChars="0"/>
        <w:rPr>
          <w:rFonts w:hint="default" w:ascii="仿宋" w:hAnsi="仿宋" w:eastAsia="仿宋" w:cs="仿宋"/>
          <w:sz w:val="28"/>
          <w:szCs w:val="28"/>
          <w:lang w:val="en-US" w:eastAsia="zh-CN"/>
        </w:rPr>
      </w:pPr>
      <w:r>
        <w:rPr>
          <w:rFonts w:hint="eastAsia" w:ascii="仿宋" w:hAnsi="仿宋" w:eastAsia="仿宋" w:cs="仿宋"/>
          <w:sz w:val="28"/>
          <w:szCs w:val="28"/>
        </w:rPr>
        <w:t>附件2  环评批复</w:t>
      </w:r>
    </w:p>
    <w:p>
      <w:pPr>
        <w:pStyle w:val="39"/>
        <w:ind w:left="0" w:leftChars="0" w:firstLine="560" w:firstLineChars="0"/>
        <w:rPr>
          <w:rFonts w:hint="eastAsia" w:ascii="仿宋" w:hAnsi="仿宋" w:eastAsia="仿宋" w:cs="仿宋"/>
          <w:sz w:val="28"/>
          <w:szCs w:val="28"/>
          <w:lang w:val="en-US" w:eastAsia="zh-CN"/>
        </w:rPr>
      </w:pPr>
      <w:r>
        <w:rPr>
          <w:rFonts w:hint="eastAsia" w:ascii="仿宋" w:hAnsi="仿宋" w:eastAsia="仿宋" w:cs="仿宋"/>
          <w:sz w:val="28"/>
          <w:szCs w:val="28"/>
        </w:rPr>
        <w:t xml:space="preserve">附件3  </w:t>
      </w:r>
      <w:bookmarkEnd w:id="228"/>
      <w:bookmarkEnd w:id="229"/>
      <w:bookmarkEnd w:id="230"/>
      <w:r>
        <w:rPr>
          <w:rFonts w:hint="eastAsia" w:ascii="仿宋" w:hAnsi="仿宋" w:eastAsia="仿宋" w:cs="仿宋"/>
          <w:sz w:val="28"/>
          <w:szCs w:val="28"/>
          <w:lang w:val="en-US" w:eastAsia="zh-CN"/>
        </w:rPr>
        <w:t>应急预案备案表</w:t>
      </w: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附件4  危废协议</w:t>
      </w:r>
    </w:p>
    <w:p>
      <w:pPr>
        <w:pStyle w:val="39"/>
        <w:ind w:left="0" w:leftChars="0" w:firstLine="560" w:firstLineChars="0"/>
        <w:outlineLvl w:val="0"/>
        <w:rPr>
          <w:rFonts w:hint="eastAsia" w:ascii="仿宋" w:hAnsi="仿宋" w:eastAsia="仿宋" w:cs="仿宋"/>
          <w:sz w:val="28"/>
          <w:szCs w:val="28"/>
        </w:rPr>
      </w:pPr>
      <w:bookmarkStart w:id="231" w:name="_Toc803"/>
      <w:r>
        <w:rPr>
          <w:rFonts w:hint="eastAsia" w:ascii="仿宋" w:hAnsi="仿宋" w:eastAsia="仿宋" w:cs="仿宋"/>
          <w:sz w:val="28"/>
          <w:szCs w:val="28"/>
        </w:rPr>
        <w:t>附件</w:t>
      </w:r>
      <w:r>
        <w:rPr>
          <w:rFonts w:hint="eastAsia" w:ascii="仿宋" w:hAnsi="仿宋" w:eastAsia="仿宋" w:cs="仿宋"/>
          <w:sz w:val="28"/>
          <w:szCs w:val="28"/>
          <w:lang w:val="en-US" w:eastAsia="zh-CN"/>
        </w:rPr>
        <w:t>5</w:t>
      </w:r>
      <w:r>
        <w:rPr>
          <w:rFonts w:hint="eastAsia" w:ascii="仿宋" w:hAnsi="仿宋" w:eastAsia="仿宋" w:cs="仿宋"/>
          <w:sz w:val="28"/>
          <w:szCs w:val="28"/>
        </w:rPr>
        <w:t xml:space="preserve">  公司岗位人员设置及联系方式</w:t>
      </w:r>
      <w:bookmarkEnd w:id="231"/>
    </w:p>
    <w:p>
      <w:pPr>
        <w:pStyle w:val="39"/>
        <w:ind w:left="0" w:leftChars="0" w:firstLine="560" w:firstLineChars="0"/>
        <w:rPr>
          <w:rFonts w:hint="eastAsia" w:ascii="仿宋" w:hAnsi="仿宋" w:eastAsia="仿宋" w:cs="仿宋"/>
          <w:sz w:val="28"/>
          <w:szCs w:val="28"/>
        </w:rPr>
      </w:pPr>
      <w:r>
        <w:rPr>
          <w:rFonts w:hint="eastAsia" w:ascii="仿宋" w:hAnsi="仿宋" w:eastAsia="仿宋" w:cs="仿宋"/>
          <w:sz w:val="28"/>
          <w:szCs w:val="28"/>
        </w:rPr>
        <w:t>附件</w:t>
      </w:r>
      <w:r>
        <w:rPr>
          <w:rFonts w:hint="eastAsia" w:ascii="仿宋" w:hAnsi="仿宋" w:eastAsia="仿宋" w:cs="仿宋"/>
          <w:sz w:val="28"/>
          <w:szCs w:val="28"/>
          <w:lang w:val="en-US" w:eastAsia="zh-CN"/>
        </w:rPr>
        <w:t>6</w:t>
      </w:r>
      <w:r>
        <w:rPr>
          <w:rFonts w:hint="eastAsia" w:ascii="仿宋" w:hAnsi="仿宋" w:eastAsia="仿宋" w:cs="仿宋"/>
          <w:sz w:val="28"/>
          <w:szCs w:val="28"/>
        </w:rPr>
        <w:t xml:space="preserve">  关键岗位应急处置卡</w:t>
      </w:r>
    </w:p>
    <w:p>
      <w:pPr>
        <w:ind w:firstLine="560" w:firstLineChars="200"/>
        <w:outlineLvl w:val="0"/>
        <w:rPr>
          <w:rFonts w:hint="eastAsia" w:ascii="仿宋" w:hAnsi="仿宋" w:cs="仿宋"/>
          <w:sz w:val="28"/>
          <w:szCs w:val="28"/>
          <w:lang w:val="en-US" w:eastAsia="zh-CN"/>
        </w:rPr>
      </w:pPr>
      <w:bookmarkStart w:id="232" w:name="_Toc11247"/>
      <w:r>
        <w:rPr>
          <w:rFonts w:hint="eastAsia" w:ascii="仿宋" w:hAnsi="仿宋" w:eastAsia="仿宋" w:cs="仿宋"/>
          <w:sz w:val="28"/>
          <w:szCs w:val="28"/>
          <w:lang w:val="en-US" w:eastAsia="zh-CN"/>
        </w:rPr>
        <w:t xml:space="preserve">附件7  </w:t>
      </w:r>
      <w:r>
        <w:rPr>
          <w:rFonts w:hint="eastAsia" w:ascii="仿宋" w:hAnsi="仿宋" w:cs="仿宋"/>
          <w:sz w:val="28"/>
          <w:szCs w:val="28"/>
          <w:lang w:val="en-US" w:eastAsia="zh-CN"/>
        </w:rPr>
        <w:t>应急监测协议</w:t>
      </w:r>
      <w:bookmarkEnd w:id="232"/>
    </w:p>
    <w:p>
      <w:pPr>
        <w:pStyle w:val="39"/>
        <w:ind w:left="0" w:leftChars="0" w:firstLine="560" w:firstLineChars="200"/>
        <w:rPr>
          <w:rFonts w:hint="default"/>
          <w:lang w:val="en-US" w:eastAsia="zh-CN"/>
        </w:rPr>
      </w:pPr>
      <w:r>
        <w:rPr>
          <w:rFonts w:hint="eastAsia" w:ascii="仿宋" w:hAnsi="仿宋" w:cs="仿宋"/>
          <w:sz w:val="28"/>
          <w:szCs w:val="28"/>
          <w:lang w:val="en-US" w:eastAsia="zh-CN"/>
        </w:rPr>
        <w:t>附件8  应急互助协议</w:t>
      </w:r>
    </w:p>
    <w:p>
      <w:pPr>
        <w:pStyle w:val="39"/>
        <w:ind w:left="0" w:leftChars="0" w:firstLine="0" w:firstLineChars="0"/>
        <w:outlineLvl w:val="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w:t>
      </w:r>
      <w:bookmarkStart w:id="233" w:name="_Toc19249"/>
      <w:r>
        <w:rPr>
          <w:rFonts w:hint="eastAsia" w:ascii="仿宋" w:hAnsi="仿宋" w:eastAsia="仿宋" w:cs="仿宋"/>
          <w:sz w:val="28"/>
          <w:szCs w:val="28"/>
          <w:lang w:val="en-US" w:eastAsia="zh-CN"/>
        </w:rPr>
        <w:t>附件</w:t>
      </w:r>
      <w:r>
        <w:rPr>
          <w:rFonts w:hint="eastAsia" w:ascii="仿宋" w:hAnsi="仿宋" w:cs="仿宋"/>
          <w:sz w:val="28"/>
          <w:szCs w:val="28"/>
          <w:lang w:val="en-US" w:eastAsia="zh-CN"/>
        </w:rPr>
        <w:t>9</w:t>
      </w:r>
      <w:r>
        <w:rPr>
          <w:rFonts w:hint="eastAsia" w:ascii="仿宋" w:hAnsi="仿宋" w:eastAsia="仿宋" w:cs="仿宋"/>
          <w:sz w:val="28"/>
          <w:szCs w:val="28"/>
          <w:lang w:val="en-US" w:eastAsia="zh-CN"/>
        </w:rPr>
        <w:t xml:space="preserve">  修改索引</w:t>
      </w:r>
      <w:bookmarkEnd w:id="233"/>
    </w:p>
    <w:p>
      <w:pPr>
        <w:pStyle w:val="39"/>
        <w:rPr>
          <w:rFonts w:hint="default"/>
          <w:lang w:val="en-US" w:eastAsia="zh-CN"/>
        </w:rPr>
      </w:pPr>
    </w:p>
    <w:p>
      <w:pPr>
        <w:pStyle w:val="39"/>
        <w:ind w:left="0" w:leftChars="0" w:firstLine="560" w:firstLineChars="0"/>
        <w:rPr>
          <w:rFonts w:ascii="Times New Roman" w:hAnsi="Times New Roman"/>
          <w:sz w:val="28"/>
          <w:szCs w:val="28"/>
        </w:rPr>
      </w:pPr>
    </w:p>
    <w:p>
      <w:pPr>
        <w:ind w:firstLine="560"/>
        <w:rPr>
          <w:rFonts w:ascii="Times New Roman" w:hAnsi="Times New Roman"/>
          <w:szCs w:val="28"/>
        </w:rPr>
      </w:pPr>
    </w:p>
    <w:sectPr>
      <w:footerReference r:id="rId12" w:type="default"/>
      <w:pgSz w:w="12240" w:h="15840"/>
      <w:pgMar w:top="1440" w:right="1800" w:bottom="1440" w:left="1800" w:header="720" w:footer="720" w:gutter="0"/>
      <w:cols w:space="720" w:num="1"/>
      <w:docGrid w:linePitch="28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Arial Unicode MS">
    <w:altName w:val="Malgun Gothic Semilight"/>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Malgun Gothic Semilight">
    <w:panose1 w:val="020B0502040204020203"/>
    <w:charset w:val="86"/>
    <w:family w:val="auto"/>
    <w:pitch w:val="default"/>
    <w:sig w:usb0="900002AF" w:usb1="01D77CFB" w:usb2="00000012" w:usb3="00000000" w:csb0="203E01BD" w:csb1="D7FF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w:fldChar w:fldCharType="begin"/>
    </w:r>
    <w:r>
      <w:instrText xml:space="preserve">PAGE   \* MERGEFORMAT</w:instrText>
    </w:r>
    <w:r>
      <w:fldChar w:fldCharType="separate"/>
    </w:r>
    <w:r>
      <w:rPr>
        <w:lang w:val="zh-CN"/>
      </w:rPr>
      <w:t>III</w:t>
    </w:r>
    <w:r>
      <w:fldChar w:fldCharType="end"/>
    </w:r>
  </w:p>
  <w:p>
    <w:pPr>
      <w:pStyle w:val="2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both"/>
    </w:pPr>
    <w:r>
      <w:pict>
        <v:shape id="_x0000_s3074" o:spid="_x0000_s3074"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26"/>
                </w:pPr>
                <w:r>
                  <w:rPr>
                    <w:rFonts w:hint="eastAsia"/>
                  </w:rPr>
                  <w:fldChar w:fldCharType="begin"/>
                </w:r>
                <w:r>
                  <w:rPr>
                    <w:rFonts w:hint="eastAsia"/>
                  </w:rPr>
                  <w:instrText xml:space="preserve"> PAGE  \* MERGEFORMAT </w:instrText>
                </w:r>
                <w:r>
                  <w:rPr>
                    <w:rFonts w:hint="eastAsia"/>
                  </w:rPr>
                  <w:fldChar w:fldCharType="separate"/>
                </w:r>
                <w:r>
                  <w:t>17</w:t>
                </w:r>
                <w:r>
                  <w:rPr>
                    <w:rFonts w:hint="eastAsia"/>
                  </w:rP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4230" w:firstLineChars="2350"/>
    </w:pPr>
    <w:r>
      <w:pict>
        <v:rect id="文本框 11267" o:spid="_x0000_s3073" o:spt="1" style="position:absolute;left:0pt;margin-top:0pt;height:10.35pt;width:4.55pt;mso-position-horizontal:center;mso-position-horizontal-relative:margin;mso-wrap-style:none;z-index:251659264;mso-width-relative:page;mso-height-relative:page;" filled="f" o:preferrelative="t" stroked="f" coordsize="21600,21600">
          <v:path/>
          <v:fill on="f" focussize="0,0"/>
          <v:stroke on="f"/>
          <v:imagedata o:title=""/>
          <o:lock v:ext="edit"/>
          <v:textbox inset="0mm,0mm,0mm,0mm" style="mso-fit-shape-to-text:t;">
            <w:txbxContent>
              <w:p>
                <w:pPr>
                  <w:pStyle w:val="26"/>
                </w:pPr>
                <w:r>
                  <w:rPr>
                    <w:rFonts w:hint="eastAsia"/>
                  </w:rPr>
                  <w:fldChar w:fldCharType="begin"/>
                </w:r>
                <w:r>
                  <w:rPr>
                    <w:rFonts w:hint="eastAsia"/>
                  </w:rPr>
                  <w:instrText xml:space="preserve"> PAGE  \* MERGEFORMAT </w:instrText>
                </w:r>
                <w:r>
                  <w:rPr>
                    <w:rFonts w:hint="eastAsia"/>
                  </w:rPr>
                  <w:fldChar w:fldCharType="separate"/>
                </w:r>
                <w:r>
                  <w:t>34</w:t>
                </w:r>
                <w:r>
                  <w:rPr>
                    <w:rFonts w:hint="eastAsia"/>
                  </w:rPr>
                  <w:fldChar w:fldCharType="end"/>
                </w:r>
              </w:p>
            </w:txbxContent>
          </v:textbox>
        </v:rect>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spacing w:line="240" w:lineRule="auto"/>
      <w:jc w:val="right"/>
      <w:rPr>
        <w:rFonts w:hint="eastAsia" w:eastAsia="仿宋_GB2312"/>
        <w:lang w:eastAsia="zh-CN"/>
      </w:rPr>
    </w:pPr>
    <w:r>
      <w:rPr>
        <w:rFonts w:hint="eastAsia" w:eastAsia="仿宋_GB2312"/>
        <w:b/>
        <w:bCs/>
        <w:lang w:val="en-US" w:eastAsia="zh-CN"/>
      </w:rPr>
      <w:t>天津豪骏车业有限公司</w:t>
    </w:r>
    <w:r>
      <w:rPr>
        <w:rFonts w:hint="eastAsia" w:ascii="仿宋_GB2312" w:hAnsi="Arial Unicode MS" w:eastAsia="仿宋_GB2312" w:cs="Arial Unicode MS"/>
        <w:b/>
        <w:bCs/>
        <w:kern w:val="0"/>
        <w:szCs w:val="18"/>
      </w:rPr>
      <w:t>突发环境事件应急预案</w:t>
    </w:r>
    <w:r>
      <w:rPr>
        <w:rFonts w:hint="eastAsia" w:ascii="仿宋_GB2312" w:hAnsi="Arial Unicode MS" w:eastAsia="仿宋_GB2312" w:cs="Arial Unicode MS"/>
        <w:b/>
        <w:bCs/>
        <w:kern w:val="0"/>
        <w:szCs w:val="18"/>
        <w:lang w:eastAsia="zh-CN"/>
      </w:rPr>
      <w:t>（</w:t>
    </w:r>
    <w:r>
      <w:rPr>
        <w:rFonts w:hint="eastAsia" w:ascii="仿宋_GB2312" w:hAnsi="Arial Unicode MS" w:eastAsia="仿宋_GB2312" w:cs="Arial Unicode MS"/>
        <w:b/>
        <w:bCs/>
        <w:kern w:val="0"/>
        <w:szCs w:val="18"/>
        <w:lang w:val="en-US" w:eastAsia="zh-CN"/>
      </w:rPr>
      <w:t>2023年修订</w:t>
    </w:r>
    <w:r>
      <w:rPr>
        <w:rFonts w:hint="eastAsia" w:ascii="仿宋_GB2312" w:hAnsi="Arial Unicode MS" w:eastAsia="仿宋_GB2312" w:cs="Arial Unicode MS"/>
        <w:b/>
        <w:bCs/>
        <w:kern w:val="0"/>
        <w:szCs w:val="18"/>
        <w:lang w:eastAsia="zh-CN"/>
      </w:rPr>
      <w:t>）</w:t>
    </w:r>
  </w:p>
  <w:p>
    <w:pPr>
      <w:pStyle w:val="27"/>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spacing w:line="240" w:lineRule="auto"/>
      <w:jc w:val="right"/>
      <w:rPr>
        <w:rFonts w:hint="eastAsia" w:ascii="仿宋" w:hAnsi="仿宋" w:eastAsia="仿宋" w:cs="仿宋"/>
        <w:b w:val="0"/>
        <w:bCs w:val="0"/>
        <w:lang w:eastAsia="zh-CN"/>
      </w:rPr>
    </w:pPr>
    <w:r>
      <w:rPr>
        <w:rFonts w:hint="eastAsia" w:ascii="仿宋" w:hAnsi="仿宋" w:cs="仿宋"/>
        <w:b w:val="0"/>
        <w:bCs w:val="0"/>
        <w:lang w:val="en-US" w:eastAsia="zh-CN"/>
      </w:rPr>
      <w:t>天津豪骏车业有限公司</w:t>
    </w:r>
    <w:r>
      <w:rPr>
        <w:rFonts w:hint="eastAsia" w:ascii="仿宋" w:hAnsi="仿宋" w:eastAsia="仿宋" w:cs="仿宋"/>
        <w:b w:val="0"/>
        <w:bCs w:val="0"/>
        <w:kern w:val="0"/>
        <w:szCs w:val="18"/>
      </w:rPr>
      <w:t>突发环境事件应急预案</w:t>
    </w:r>
    <w:r>
      <w:rPr>
        <w:rFonts w:hint="eastAsia" w:ascii="仿宋" w:hAnsi="仿宋" w:eastAsia="仿宋" w:cs="仿宋"/>
        <w:b w:val="0"/>
        <w:bCs w:val="0"/>
        <w:kern w:val="0"/>
        <w:szCs w:val="18"/>
        <w:lang w:eastAsia="zh-CN"/>
      </w:rPr>
      <w:t>（</w:t>
    </w:r>
    <w:r>
      <w:rPr>
        <w:rFonts w:hint="eastAsia" w:ascii="仿宋" w:hAnsi="仿宋" w:eastAsia="仿宋" w:cs="仿宋"/>
        <w:b w:val="0"/>
        <w:bCs w:val="0"/>
        <w:kern w:val="0"/>
        <w:szCs w:val="18"/>
        <w:lang w:val="en-US" w:eastAsia="zh-CN"/>
      </w:rPr>
      <w:t>2023年修订</w:t>
    </w:r>
    <w:r>
      <w:rPr>
        <w:rFonts w:hint="eastAsia" w:ascii="仿宋" w:hAnsi="仿宋" w:eastAsia="仿宋" w:cs="仿宋"/>
        <w:b w:val="0"/>
        <w:bCs w:val="0"/>
        <w:kern w:val="0"/>
        <w:szCs w:val="18"/>
        <w:lang w:eastAsia="zh-CN"/>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A5EF13"/>
    <w:multiLevelType w:val="singleLevel"/>
    <w:tmpl w:val="85A5EF13"/>
    <w:lvl w:ilvl="0" w:tentative="0">
      <w:start w:val="1"/>
      <w:numFmt w:val="decimal"/>
      <w:suff w:val="nothing"/>
      <w:lvlText w:val="（%1）"/>
      <w:lvlJc w:val="left"/>
    </w:lvl>
  </w:abstractNum>
  <w:abstractNum w:abstractNumId="1">
    <w:nsid w:val="860CD737"/>
    <w:multiLevelType w:val="singleLevel"/>
    <w:tmpl w:val="860CD737"/>
    <w:lvl w:ilvl="0" w:tentative="0">
      <w:start w:val="1"/>
      <w:numFmt w:val="decimal"/>
      <w:suff w:val="nothing"/>
      <w:lvlText w:val="（%1）"/>
      <w:lvlJc w:val="left"/>
    </w:lvl>
  </w:abstractNum>
  <w:abstractNum w:abstractNumId="2">
    <w:nsid w:val="C7964D2C"/>
    <w:multiLevelType w:val="singleLevel"/>
    <w:tmpl w:val="C7964D2C"/>
    <w:lvl w:ilvl="0" w:tentative="0">
      <w:start w:val="1"/>
      <w:numFmt w:val="decimal"/>
      <w:suff w:val="nothing"/>
      <w:lvlText w:val="%1、"/>
      <w:lvlJc w:val="left"/>
    </w:lvl>
  </w:abstractNum>
  <w:abstractNum w:abstractNumId="3">
    <w:nsid w:val="D3D853B3"/>
    <w:multiLevelType w:val="singleLevel"/>
    <w:tmpl w:val="D3D853B3"/>
    <w:lvl w:ilvl="0" w:tentative="0">
      <w:start w:val="1"/>
      <w:numFmt w:val="decimal"/>
      <w:suff w:val="nothing"/>
      <w:lvlText w:val="%1、"/>
      <w:lvlJc w:val="left"/>
    </w:lvl>
  </w:abstractNum>
  <w:abstractNum w:abstractNumId="4">
    <w:nsid w:val="FACABB19"/>
    <w:multiLevelType w:val="singleLevel"/>
    <w:tmpl w:val="FACABB19"/>
    <w:lvl w:ilvl="0" w:tentative="0">
      <w:start w:val="1"/>
      <w:numFmt w:val="decimal"/>
      <w:suff w:val="nothing"/>
      <w:lvlText w:val="（%1）"/>
      <w:lvlJc w:val="left"/>
    </w:lvl>
  </w:abstractNum>
  <w:abstractNum w:abstractNumId="5">
    <w:nsid w:val="1C37D160"/>
    <w:multiLevelType w:val="singleLevel"/>
    <w:tmpl w:val="1C37D160"/>
    <w:lvl w:ilvl="0" w:tentative="0">
      <w:start w:val="2"/>
      <w:numFmt w:val="chineseCounting"/>
      <w:suff w:val="nothing"/>
      <w:lvlText w:val="%1、"/>
      <w:lvlJc w:val="left"/>
      <w:rPr>
        <w:rFonts w:hint="eastAsia"/>
      </w:rPr>
    </w:lvl>
  </w:abstractNum>
  <w:abstractNum w:abstractNumId="6">
    <w:nsid w:val="1D447F6E"/>
    <w:multiLevelType w:val="singleLevel"/>
    <w:tmpl w:val="1D447F6E"/>
    <w:lvl w:ilvl="0" w:tentative="0">
      <w:start w:val="1"/>
      <w:numFmt w:val="decimal"/>
      <w:suff w:val="nothing"/>
      <w:lvlText w:val="（%1）"/>
      <w:lvlJc w:val="left"/>
    </w:lvl>
  </w:abstractNum>
  <w:abstractNum w:abstractNumId="7">
    <w:nsid w:val="2A36B75D"/>
    <w:multiLevelType w:val="singleLevel"/>
    <w:tmpl w:val="2A36B75D"/>
    <w:lvl w:ilvl="0" w:tentative="0">
      <w:start w:val="1"/>
      <w:numFmt w:val="decimal"/>
      <w:suff w:val="nothing"/>
      <w:lvlText w:val="（%1）"/>
      <w:lvlJc w:val="left"/>
    </w:lvl>
  </w:abstractNum>
  <w:abstractNum w:abstractNumId="8">
    <w:nsid w:val="3AB8CAE4"/>
    <w:multiLevelType w:val="singleLevel"/>
    <w:tmpl w:val="3AB8CAE4"/>
    <w:lvl w:ilvl="0" w:tentative="0">
      <w:start w:val="1"/>
      <w:numFmt w:val="decimal"/>
      <w:suff w:val="nothing"/>
      <w:lvlText w:val="%1、"/>
      <w:lvlJc w:val="left"/>
    </w:lvl>
  </w:abstractNum>
  <w:abstractNum w:abstractNumId="9">
    <w:nsid w:val="47018386"/>
    <w:multiLevelType w:val="singleLevel"/>
    <w:tmpl w:val="47018386"/>
    <w:lvl w:ilvl="0" w:tentative="0">
      <w:start w:val="1"/>
      <w:numFmt w:val="decimal"/>
      <w:suff w:val="nothing"/>
      <w:lvlText w:val="%1、"/>
      <w:lvlJc w:val="left"/>
    </w:lvl>
  </w:abstractNum>
  <w:abstractNum w:abstractNumId="10">
    <w:nsid w:val="54A435AC"/>
    <w:multiLevelType w:val="singleLevel"/>
    <w:tmpl w:val="54A435AC"/>
    <w:lvl w:ilvl="0" w:tentative="0">
      <w:start w:val="1"/>
      <w:numFmt w:val="decimal"/>
      <w:suff w:val="nothing"/>
      <w:lvlText w:val="（%1）"/>
      <w:lvlJc w:val="left"/>
    </w:lvl>
  </w:abstractNum>
  <w:num w:numId="1">
    <w:abstractNumId w:val="6"/>
  </w:num>
  <w:num w:numId="2">
    <w:abstractNumId w:val="1"/>
  </w:num>
  <w:num w:numId="3">
    <w:abstractNumId w:val="4"/>
  </w:num>
  <w:num w:numId="4">
    <w:abstractNumId w:val="0"/>
  </w:num>
  <w:num w:numId="5">
    <w:abstractNumId w:val="7"/>
  </w:num>
  <w:num w:numId="6">
    <w:abstractNumId w:val="8"/>
  </w:num>
  <w:num w:numId="7">
    <w:abstractNumId w:val="10"/>
  </w:num>
  <w:num w:numId="8">
    <w:abstractNumId w:val="2"/>
  </w:num>
  <w:num w:numId="9">
    <w:abstractNumId w:val="3"/>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1"/>
  <w:bordersDoNotSurroundFooter w:val="1"/>
  <w:doNotTrackMoves/>
  <w:documentProtection w:enforcement="0"/>
  <w:defaultTabStop w:val="425"/>
  <w:drawingGridHorizontalSpacing w:val="105"/>
  <w:drawingGridVerticalSpacing w:val="20"/>
  <w:noPunctuationKerning w:val="1"/>
  <w:characterSpacingControl w:val="compressPunctuation"/>
  <w:hdrShapeDefaults>
    <o:shapelayout v:ext="edit">
      <o:idmap v:ext="edit" data="1,3"/>
    </o:shapelayout>
  </w:hdrShapeDefaults>
  <w:footnotePr>
    <w:footnote w:id="0"/>
    <w:footnote w:id="1"/>
  </w:footnotePr>
  <w:endnotePr>
    <w:endnote w:id="0"/>
    <w:endnote w:id="1"/>
  </w:endnotePr>
  <w:compat>
    <w:spaceForUL/>
    <w:balanceSingleByteDoubleByteWidth/>
    <w:doNotLeaveBackslashAlone/>
    <w:ulTrailSpace/>
    <w:doNotExpandShiftReturn/>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ZGY2YmRkZTkwMDEzYzE4ZDJjNTM4OWUxZjM4NTc4MTgifQ=="/>
  </w:docVars>
  <w:rsids>
    <w:rsidRoot w:val="00172A27"/>
    <w:rsid w:val="000000B7"/>
    <w:rsid w:val="00000119"/>
    <w:rsid w:val="000001AC"/>
    <w:rsid w:val="00000226"/>
    <w:rsid w:val="00000312"/>
    <w:rsid w:val="0000111E"/>
    <w:rsid w:val="00001339"/>
    <w:rsid w:val="000013C0"/>
    <w:rsid w:val="0000142F"/>
    <w:rsid w:val="00001865"/>
    <w:rsid w:val="00001CFF"/>
    <w:rsid w:val="00001D4E"/>
    <w:rsid w:val="0000245C"/>
    <w:rsid w:val="000026E3"/>
    <w:rsid w:val="0000283D"/>
    <w:rsid w:val="00003118"/>
    <w:rsid w:val="00003220"/>
    <w:rsid w:val="0000328F"/>
    <w:rsid w:val="0000361E"/>
    <w:rsid w:val="00003ECA"/>
    <w:rsid w:val="00004103"/>
    <w:rsid w:val="000046DE"/>
    <w:rsid w:val="0000477D"/>
    <w:rsid w:val="000047F4"/>
    <w:rsid w:val="00004B12"/>
    <w:rsid w:val="00004E85"/>
    <w:rsid w:val="0000501A"/>
    <w:rsid w:val="00005037"/>
    <w:rsid w:val="00005A20"/>
    <w:rsid w:val="00005A2A"/>
    <w:rsid w:val="00005BBC"/>
    <w:rsid w:val="00006667"/>
    <w:rsid w:val="000066A1"/>
    <w:rsid w:val="00006A7F"/>
    <w:rsid w:val="00006B2C"/>
    <w:rsid w:val="00006E2B"/>
    <w:rsid w:val="000072C6"/>
    <w:rsid w:val="00007347"/>
    <w:rsid w:val="000073C0"/>
    <w:rsid w:val="00007C0C"/>
    <w:rsid w:val="00007E80"/>
    <w:rsid w:val="000100E8"/>
    <w:rsid w:val="000101CC"/>
    <w:rsid w:val="00010674"/>
    <w:rsid w:val="000108F1"/>
    <w:rsid w:val="00010E42"/>
    <w:rsid w:val="00010FD4"/>
    <w:rsid w:val="000114F3"/>
    <w:rsid w:val="0001163E"/>
    <w:rsid w:val="000116C6"/>
    <w:rsid w:val="00011C24"/>
    <w:rsid w:val="0001244F"/>
    <w:rsid w:val="00012879"/>
    <w:rsid w:val="000128B7"/>
    <w:rsid w:val="00012B27"/>
    <w:rsid w:val="00012B56"/>
    <w:rsid w:val="00012FBA"/>
    <w:rsid w:val="00012FD7"/>
    <w:rsid w:val="0001350D"/>
    <w:rsid w:val="000135C0"/>
    <w:rsid w:val="00013613"/>
    <w:rsid w:val="0001373F"/>
    <w:rsid w:val="000137AD"/>
    <w:rsid w:val="000137B8"/>
    <w:rsid w:val="000137D0"/>
    <w:rsid w:val="00013A85"/>
    <w:rsid w:val="00013B15"/>
    <w:rsid w:val="00014B86"/>
    <w:rsid w:val="00014DE2"/>
    <w:rsid w:val="000151DE"/>
    <w:rsid w:val="000152D1"/>
    <w:rsid w:val="0001559F"/>
    <w:rsid w:val="00015821"/>
    <w:rsid w:val="00015D5B"/>
    <w:rsid w:val="00016ABC"/>
    <w:rsid w:val="00017163"/>
    <w:rsid w:val="0001731B"/>
    <w:rsid w:val="00017364"/>
    <w:rsid w:val="0001746B"/>
    <w:rsid w:val="00017690"/>
    <w:rsid w:val="00017F2B"/>
    <w:rsid w:val="000202AD"/>
    <w:rsid w:val="000203D6"/>
    <w:rsid w:val="0002069E"/>
    <w:rsid w:val="00020991"/>
    <w:rsid w:val="00020CBB"/>
    <w:rsid w:val="00020DC6"/>
    <w:rsid w:val="00021205"/>
    <w:rsid w:val="0002175B"/>
    <w:rsid w:val="00021EA9"/>
    <w:rsid w:val="00021FBF"/>
    <w:rsid w:val="0002212F"/>
    <w:rsid w:val="00022585"/>
    <w:rsid w:val="00022978"/>
    <w:rsid w:val="00023240"/>
    <w:rsid w:val="00023252"/>
    <w:rsid w:val="000233A4"/>
    <w:rsid w:val="0002343A"/>
    <w:rsid w:val="00023D66"/>
    <w:rsid w:val="00023FAA"/>
    <w:rsid w:val="000243C4"/>
    <w:rsid w:val="00024A19"/>
    <w:rsid w:val="00024D6D"/>
    <w:rsid w:val="00024E27"/>
    <w:rsid w:val="00024F5E"/>
    <w:rsid w:val="00025134"/>
    <w:rsid w:val="00025224"/>
    <w:rsid w:val="000253C3"/>
    <w:rsid w:val="00025F95"/>
    <w:rsid w:val="00026288"/>
    <w:rsid w:val="00026346"/>
    <w:rsid w:val="00026520"/>
    <w:rsid w:val="000265F7"/>
    <w:rsid w:val="00026891"/>
    <w:rsid w:val="0002699A"/>
    <w:rsid w:val="000269D8"/>
    <w:rsid w:val="00026A21"/>
    <w:rsid w:val="00026C69"/>
    <w:rsid w:val="00027487"/>
    <w:rsid w:val="000274FB"/>
    <w:rsid w:val="000275A9"/>
    <w:rsid w:val="000276A6"/>
    <w:rsid w:val="00027995"/>
    <w:rsid w:val="00027A3A"/>
    <w:rsid w:val="0003011D"/>
    <w:rsid w:val="00030250"/>
    <w:rsid w:val="00031153"/>
    <w:rsid w:val="0003118B"/>
    <w:rsid w:val="000311B3"/>
    <w:rsid w:val="0003133E"/>
    <w:rsid w:val="00032015"/>
    <w:rsid w:val="000320EF"/>
    <w:rsid w:val="000329CB"/>
    <w:rsid w:val="0003349C"/>
    <w:rsid w:val="00033658"/>
    <w:rsid w:val="0003387C"/>
    <w:rsid w:val="000340CA"/>
    <w:rsid w:val="0003435B"/>
    <w:rsid w:val="000343E9"/>
    <w:rsid w:val="00034D5D"/>
    <w:rsid w:val="00035078"/>
    <w:rsid w:val="00035134"/>
    <w:rsid w:val="0003560E"/>
    <w:rsid w:val="00035751"/>
    <w:rsid w:val="00035E08"/>
    <w:rsid w:val="00035F86"/>
    <w:rsid w:val="00035FA4"/>
    <w:rsid w:val="00036003"/>
    <w:rsid w:val="00036179"/>
    <w:rsid w:val="000365D0"/>
    <w:rsid w:val="000368F2"/>
    <w:rsid w:val="000368FA"/>
    <w:rsid w:val="00036D58"/>
    <w:rsid w:val="00036D78"/>
    <w:rsid w:val="00036EBA"/>
    <w:rsid w:val="000370FC"/>
    <w:rsid w:val="0003743D"/>
    <w:rsid w:val="00037656"/>
    <w:rsid w:val="00037702"/>
    <w:rsid w:val="000378F3"/>
    <w:rsid w:val="00037C20"/>
    <w:rsid w:val="00037FF1"/>
    <w:rsid w:val="00040077"/>
    <w:rsid w:val="000400A2"/>
    <w:rsid w:val="00040119"/>
    <w:rsid w:val="00040462"/>
    <w:rsid w:val="00040543"/>
    <w:rsid w:val="0004054F"/>
    <w:rsid w:val="0004073A"/>
    <w:rsid w:val="00040C56"/>
    <w:rsid w:val="00041325"/>
    <w:rsid w:val="000418F9"/>
    <w:rsid w:val="00041AC8"/>
    <w:rsid w:val="00041AF4"/>
    <w:rsid w:val="00041C8A"/>
    <w:rsid w:val="00041EE3"/>
    <w:rsid w:val="00042284"/>
    <w:rsid w:val="000428FE"/>
    <w:rsid w:val="00043602"/>
    <w:rsid w:val="00043D4A"/>
    <w:rsid w:val="00044163"/>
    <w:rsid w:val="000442A6"/>
    <w:rsid w:val="0004466A"/>
    <w:rsid w:val="00044914"/>
    <w:rsid w:val="00044B93"/>
    <w:rsid w:val="00044E27"/>
    <w:rsid w:val="00044EE8"/>
    <w:rsid w:val="000452F9"/>
    <w:rsid w:val="0004567F"/>
    <w:rsid w:val="000457A5"/>
    <w:rsid w:val="00045800"/>
    <w:rsid w:val="00045805"/>
    <w:rsid w:val="00045A4A"/>
    <w:rsid w:val="00045B1B"/>
    <w:rsid w:val="000460FD"/>
    <w:rsid w:val="000461CB"/>
    <w:rsid w:val="00046238"/>
    <w:rsid w:val="00046A2D"/>
    <w:rsid w:val="00046BD9"/>
    <w:rsid w:val="00046C2D"/>
    <w:rsid w:val="00046D58"/>
    <w:rsid w:val="00046E1E"/>
    <w:rsid w:val="00047009"/>
    <w:rsid w:val="00047050"/>
    <w:rsid w:val="000473F1"/>
    <w:rsid w:val="00047572"/>
    <w:rsid w:val="000477C9"/>
    <w:rsid w:val="00047AB6"/>
    <w:rsid w:val="00047C07"/>
    <w:rsid w:val="00047C34"/>
    <w:rsid w:val="00047E50"/>
    <w:rsid w:val="00050472"/>
    <w:rsid w:val="00050663"/>
    <w:rsid w:val="00050FB3"/>
    <w:rsid w:val="00051426"/>
    <w:rsid w:val="00051B27"/>
    <w:rsid w:val="00051BEA"/>
    <w:rsid w:val="00051ED7"/>
    <w:rsid w:val="00051FA4"/>
    <w:rsid w:val="00052171"/>
    <w:rsid w:val="0005230A"/>
    <w:rsid w:val="000533CE"/>
    <w:rsid w:val="00053653"/>
    <w:rsid w:val="000537A0"/>
    <w:rsid w:val="00053D65"/>
    <w:rsid w:val="00053E04"/>
    <w:rsid w:val="00054170"/>
    <w:rsid w:val="00054955"/>
    <w:rsid w:val="00054BA1"/>
    <w:rsid w:val="00054CB8"/>
    <w:rsid w:val="00054F93"/>
    <w:rsid w:val="00055524"/>
    <w:rsid w:val="00055852"/>
    <w:rsid w:val="00055BBB"/>
    <w:rsid w:val="0005607C"/>
    <w:rsid w:val="00056210"/>
    <w:rsid w:val="00056A2A"/>
    <w:rsid w:val="00056E7C"/>
    <w:rsid w:val="00057274"/>
    <w:rsid w:val="000579F5"/>
    <w:rsid w:val="00057A5B"/>
    <w:rsid w:val="00060560"/>
    <w:rsid w:val="000606DE"/>
    <w:rsid w:val="000607FD"/>
    <w:rsid w:val="000608DA"/>
    <w:rsid w:val="00060A7E"/>
    <w:rsid w:val="00060CC9"/>
    <w:rsid w:val="00061552"/>
    <w:rsid w:val="000615CB"/>
    <w:rsid w:val="00061989"/>
    <w:rsid w:val="00061A3A"/>
    <w:rsid w:val="00061D26"/>
    <w:rsid w:val="00061E18"/>
    <w:rsid w:val="00061F4A"/>
    <w:rsid w:val="0006204B"/>
    <w:rsid w:val="000620A1"/>
    <w:rsid w:val="000620E2"/>
    <w:rsid w:val="000626B8"/>
    <w:rsid w:val="0006302C"/>
    <w:rsid w:val="000630B4"/>
    <w:rsid w:val="000632DD"/>
    <w:rsid w:val="00063632"/>
    <w:rsid w:val="00063776"/>
    <w:rsid w:val="00064279"/>
    <w:rsid w:val="00064BCF"/>
    <w:rsid w:val="00064D5B"/>
    <w:rsid w:val="0006503C"/>
    <w:rsid w:val="0006517C"/>
    <w:rsid w:val="00065565"/>
    <w:rsid w:val="000657F4"/>
    <w:rsid w:val="00065824"/>
    <w:rsid w:val="0006582A"/>
    <w:rsid w:val="000665E4"/>
    <w:rsid w:val="000667C4"/>
    <w:rsid w:val="00066A0A"/>
    <w:rsid w:val="00066C15"/>
    <w:rsid w:val="00066FE9"/>
    <w:rsid w:val="000672F0"/>
    <w:rsid w:val="00067388"/>
    <w:rsid w:val="00067C06"/>
    <w:rsid w:val="00067C82"/>
    <w:rsid w:val="00067EA5"/>
    <w:rsid w:val="0007038E"/>
    <w:rsid w:val="000711FA"/>
    <w:rsid w:val="000714B3"/>
    <w:rsid w:val="00071650"/>
    <w:rsid w:val="00071D4C"/>
    <w:rsid w:val="00071D74"/>
    <w:rsid w:val="00072170"/>
    <w:rsid w:val="00072463"/>
    <w:rsid w:val="000728AE"/>
    <w:rsid w:val="00072B7E"/>
    <w:rsid w:val="00072E80"/>
    <w:rsid w:val="0007329B"/>
    <w:rsid w:val="000734A8"/>
    <w:rsid w:val="0007366C"/>
    <w:rsid w:val="00074186"/>
    <w:rsid w:val="00074235"/>
    <w:rsid w:val="000742E3"/>
    <w:rsid w:val="00074453"/>
    <w:rsid w:val="000746AD"/>
    <w:rsid w:val="00075076"/>
    <w:rsid w:val="0007516D"/>
    <w:rsid w:val="000754D4"/>
    <w:rsid w:val="00075505"/>
    <w:rsid w:val="00075746"/>
    <w:rsid w:val="0007623C"/>
    <w:rsid w:val="00076279"/>
    <w:rsid w:val="00076294"/>
    <w:rsid w:val="000762E5"/>
    <w:rsid w:val="00076447"/>
    <w:rsid w:val="00076449"/>
    <w:rsid w:val="0007651C"/>
    <w:rsid w:val="00076B91"/>
    <w:rsid w:val="00076BFD"/>
    <w:rsid w:val="00076EB5"/>
    <w:rsid w:val="00076F1C"/>
    <w:rsid w:val="000770E8"/>
    <w:rsid w:val="00077628"/>
    <w:rsid w:val="0007772F"/>
    <w:rsid w:val="000779C8"/>
    <w:rsid w:val="000779C9"/>
    <w:rsid w:val="00077C99"/>
    <w:rsid w:val="00077D44"/>
    <w:rsid w:val="00077F48"/>
    <w:rsid w:val="000805CA"/>
    <w:rsid w:val="000808A3"/>
    <w:rsid w:val="0008097A"/>
    <w:rsid w:val="00080A1D"/>
    <w:rsid w:val="00080AB8"/>
    <w:rsid w:val="00080F73"/>
    <w:rsid w:val="00081276"/>
    <w:rsid w:val="00081323"/>
    <w:rsid w:val="000813A6"/>
    <w:rsid w:val="000813CC"/>
    <w:rsid w:val="000815EA"/>
    <w:rsid w:val="00081DE3"/>
    <w:rsid w:val="000820CF"/>
    <w:rsid w:val="00082162"/>
    <w:rsid w:val="000822AA"/>
    <w:rsid w:val="000823E9"/>
    <w:rsid w:val="00082ABD"/>
    <w:rsid w:val="00082D44"/>
    <w:rsid w:val="0008367B"/>
    <w:rsid w:val="00083D76"/>
    <w:rsid w:val="000842BB"/>
    <w:rsid w:val="00084546"/>
    <w:rsid w:val="0008497B"/>
    <w:rsid w:val="00084AC5"/>
    <w:rsid w:val="00084DB6"/>
    <w:rsid w:val="00084DFF"/>
    <w:rsid w:val="00085029"/>
    <w:rsid w:val="00085148"/>
    <w:rsid w:val="000852F6"/>
    <w:rsid w:val="00085390"/>
    <w:rsid w:val="0008558B"/>
    <w:rsid w:val="00085B5C"/>
    <w:rsid w:val="00085F58"/>
    <w:rsid w:val="000861B0"/>
    <w:rsid w:val="00086278"/>
    <w:rsid w:val="00086351"/>
    <w:rsid w:val="00086659"/>
    <w:rsid w:val="000870A1"/>
    <w:rsid w:val="0008721E"/>
    <w:rsid w:val="000875B9"/>
    <w:rsid w:val="000876D9"/>
    <w:rsid w:val="000879DC"/>
    <w:rsid w:val="00087E48"/>
    <w:rsid w:val="00090646"/>
    <w:rsid w:val="000907E3"/>
    <w:rsid w:val="0009089C"/>
    <w:rsid w:val="00090F2F"/>
    <w:rsid w:val="00090F52"/>
    <w:rsid w:val="00091439"/>
    <w:rsid w:val="00091681"/>
    <w:rsid w:val="00091730"/>
    <w:rsid w:val="0009188C"/>
    <w:rsid w:val="00091BDD"/>
    <w:rsid w:val="00092E64"/>
    <w:rsid w:val="000931F4"/>
    <w:rsid w:val="00093513"/>
    <w:rsid w:val="00093701"/>
    <w:rsid w:val="00093707"/>
    <w:rsid w:val="00093873"/>
    <w:rsid w:val="00093B70"/>
    <w:rsid w:val="00093D8A"/>
    <w:rsid w:val="00093F11"/>
    <w:rsid w:val="0009401E"/>
    <w:rsid w:val="00094415"/>
    <w:rsid w:val="0009447D"/>
    <w:rsid w:val="000945DE"/>
    <w:rsid w:val="00094A10"/>
    <w:rsid w:val="00094CCC"/>
    <w:rsid w:val="00094DFF"/>
    <w:rsid w:val="00094E78"/>
    <w:rsid w:val="00094F69"/>
    <w:rsid w:val="00095109"/>
    <w:rsid w:val="000951F6"/>
    <w:rsid w:val="000952B7"/>
    <w:rsid w:val="00095302"/>
    <w:rsid w:val="00095452"/>
    <w:rsid w:val="00095D84"/>
    <w:rsid w:val="00095DBE"/>
    <w:rsid w:val="00095E81"/>
    <w:rsid w:val="0009609D"/>
    <w:rsid w:val="000962AB"/>
    <w:rsid w:val="00096727"/>
    <w:rsid w:val="00096ADA"/>
    <w:rsid w:val="00096B9B"/>
    <w:rsid w:val="0009704D"/>
    <w:rsid w:val="00097351"/>
    <w:rsid w:val="000976BF"/>
    <w:rsid w:val="00097786"/>
    <w:rsid w:val="00097BF9"/>
    <w:rsid w:val="00097F88"/>
    <w:rsid w:val="000A0233"/>
    <w:rsid w:val="000A0398"/>
    <w:rsid w:val="000A0443"/>
    <w:rsid w:val="000A07E9"/>
    <w:rsid w:val="000A0CCD"/>
    <w:rsid w:val="000A0CD4"/>
    <w:rsid w:val="000A0F73"/>
    <w:rsid w:val="000A1089"/>
    <w:rsid w:val="000A12BF"/>
    <w:rsid w:val="000A1324"/>
    <w:rsid w:val="000A15FF"/>
    <w:rsid w:val="000A1AFA"/>
    <w:rsid w:val="000A1B9E"/>
    <w:rsid w:val="000A22DF"/>
    <w:rsid w:val="000A2603"/>
    <w:rsid w:val="000A265A"/>
    <w:rsid w:val="000A2A1C"/>
    <w:rsid w:val="000A2B4C"/>
    <w:rsid w:val="000A2CCD"/>
    <w:rsid w:val="000A2E93"/>
    <w:rsid w:val="000A31B4"/>
    <w:rsid w:val="000A36A6"/>
    <w:rsid w:val="000A3A6E"/>
    <w:rsid w:val="000A4026"/>
    <w:rsid w:val="000A4443"/>
    <w:rsid w:val="000A46FB"/>
    <w:rsid w:val="000A4FE8"/>
    <w:rsid w:val="000A5821"/>
    <w:rsid w:val="000A641F"/>
    <w:rsid w:val="000A6649"/>
    <w:rsid w:val="000A6762"/>
    <w:rsid w:val="000A69E5"/>
    <w:rsid w:val="000A69F5"/>
    <w:rsid w:val="000A7297"/>
    <w:rsid w:val="000A7480"/>
    <w:rsid w:val="000A77D4"/>
    <w:rsid w:val="000A792D"/>
    <w:rsid w:val="000A7DC0"/>
    <w:rsid w:val="000B0283"/>
    <w:rsid w:val="000B02E5"/>
    <w:rsid w:val="000B0D87"/>
    <w:rsid w:val="000B1333"/>
    <w:rsid w:val="000B1D4E"/>
    <w:rsid w:val="000B2165"/>
    <w:rsid w:val="000B2341"/>
    <w:rsid w:val="000B248F"/>
    <w:rsid w:val="000B2530"/>
    <w:rsid w:val="000B264F"/>
    <w:rsid w:val="000B2B66"/>
    <w:rsid w:val="000B2C5B"/>
    <w:rsid w:val="000B2D23"/>
    <w:rsid w:val="000B2D67"/>
    <w:rsid w:val="000B301C"/>
    <w:rsid w:val="000B3123"/>
    <w:rsid w:val="000B3711"/>
    <w:rsid w:val="000B3DD0"/>
    <w:rsid w:val="000B3F03"/>
    <w:rsid w:val="000B4705"/>
    <w:rsid w:val="000B4861"/>
    <w:rsid w:val="000B49A7"/>
    <w:rsid w:val="000B4F8F"/>
    <w:rsid w:val="000B52F9"/>
    <w:rsid w:val="000B53A7"/>
    <w:rsid w:val="000B549E"/>
    <w:rsid w:val="000B567F"/>
    <w:rsid w:val="000B5A2E"/>
    <w:rsid w:val="000B6076"/>
    <w:rsid w:val="000B613C"/>
    <w:rsid w:val="000B62B7"/>
    <w:rsid w:val="000B62BC"/>
    <w:rsid w:val="000B654C"/>
    <w:rsid w:val="000B65B5"/>
    <w:rsid w:val="000B6769"/>
    <w:rsid w:val="000B67DC"/>
    <w:rsid w:val="000B6EF2"/>
    <w:rsid w:val="000B71CE"/>
    <w:rsid w:val="000B759F"/>
    <w:rsid w:val="000B7B4B"/>
    <w:rsid w:val="000C0696"/>
    <w:rsid w:val="000C095B"/>
    <w:rsid w:val="000C097C"/>
    <w:rsid w:val="000C0F44"/>
    <w:rsid w:val="000C1454"/>
    <w:rsid w:val="000C14B0"/>
    <w:rsid w:val="000C1875"/>
    <w:rsid w:val="000C2295"/>
    <w:rsid w:val="000C29DC"/>
    <w:rsid w:val="000C2A4C"/>
    <w:rsid w:val="000C2B3D"/>
    <w:rsid w:val="000C2C88"/>
    <w:rsid w:val="000C3264"/>
    <w:rsid w:val="000C32C1"/>
    <w:rsid w:val="000C37EE"/>
    <w:rsid w:val="000C3AFF"/>
    <w:rsid w:val="000C3ED4"/>
    <w:rsid w:val="000C3F90"/>
    <w:rsid w:val="000C42D1"/>
    <w:rsid w:val="000C4447"/>
    <w:rsid w:val="000C4576"/>
    <w:rsid w:val="000C4598"/>
    <w:rsid w:val="000C47EA"/>
    <w:rsid w:val="000C492A"/>
    <w:rsid w:val="000C4C64"/>
    <w:rsid w:val="000C4C69"/>
    <w:rsid w:val="000C4FEC"/>
    <w:rsid w:val="000C56B4"/>
    <w:rsid w:val="000C580D"/>
    <w:rsid w:val="000C5FFC"/>
    <w:rsid w:val="000C672F"/>
    <w:rsid w:val="000C6747"/>
    <w:rsid w:val="000C67F1"/>
    <w:rsid w:val="000C690A"/>
    <w:rsid w:val="000C6B51"/>
    <w:rsid w:val="000C6F00"/>
    <w:rsid w:val="000C7076"/>
    <w:rsid w:val="000C786F"/>
    <w:rsid w:val="000C7E1A"/>
    <w:rsid w:val="000D0171"/>
    <w:rsid w:val="000D05AC"/>
    <w:rsid w:val="000D08C0"/>
    <w:rsid w:val="000D0B47"/>
    <w:rsid w:val="000D0D61"/>
    <w:rsid w:val="000D1491"/>
    <w:rsid w:val="000D1808"/>
    <w:rsid w:val="000D1827"/>
    <w:rsid w:val="000D1D15"/>
    <w:rsid w:val="000D1EF8"/>
    <w:rsid w:val="000D207B"/>
    <w:rsid w:val="000D22E2"/>
    <w:rsid w:val="000D24C6"/>
    <w:rsid w:val="000D2756"/>
    <w:rsid w:val="000D2E18"/>
    <w:rsid w:val="000D2EE1"/>
    <w:rsid w:val="000D313F"/>
    <w:rsid w:val="000D32BB"/>
    <w:rsid w:val="000D32CC"/>
    <w:rsid w:val="000D34B2"/>
    <w:rsid w:val="000D3797"/>
    <w:rsid w:val="000D3CBD"/>
    <w:rsid w:val="000D3F1A"/>
    <w:rsid w:val="000D452E"/>
    <w:rsid w:val="000D47A9"/>
    <w:rsid w:val="000D4A3C"/>
    <w:rsid w:val="000D4A86"/>
    <w:rsid w:val="000D4E14"/>
    <w:rsid w:val="000D4E7D"/>
    <w:rsid w:val="000D5267"/>
    <w:rsid w:val="000D53F6"/>
    <w:rsid w:val="000D5A1E"/>
    <w:rsid w:val="000D5BAD"/>
    <w:rsid w:val="000D614F"/>
    <w:rsid w:val="000D66F3"/>
    <w:rsid w:val="000D689A"/>
    <w:rsid w:val="000D6A52"/>
    <w:rsid w:val="000D6ACC"/>
    <w:rsid w:val="000D6D4B"/>
    <w:rsid w:val="000D6DBF"/>
    <w:rsid w:val="000D6F38"/>
    <w:rsid w:val="000D7A6D"/>
    <w:rsid w:val="000E0208"/>
    <w:rsid w:val="000E06D0"/>
    <w:rsid w:val="000E083D"/>
    <w:rsid w:val="000E0ABD"/>
    <w:rsid w:val="000E11A7"/>
    <w:rsid w:val="000E1233"/>
    <w:rsid w:val="000E12A9"/>
    <w:rsid w:val="000E12FE"/>
    <w:rsid w:val="000E153F"/>
    <w:rsid w:val="000E209C"/>
    <w:rsid w:val="000E21FC"/>
    <w:rsid w:val="000E24E9"/>
    <w:rsid w:val="000E250A"/>
    <w:rsid w:val="000E263C"/>
    <w:rsid w:val="000E263D"/>
    <w:rsid w:val="000E29EB"/>
    <w:rsid w:val="000E30BB"/>
    <w:rsid w:val="000E3136"/>
    <w:rsid w:val="000E3198"/>
    <w:rsid w:val="000E331A"/>
    <w:rsid w:val="000E35DF"/>
    <w:rsid w:val="000E394B"/>
    <w:rsid w:val="000E3A87"/>
    <w:rsid w:val="000E3BDE"/>
    <w:rsid w:val="000E3BF8"/>
    <w:rsid w:val="000E3D86"/>
    <w:rsid w:val="000E3E56"/>
    <w:rsid w:val="000E405E"/>
    <w:rsid w:val="000E4282"/>
    <w:rsid w:val="000E4898"/>
    <w:rsid w:val="000E49C3"/>
    <w:rsid w:val="000E4BB0"/>
    <w:rsid w:val="000E4C36"/>
    <w:rsid w:val="000E4F3D"/>
    <w:rsid w:val="000E4FA1"/>
    <w:rsid w:val="000E53C4"/>
    <w:rsid w:val="000E5436"/>
    <w:rsid w:val="000E5586"/>
    <w:rsid w:val="000E5C9E"/>
    <w:rsid w:val="000E5F3C"/>
    <w:rsid w:val="000E6F03"/>
    <w:rsid w:val="000E6FB4"/>
    <w:rsid w:val="000E7263"/>
    <w:rsid w:val="000E7285"/>
    <w:rsid w:val="000E749D"/>
    <w:rsid w:val="000E7FE0"/>
    <w:rsid w:val="000F0253"/>
    <w:rsid w:val="000F02FA"/>
    <w:rsid w:val="000F067F"/>
    <w:rsid w:val="000F0EEA"/>
    <w:rsid w:val="000F10DF"/>
    <w:rsid w:val="000F1959"/>
    <w:rsid w:val="000F1A63"/>
    <w:rsid w:val="000F1E47"/>
    <w:rsid w:val="000F2983"/>
    <w:rsid w:val="000F29E3"/>
    <w:rsid w:val="000F2CB9"/>
    <w:rsid w:val="000F2E09"/>
    <w:rsid w:val="000F3184"/>
    <w:rsid w:val="000F38A7"/>
    <w:rsid w:val="000F3925"/>
    <w:rsid w:val="000F458C"/>
    <w:rsid w:val="000F47F5"/>
    <w:rsid w:val="000F4800"/>
    <w:rsid w:val="000F4876"/>
    <w:rsid w:val="000F48CA"/>
    <w:rsid w:val="000F4D0A"/>
    <w:rsid w:val="000F4ECD"/>
    <w:rsid w:val="000F5B23"/>
    <w:rsid w:val="000F6219"/>
    <w:rsid w:val="000F63D5"/>
    <w:rsid w:val="000F7234"/>
    <w:rsid w:val="000F755C"/>
    <w:rsid w:val="000F7820"/>
    <w:rsid w:val="000F7D02"/>
    <w:rsid w:val="000F7F09"/>
    <w:rsid w:val="00100D72"/>
    <w:rsid w:val="001012D9"/>
    <w:rsid w:val="00101981"/>
    <w:rsid w:val="00101AB0"/>
    <w:rsid w:val="0010245E"/>
    <w:rsid w:val="00102500"/>
    <w:rsid w:val="00102549"/>
    <w:rsid w:val="00102742"/>
    <w:rsid w:val="001027BA"/>
    <w:rsid w:val="00102CC5"/>
    <w:rsid w:val="00102FAC"/>
    <w:rsid w:val="00103AEA"/>
    <w:rsid w:val="00103DF8"/>
    <w:rsid w:val="001044B1"/>
    <w:rsid w:val="001044E1"/>
    <w:rsid w:val="0010451A"/>
    <w:rsid w:val="00104B78"/>
    <w:rsid w:val="001050F6"/>
    <w:rsid w:val="00105760"/>
    <w:rsid w:val="00105AE6"/>
    <w:rsid w:val="001063AC"/>
    <w:rsid w:val="00106579"/>
    <w:rsid w:val="001065B4"/>
    <w:rsid w:val="00106961"/>
    <w:rsid w:val="00106A33"/>
    <w:rsid w:val="00107138"/>
    <w:rsid w:val="00107238"/>
    <w:rsid w:val="00107449"/>
    <w:rsid w:val="0010763B"/>
    <w:rsid w:val="00107986"/>
    <w:rsid w:val="00107BCA"/>
    <w:rsid w:val="00107EE9"/>
    <w:rsid w:val="00107FEB"/>
    <w:rsid w:val="001101ED"/>
    <w:rsid w:val="001101F8"/>
    <w:rsid w:val="001102B7"/>
    <w:rsid w:val="0011093C"/>
    <w:rsid w:val="00110B7F"/>
    <w:rsid w:val="001112B9"/>
    <w:rsid w:val="00111398"/>
    <w:rsid w:val="001113CB"/>
    <w:rsid w:val="00111BBA"/>
    <w:rsid w:val="00111F48"/>
    <w:rsid w:val="0011248D"/>
    <w:rsid w:val="001126FB"/>
    <w:rsid w:val="00112827"/>
    <w:rsid w:val="00112F4B"/>
    <w:rsid w:val="00113239"/>
    <w:rsid w:val="0011333B"/>
    <w:rsid w:val="0011347A"/>
    <w:rsid w:val="001136A4"/>
    <w:rsid w:val="0011376C"/>
    <w:rsid w:val="001138FB"/>
    <w:rsid w:val="00113F2A"/>
    <w:rsid w:val="00114016"/>
    <w:rsid w:val="00114231"/>
    <w:rsid w:val="00114691"/>
    <w:rsid w:val="0011485F"/>
    <w:rsid w:val="001148A4"/>
    <w:rsid w:val="00114CC2"/>
    <w:rsid w:val="00114DC5"/>
    <w:rsid w:val="00114E10"/>
    <w:rsid w:val="00115013"/>
    <w:rsid w:val="00115154"/>
    <w:rsid w:val="00115331"/>
    <w:rsid w:val="0011551E"/>
    <w:rsid w:val="00115877"/>
    <w:rsid w:val="00115F18"/>
    <w:rsid w:val="0011617D"/>
    <w:rsid w:val="0011644B"/>
    <w:rsid w:val="001164D3"/>
    <w:rsid w:val="00116668"/>
    <w:rsid w:val="0011676A"/>
    <w:rsid w:val="001169AC"/>
    <w:rsid w:val="00116AB8"/>
    <w:rsid w:val="00116CD8"/>
    <w:rsid w:val="001171C0"/>
    <w:rsid w:val="0011734C"/>
    <w:rsid w:val="00117781"/>
    <w:rsid w:val="00117805"/>
    <w:rsid w:val="00117D37"/>
    <w:rsid w:val="00117F03"/>
    <w:rsid w:val="00117FBC"/>
    <w:rsid w:val="001202D4"/>
    <w:rsid w:val="0012037B"/>
    <w:rsid w:val="001204DC"/>
    <w:rsid w:val="0012095E"/>
    <w:rsid w:val="001209ED"/>
    <w:rsid w:val="00120E36"/>
    <w:rsid w:val="001216BF"/>
    <w:rsid w:val="00121AC4"/>
    <w:rsid w:val="00121E8A"/>
    <w:rsid w:val="001220AD"/>
    <w:rsid w:val="0012226F"/>
    <w:rsid w:val="0012242C"/>
    <w:rsid w:val="001225BD"/>
    <w:rsid w:val="001226DD"/>
    <w:rsid w:val="0012283B"/>
    <w:rsid w:val="0012286D"/>
    <w:rsid w:val="00122A90"/>
    <w:rsid w:val="00122B12"/>
    <w:rsid w:val="00123509"/>
    <w:rsid w:val="00123632"/>
    <w:rsid w:val="001237BD"/>
    <w:rsid w:val="001239F7"/>
    <w:rsid w:val="00123A76"/>
    <w:rsid w:val="00124818"/>
    <w:rsid w:val="00124911"/>
    <w:rsid w:val="00124B78"/>
    <w:rsid w:val="00125221"/>
    <w:rsid w:val="00125A43"/>
    <w:rsid w:val="00125AC2"/>
    <w:rsid w:val="00125EEC"/>
    <w:rsid w:val="00126201"/>
    <w:rsid w:val="0012627D"/>
    <w:rsid w:val="001266B9"/>
    <w:rsid w:val="00126ABA"/>
    <w:rsid w:val="00126FF1"/>
    <w:rsid w:val="00127608"/>
    <w:rsid w:val="00127B09"/>
    <w:rsid w:val="00127C18"/>
    <w:rsid w:val="00127CC2"/>
    <w:rsid w:val="00127F75"/>
    <w:rsid w:val="00130252"/>
    <w:rsid w:val="001302F1"/>
    <w:rsid w:val="0013043F"/>
    <w:rsid w:val="00130526"/>
    <w:rsid w:val="00130682"/>
    <w:rsid w:val="00130AF0"/>
    <w:rsid w:val="0013100A"/>
    <w:rsid w:val="00131B14"/>
    <w:rsid w:val="00131B22"/>
    <w:rsid w:val="00132044"/>
    <w:rsid w:val="0013234D"/>
    <w:rsid w:val="001325F9"/>
    <w:rsid w:val="00132719"/>
    <w:rsid w:val="00132B2B"/>
    <w:rsid w:val="00132DFB"/>
    <w:rsid w:val="00133022"/>
    <w:rsid w:val="001331A9"/>
    <w:rsid w:val="0013335D"/>
    <w:rsid w:val="00133A55"/>
    <w:rsid w:val="00134778"/>
    <w:rsid w:val="00134A63"/>
    <w:rsid w:val="00134ACA"/>
    <w:rsid w:val="00134B3F"/>
    <w:rsid w:val="00134C39"/>
    <w:rsid w:val="00134C82"/>
    <w:rsid w:val="001353B1"/>
    <w:rsid w:val="0013589A"/>
    <w:rsid w:val="00135C93"/>
    <w:rsid w:val="001361E0"/>
    <w:rsid w:val="00136521"/>
    <w:rsid w:val="001367C3"/>
    <w:rsid w:val="00136898"/>
    <w:rsid w:val="00136C65"/>
    <w:rsid w:val="00136DA2"/>
    <w:rsid w:val="00137075"/>
    <w:rsid w:val="001370DF"/>
    <w:rsid w:val="0013715A"/>
    <w:rsid w:val="0013776C"/>
    <w:rsid w:val="00137CD2"/>
    <w:rsid w:val="00137F7A"/>
    <w:rsid w:val="00140052"/>
    <w:rsid w:val="00140057"/>
    <w:rsid w:val="0014015C"/>
    <w:rsid w:val="00140234"/>
    <w:rsid w:val="00140E7B"/>
    <w:rsid w:val="00140F05"/>
    <w:rsid w:val="00141094"/>
    <w:rsid w:val="001415BB"/>
    <w:rsid w:val="001417DA"/>
    <w:rsid w:val="00141A8C"/>
    <w:rsid w:val="00141FB8"/>
    <w:rsid w:val="00141FBF"/>
    <w:rsid w:val="0014201F"/>
    <w:rsid w:val="001424CD"/>
    <w:rsid w:val="00142F66"/>
    <w:rsid w:val="0014322D"/>
    <w:rsid w:val="00143249"/>
    <w:rsid w:val="0014398F"/>
    <w:rsid w:val="00143FD3"/>
    <w:rsid w:val="0014412E"/>
    <w:rsid w:val="00144333"/>
    <w:rsid w:val="00144AB4"/>
    <w:rsid w:val="00144C9B"/>
    <w:rsid w:val="001454AF"/>
    <w:rsid w:val="001455D7"/>
    <w:rsid w:val="00145895"/>
    <w:rsid w:val="00145CDF"/>
    <w:rsid w:val="00145E47"/>
    <w:rsid w:val="00145F65"/>
    <w:rsid w:val="00146112"/>
    <w:rsid w:val="001462C4"/>
    <w:rsid w:val="00146331"/>
    <w:rsid w:val="00146C9A"/>
    <w:rsid w:val="00147430"/>
    <w:rsid w:val="001477CF"/>
    <w:rsid w:val="001478EC"/>
    <w:rsid w:val="0014799F"/>
    <w:rsid w:val="00147B34"/>
    <w:rsid w:val="00147C17"/>
    <w:rsid w:val="001503A3"/>
    <w:rsid w:val="00150554"/>
    <w:rsid w:val="00150836"/>
    <w:rsid w:val="0015161C"/>
    <w:rsid w:val="00151665"/>
    <w:rsid w:val="00151939"/>
    <w:rsid w:val="00151A65"/>
    <w:rsid w:val="00151D70"/>
    <w:rsid w:val="00151F4C"/>
    <w:rsid w:val="001528DA"/>
    <w:rsid w:val="001528E5"/>
    <w:rsid w:val="00152D3C"/>
    <w:rsid w:val="0015352F"/>
    <w:rsid w:val="001539E6"/>
    <w:rsid w:val="00153F6B"/>
    <w:rsid w:val="001545B9"/>
    <w:rsid w:val="0015471D"/>
    <w:rsid w:val="00154AFF"/>
    <w:rsid w:val="00155365"/>
    <w:rsid w:val="00155578"/>
    <w:rsid w:val="0015565E"/>
    <w:rsid w:val="00155DB7"/>
    <w:rsid w:val="00156103"/>
    <w:rsid w:val="00156642"/>
    <w:rsid w:val="001566CB"/>
    <w:rsid w:val="00156C3F"/>
    <w:rsid w:val="00156E06"/>
    <w:rsid w:val="00156F07"/>
    <w:rsid w:val="00157268"/>
    <w:rsid w:val="001572B6"/>
    <w:rsid w:val="00157641"/>
    <w:rsid w:val="001579A4"/>
    <w:rsid w:val="00157C35"/>
    <w:rsid w:val="001602A2"/>
    <w:rsid w:val="001608B7"/>
    <w:rsid w:val="00160DA2"/>
    <w:rsid w:val="00160FA2"/>
    <w:rsid w:val="0016198A"/>
    <w:rsid w:val="00161D52"/>
    <w:rsid w:val="00162106"/>
    <w:rsid w:val="00162868"/>
    <w:rsid w:val="001629FF"/>
    <w:rsid w:val="00162D86"/>
    <w:rsid w:val="00163441"/>
    <w:rsid w:val="00163CD9"/>
    <w:rsid w:val="0016400D"/>
    <w:rsid w:val="0016402B"/>
    <w:rsid w:val="00164081"/>
    <w:rsid w:val="00164217"/>
    <w:rsid w:val="001648C3"/>
    <w:rsid w:val="0016495B"/>
    <w:rsid w:val="00164ABC"/>
    <w:rsid w:val="00164AD0"/>
    <w:rsid w:val="00164AF5"/>
    <w:rsid w:val="00164B3B"/>
    <w:rsid w:val="00164C39"/>
    <w:rsid w:val="00165046"/>
    <w:rsid w:val="00165084"/>
    <w:rsid w:val="001651B3"/>
    <w:rsid w:val="00165883"/>
    <w:rsid w:val="001660D7"/>
    <w:rsid w:val="00166B49"/>
    <w:rsid w:val="00166F29"/>
    <w:rsid w:val="00166F7E"/>
    <w:rsid w:val="00167045"/>
    <w:rsid w:val="001671C6"/>
    <w:rsid w:val="001673B7"/>
    <w:rsid w:val="00167B8D"/>
    <w:rsid w:val="001700F5"/>
    <w:rsid w:val="00170380"/>
    <w:rsid w:val="00170786"/>
    <w:rsid w:val="001710D5"/>
    <w:rsid w:val="00171211"/>
    <w:rsid w:val="00171408"/>
    <w:rsid w:val="001718FC"/>
    <w:rsid w:val="00171D5B"/>
    <w:rsid w:val="001721F3"/>
    <w:rsid w:val="0017220D"/>
    <w:rsid w:val="001724A8"/>
    <w:rsid w:val="001728CA"/>
    <w:rsid w:val="001728EF"/>
    <w:rsid w:val="00172A27"/>
    <w:rsid w:val="00173273"/>
    <w:rsid w:val="001735ED"/>
    <w:rsid w:val="0017374F"/>
    <w:rsid w:val="00173C1D"/>
    <w:rsid w:val="00173C6F"/>
    <w:rsid w:val="00174017"/>
    <w:rsid w:val="0017407C"/>
    <w:rsid w:val="00174372"/>
    <w:rsid w:val="001748D1"/>
    <w:rsid w:val="00174C1F"/>
    <w:rsid w:val="00174D6D"/>
    <w:rsid w:val="00174F2F"/>
    <w:rsid w:val="0017550A"/>
    <w:rsid w:val="001757CE"/>
    <w:rsid w:val="00175B07"/>
    <w:rsid w:val="0017610C"/>
    <w:rsid w:val="001761D6"/>
    <w:rsid w:val="00176464"/>
    <w:rsid w:val="001775B9"/>
    <w:rsid w:val="001776AF"/>
    <w:rsid w:val="00177795"/>
    <w:rsid w:val="00177B30"/>
    <w:rsid w:val="00177DD7"/>
    <w:rsid w:val="00180099"/>
    <w:rsid w:val="00180249"/>
    <w:rsid w:val="00180269"/>
    <w:rsid w:val="00181259"/>
    <w:rsid w:val="00181273"/>
    <w:rsid w:val="00181406"/>
    <w:rsid w:val="0018160D"/>
    <w:rsid w:val="00181785"/>
    <w:rsid w:val="00181CE3"/>
    <w:rsid w:val="00181DD3"/>
    <w:rsid w:val="00181E03"/>
    <w:rsid w:val="00182AA5"/>
    <w:rsid w:val="001830AD"/>
    <w:rsid w:val="001831C9"/>
    <w:rsid w:val="001832AA"/>
    <w:rsid w:val="0018333E"/>
    <w:rsid w:val="00183356"/>
    <w:rsid w:val="00183375"/>
    <w:rsid w:val="00183B9B"/>
    <w:rsid w:val="001841A2"/>
    <w:rsid w:val="0018428A"/>
    <w:rsid w:val="001843F0"/>
    <w:rsid w:val="001847AA"/>
    <w:rsid w:val="00184838"/>
    <w:rsid w:val="0018490E"/>
    <w:rsid w:val="00184BBD"/>
    <w:rsid w:val="00184CFE"/>
    <w:rsid w:val="00185082"/>
    <w:rsid w:val="001850DD"/>
    <w:rsid w:val="00185C99"/>
    <w:rsid w:val="00186236"/>
    <w:rsid w:val="001862D4"/>
    <w:rsid w:val="001864CD"/>
    <w:rsid w:val="00186DB0"/>
    <w:rsid w:val="0018711F"/>
    <w:rsid w:val="001871C2"/>
    <w:rsid w:val="00187432"/>
    <w:rsid w:val="0018776F"/>
    <w:rsid w:val="00187B5D"/>
    <w:rsid w:val="00187BEE"/>
    <w:rsid w:val="00187DC1"/>
    <w:rsid w:val="00190556"/>
    <w:rsid w:val="0019119A"/>
    <w:rsid w:val="001914F0"/>
    <w:rsid w:val="001922A1"/>
    <w:rsid w:val="00192366"/>
    <w:rsid w:val="001923A6"/>
    <w:rsid w:val="001923E1"/>
    <w:rsid w:val="00192D3D"/>
    <w:rsid w:val="00192E32"/>
    <w:rsid w:val="00192EDE"/>
    <w:rsid w:val="001935FA"/>
    <w:rsid w:val="001936A5"/>
    <w:rsid w:val="00194005"/>
    <w:rsid w:val="0019443A"/>
    <w:rsid w:val="001947F1"/>
    <w:rsid w:val="00194812"/>
    <w:rsid w:val="001948C4"/>
    <w:rsid w:val="00194C16"/>
    <w:rsid w:val="00194D3C"/>
    <w:rsid w:val="00194E44"/>
    <w:rsid w:val="001951D2"/>
    <w:rsid w:val="001951FC"/>
    <w:rsid w:val="00195674"/>
    <w:rsid w:val="00195D85"/>
    <w:rsid w:val="00195DD3"/>
    <w:rsid w:val="001963CB"/>
    <w:rsid w:val="00197347"/>
    <w:rsid w:val="00197558"/>
    <w:rsid w:val="001A01AD"/>
    <w:rsid w:val="001A0738"/>
    <w:rsid w:val="001A0797"/>
    <w:rsid w:val="001A0BB8"/>
    <w:rsid w:val="001A12A1"/>
    <w:rsid w:val="001A188B"/>
    <w:rsid w:val="001A18F0"/>
    <w:rsid w:val="001A1A99"/>
    <w:rsid w:val="001A226F"/>
    <w:rsid w:val="001A29E1"/>
    <w:rsid w:val="001A2CB6"/>
    <w:rsid w:val="001A2DFC"/>
    <w:rsid w:val="001A33F9"/>
    <w:rsid w:val="001A34F8"/>
    <w:rsid w:val="001A360A"/>
    <w:rsid w:val="001A3D8E"/>
    <w:rsid w:val="001A42A4"/>
    <w:rsid w:val="001A43C7"/>
    <w:rsid w:val="001A482B"/>
    <w:rsid w:val="001A48B3"/>
    <w:rsid w:val="001A4B6E"/>
    <w:rsid w:val="001A4D02"/>
    <w:rsid w:val="001A50CF"/>
    <w:rsid w:val="001A525E"/>
    <w:rsid w:val="001A5271"/>
    <w:rsid w:val="001A5274"/>
    <w:rsid w:val="001A57AB"/>
    <w:rsid w:val="001A5A19"/>
    <w:rsid w:val="001A5BDB"/>
    <w:rsid w:val="001A5D73"/>
    <w:rsid w:val="001A6632"/>
    <w:rsid w:val="001A6C4A"/>
    <w:rsid w:val="001A6C9B"/>
    <w:rsid w:val="001A75DA"/>
    <w:rsid w:val="001A786B"/>
    <w:rsid w:val="001A7F8E"/>
    <w:rsid w:val="001B02FB"/>
    <w:rsid w:val="001B0A1D"/>
    <w:rsid w:val="001B0E9D"/>
    <w:rsid w:val="001B175B"/>
    <w:rsid w:val="001B1A26"/>
    <w:rsid w:val="001B1F60"/>
    <w:rsid w:val="001B2112"/>
    <w:rsid w:val="001B2883"/>
    <w:rsid w:val="001B3223"/>
    <w:rsid w:val="001B367F"/>
    <w:rsid w:val="001B3AFC"/>
    <w:rsid w:val="001B3FDB"/>
    <w:rsid w:val="001B4093"/>
    <w:rsid w:val="001B4355"/>
    <w:rsid w:val="001B4A2E"/>
    <w:rsid w:val="001B4E2A"/>
    <w:rsid w:val="001B4FEB"/>
    <w:rsid w:val="001B5226"/>
    <w:rsid w:val="001B5598"/>
    <w:rsid w:val="001B5A1A"/>
    <w:rsid w:val="001B5C77"/>
    <w:rsid w:val="001B6687"/>
    <w:rsid w:val="001B6B00"/>
    <w:rsid w:val="001B6C8A"/>
    <w:rsid w:val="001B6CBD"/>
    <w:rsid w:val="001B766C"/>
    <w:rsid w:val="001B7A23"/>
    <w:rsid w:val="001B7AB5"/>
    <w:rsid w:val="001C0075"/>
    <w:rsid w:val="001C01B5"/>
    <w:rsid w:val="001C054D"/>
    <w:rsid w:val="001C089F"/>
    <w:rsid w:val="001C0924"/>
    <w:rsid w:val="001C0B5C"/>
    <w:rsid w:val="001C1081"/>
    <w:rsid w:val="001C11D6"/>
    <w:rsid w:val="001C1662"/>
    <w:rsid w:val="001C1785"/>
    <w:rsid w:val="001C1AF0"/>
    <w:rsid w:val="001C204E"/>
    <w:rsid w:val="001C20EE"/>
    <w:rsid w:val="001C2299"/>
    <w:rsid w:val="001C2727"/>
    <w:rsid w:val="001C2A70"/>
    <w:rsid w:val="001C2BDB"/>
    <w:rsid w:val="001C2F00"/>
    <w:rsid w:val="001C3037"/>
    <w:rsid w:val="001C32A5"/>
    <w:rsid w:val="001C3332"/>
    <w:rsid w:val="001C3421"/>
    <w:rsid w:val="001C3BB0"/>
    <w:rsid w:val="001C410A"/>
    <w:rsid w:val="001C41ED"/>
    <w:rsid w:val="001C427D"/>
    <w:rsid w:val="001C47D1"/>
    <w:rsid w:val="001C4924"/>
    <w:rsid w:val="001C4A8E"/>
    <w:rsid w:val="001C4C2F"/>
    <w:rsid w:val="001C4E37"/>
    <w:rsid w:val="001C4E55"/>
    <w:rsid w:val="001C50AB"/>
    <w:rsid w:val="001C5340"/>
    <w:rsid w:val="001C54A5"/>
    <w:rsid w:val="001C5E80"/>
    <w:rsid w:val="001C5FA5"/>
    <w:rsid w:val="001C6456"/>
    <w:rsid w:val="001C6856"/>
    <w:rsid w:val="001C6C75"/>
    <w:rsid w:val="001C7DCD"/>
    <w:rsid w:val="001D068E"/>
    <w:rsid w:val="001D0BC5"/>
    <w:rsid w:val="001D14A5"/>
    <w:rsid w:val="001D1696"/>
    <w:rsid w:val="001D18CC"/>
    <w:rsid w:val="001D2303"/>
    <w:rsid w:val="001D2A24"/>
    <w:rsid w:val="001D2F92"/>
    <w:rsid w:val="001D356A"/>
    <w:rsid w:val="001D3639"/>
    <w:rsid w:val="001D390B"/>
    <w:rsid w:val="001D398A"/>
    <w:rsid w:val="001D40F3"/>
    <w:rsid w:val="001D4198"/>
    <w:rsid w:val="001D42A2"/>
    <w:rsid w:val="001D4802"/>
    <w:rsid w:val="001D4A93"/>
    <w:rsid w:val="001D4D7B"/>
    <w:rsid w:val="001D4E4B"/>
    <w:rsid w:val="001D593C"/>
    <w:rsid w:val="001D5A99"/>
    <w:rsid w:val="001D6036"/>
    <w:rsid w:val="001D692B"/>
    <w:rsid w:val="001D6A3B"/>
    <w:rsid w:val="001D759C"/>
    <w:rsid w:val="001D764E"/>
    <w:rsid w:val="001D79D2"/>
    <w:rsid w:val="001D7E05"/>
    <w:rsid w:val="001D7EDF"/>
    <w:rsid w:val="001E037D"/>
    <w:rsid w:val="001E06DD"/>
    <w:rsid w:val="001E0912"/>
    <w:rsid w:val="001E0BAB"/>
    <w:rsid w:val="001E0BE6"/>
    <w:rsid w:val="001E0C94"/>
    <w:rsid w:val="001E1D75"/>
    <w:rsid w:val="001E1FC3"/>
    <w:rsid w:val="001E210F"/>
    <w:rsid w:val="001E21D3"/>
    <w:rsid w:val="001E2A6E"/>
    <w:rsid w:val="001E2A8F"/>
    <w:rsid w:val="001E3226"/>
    <w:rsid w:val="001E368F"/>
    <w:rsid w:val="001E381C"/>
    <w:rsid w:val="001E39CB"/>
    <w:rsid w:val="001E3E7D"/>
    <w:rsid w:val="001E430D"/>
    <w:rsid w:val="001E45C6"/>
    <w:rsid w:val="001E4945"/>
    <w:rsid w:val="001E4C07"/>
    <w:rsid w:val="001E4C8F"/>
    <w:rsid w:val="001E517C"/>
    <w:rsid w:val="001E5E67"/>
    <w:rsid w:val="001E60BF"/>
    <w:rsid w:val="001E65AA"/>
    <w:rsid w:val="001E6B64"/>
    <w:rsid w:val="001E6C29"/>
    <w:rsid w:val="001E7003"/>
    <w:rsid w:val="001E7032"/>
    <w:rsid w:val="001E7269"/>
    <w:rsid w:val="001E78FB"/>
    <w:rsid w:val="001E7BAD"/>
    <w:rsid w:val="001F0008"/>
    <w:rsid w:val="001F0386"/>
    <w:rsid w:val="001F0778"/>
    <w:rsid w:val="001F0790"/>
    <w:rsid w:val="001F07BF"/>
    <w:rsid w:val="001F0E4A"/>
    <w:rsid w:val="001F146D"/>
    <w:rsid w:val="001F1556"/>
    <w:rsid w:val="001F172C"/>
    <w:rsid w:val="001F1868"/>
    <w:rsid w:val="001F19C8"/>
    <w:rsid w:val="001F230F"/>
    <w:rsid w:val="001F23C0"/>
    <w:rsid w:val="001F2E26"/>
    <w:rsid w:val="001F37DC"/>
    <w:rsid w:val="001F3861"/>
    <w:rsid w:val="001F3B1B"/>
    <w:rsid w:val="001F3B8F"/>
    <w:rsid w:val="001F4290"/>
    <w:rsid w:val="001F42E9"/>
    <w:rsid w:val="001F4882"/>
    <w:rsid w:val="001F4E77"/>
    <w:rsid w:val="001F4F48"/>
    <w:rsid w:val="001F4FA4"/>
    <w:rsid w:val="001F57A9"/>
    <w:rsid w:val="001F58A5"/>
    <w:rsid w:val="001F5ACF"/>
    <w:rsid w:val="001F5DDD"/>
    <w:rsid w:val="001F603B"/>
    <w:rsid w:val="001F64AF"/>
    <w:rsid w:val="001F6AB9"/>
    <w:rsid w:val="001F6E5F"/>
    <w:rsid w:val="001F75D4"/>
    <w:rsid w:val="001F76E4"/>
    <w:rsid w:val="001F7D74"/>
    <w:rsid w:val="001F7E6C"/>
    <w:rsid w:val="00200084"/>
    <w:rsid w:val="00200508"/>
    <w:rsid w:val="00200893"/>
    <w:rsid w:val="00200DCA"/>
    <w:rsid w:val="002014C7"/>
    <w:rsid w:val="00202052"/>
    <w:rsid w:val="00202108"/>
    <w:rsid w:val="002023A7"/>
    <w:rsid w:val="00202432"/>
    <w:rsid w:val="002024F5"/>
    <w:rsid w:val="00202880"/>
    <w:rsid w:val="00202C76"/>
    <w:rsid w:val="00203182"/>
    <w:rsid w:val="00203D5B"/>
    <w:rsid w:val="00203FBF"/>
    <w:rsid w:val="002041CB"/>
    <w:rsid w:val="002046BF"/>
    <w:rsid w:val="002047D9"/>
    <w:rsid w:val="00204955"/>
    <w:rsid w:val="00204CBB"/>
    <w:rsid w:val="002053F7"/>
    <w:rsid w:val="002054A5"/>
    <w:rsid w:val="00205B88"/>
    <w:rsid w:val="00205E80"/>
    <w:rsid w:val="002060E7"/>
    <w:rsid w:val="0020617F"/>
    <w:rsid w:val="002066E0"/>
    <w:rsid w:val="00206BDF"/>
    <w:rsid w:val="00206C60"/>
    <w:rsid w:val="00207154"/>
    <w:rsid w:val="00207345"/>
    <w:rsid w:val="0020781B"/>
    <w:rsid w:val="00207A52"/>
    <w:rsid w:val="00207C1D"/>
    <w:rsid w:val="002101C9"/>
    <w:rsid w:val="00210437"/>
    <w:rsid w:val="00210637"/>
    <w:rsid w:val="002108CC"/>
    <w:rsid w:val="00210CA0"/>
    <w:rsid w:val="00210DCA"/>
    <w:rsid w:val="00211322"/>
    <w:rsid w:val="002115DF"/>
    <w:rsid w:val="00211780"/>
    <w:rsid w:val="00211C8A"/>
    <w:rsid w:val="00211D88"/>
    <w:rsid w:val="00211E47"/>
    <w:rsid w:val="00211F2E"/>
    <w:rsid w:val="0021257C"/>
    <w:rsid w:val="00212E0B"/>
    <w:rsid w:val="0021313E"/>
    <w:rsid w:val="00213B07"/>
    <w:rsid w:val="002140F0"/>
    <w:rsid w:val="002146EE"/>
    <w:rsid w:val="002147FB"/>
    <w:rsid w:val="00214E77"/>
    <w:rsid w:val="0021501A"/>
    <w:rsid w:val="002151DC"/>
    <w:rsid w:val="00215A74"/>
    <w:rsid w:val="002160E1"/>
    <w:rsid w:val="002164F5"/>
    <w:rsid w:val="0021691B"/>
    <w:rsid w:val="00216B57"/>
    <w:rsid w:val="00216BC4"/>
    <w:rsid w:val="0021718B"/>
    <w:rsid w:val="00217255"/>
    <w:rsid w:val="002172AA"/>
    <w:rsid w:val="00217ECA"/>
    <w:rsid w:val="00217F5A"/>
    <w:rsid w:val="002201CC"/>
    <w:rsid w:val="00220237"/>
    <w:rsid w:val="00220277"/>
    <w:rsid w:val="00221685"/>
    <w:rsid w:val="00221776"/>
    <w:rsid w:val="00221DBA"/>
    <w:rsid w:val="00221E30"/>
    <w:rsid w:val="002220D2"/>
    <w:rsid w:val="00222128"/>
    <w:rsid w:val="0022213B"/>
    <w:rsid w:val="002222EA"/>
    <w:rsid w:val="00222313"/>
    <w:rsid w:val="00222424"/>
    <w:rsid w:val="00222471"/>
    <w:rsid w:val="0022251A"/>
    <w:rsid w:val="002226EE"/>
    <w:rsid w:val="00222754"/>
    <w:rsid w:val="0022282B"/>
    <w:rsid w:val="00222857"/>
    <w:rsid w:val="00222AA2"/>
    <w:rsid w:val="00222AE7"/>
    <w:rsid w:val="00222D6A"/>
    <w:rsid w:val="00223256"/>
    <w:rsid w:val="00223386"/>
    <w:rsid w:val="002233E5"/>
    <w:rsid w:val="00223603"/>
    <w:rsid w:val="0022379D"/>
    <w:rsid w:val="00223DFE"/>
    <w:rsid w:val="0022424A"/>
    <w:rsid w:val="0022431D"/>
    <w:rsid w:val="002244EA"/>
    <w:rsid w:val="002247C5"/>
    <w:rsid w:val="00224B2B"/>
    <w:rsid w:val="00224BB1"/>
    <w:rsid w:val="002250D3"/>
    <w:rsid w:val="00225210"/>
    <w:rsid w:val="00225D2B"/>
    <w:rsid w:val="002267BA"/>
    <w:rsid w:val="002269DE"/>
    <w:rsid w:val="00226ED7"/>
    <w:rsid w:val="00226EF8"/>
    <w:rsid w:val="0022705A"/>
    <w:rsid w:val="00227639"/>
    <w:rsid w:val="00230689"/>
    <w:rsid w:val="0023072A"/>
    <w:rsid w:val="00230E4C"/>
    <w:rsid w:val="00230F65"/>
    <w:rsid w:val="0023133D"/>
    <w:rsid w:val="00231358"/>
    <w:rsid w:val="002313E8"/>
    <w:rsid w:val="0023173F"/>
    <w:rsid w:val="002319DF"/>
    <w:rsid w:val="00231B41"/>
    <w:rsid w:val="00231E6E"/>
    <w:rsid w:val="002326BE"/>
    <w:rsid w:val="00232727"/>
    <w:rsid w:val="00232B03"/>
    <w:rsid w:val="00232E08"/>
    <w:rsid w:val="002331DA"/>
    <w:rsid w:val="002339B3"/>
    <w:rsid w:val="00233A02"/>
    <w:rsid w:val="00233D6B"/>
    <w:rsid w:val="00233EA7"/>
    <w:rsid w:val="00234139"/>
    <w:rsid w:val="00234B32"/>
    <w:rsid w:val="00234E73"/>
    <w:rsid w:val="00235073"/>
    <w:rsid w:val="002352AD"/>
    <w:rsid w:val="0023590E"/>
    <w:rsid w:val="002363BB"/>
    <w:rsid w:val="002365D1"/>
    <w:rsid w:val="0023686A"/>
    <w:rsid w:val="002369D0"/>
    <w:rsid w:val="00236B6A"/>
    <w:rsid w:val="00236C13"/>
    <w:rsid w:val="00237252"/>
    <w:rsid w:val="002373E3"/>
    <w:rsid w:val="002400A3"/>
    <w:rsid w:val="00240270"/>
    <w:rsid w:val="00240920"/>
    <w:rsid w:val="00241030"/>
    <w:rsid w:val="00241060"/>
    <w:rsid w:val="00241698"/>
    <w:rsid w:val="00241726"/>
    <w:rsid w:val="00241E81"/>
    <w:rsid w:val="00241F5A"/>
    <w:rsid w:val="0024224B"/>
    <w:rsid w:val="0024231F"/>
    <w:rsid w:val="0024252F"/>
    <w:rsid w:val="00242538"/>
    <w:rsid w:val="0024269A"/>
    <w:rsid w:val="002427CD"/>
    <w:rsid w:val="00242F4F"/>
    <w:rsid w:val="002431CE"/>
    <w:rsid w:val="00243741"/>
    <w:rsid w:val="00243AE2"/>
    <w:rsid w:val="00243C31"/>
    <w:rsid w:val="00243F67"/>
    <w:rsid w:val="002440EB"/>
    <w:rsid w:val="002442D4"/>
    <w:rsid w:val="00244720"/>
    <w:rsid w:val="0024502F"/>
    <w:rsid w:val="00245207"/>
    <w:rsid w:val="0024561A"/>
    <w:rsid w:val="002457BB"/>
    <w:rsid w:val="0024593D"/>
    <w:rsid w:val="00245AC8"/>
    <w:rsid w:val="00245C33"/>
    <w:rsid w:val="00245D06"/>
    <w:rsid w:val="00246095"/>
    <w:rsid w:val="00246239"/>
    <w:rsid w:val="002463EE"/>
    <w:rsid w:val="00246796"/>
    <w:rsid w:val="002468B8"/>
    <w:rsid w:val="002469DB"/>
    <w:rsid w:val="00246D58"/>
    <w:rsid w:val="00247203"/>
    <w:rsid w:val="00247690"/>
    <w:rsid w:val="00247E31"/>
    <w:rsid w:val="00247E9B"/>
    <w:rsid w:val="0025137B"/>
    <w:rsid w:val="002516D7"/>
    <w:rsid w:val="0025180C"/>
    <w:rsid w:val="00252313"/>
    <w:rsid w:val="00252388"/>
    <w:rsid w:val="002526B8"/>
    <w:rsid w:val="00252923"/>
    <w:rsid w:val="00252BA7"/>
    <w:rsid w:val="00253239"/>
    <w:rsid w:val="002534EE"/>
    <w:rsid w:val="0025387B"/>
    <w:rsid w:val="00253A60"/>
    <w:rsid w:val="00253BCC"/>
    <w:rsid w:val="00254379"/>
    <w:rsid w:val="0025467B"/>
    <w:rsid w:val="0025481C"/>
    <w:rsid w:val="00254BC3"/>
    <w:rsid w:val="002550E0"/>
    <w:rsid w:val="00255435"/>
    <w:rsid w:val="002559D1"/>
    <w:rsid w:val="00255A8A"/>
    <w:rsid w:val="00255E9F"/>
    <w:rsid w:val="00255FAE"/>
    <w:rsid w:val="0025606A"/>
    <w:rsid w:val="002562E1"/>
    <w:rsid w:val="002565C2"/>
    <w:rsid w:val="00256706"/>
    <w:rsid w:val="00256837"/>
    <w:rsid w:val="00256A0D"/>
    <w:rsid w:val="00256BA6"/>
    <w:rsid w:val="00256E25"/>
    <w:rsid w:val="002573C7"/>
    <w:rsid w:val="00257753"/>
    <w:rsid w:val="00257CED"/>
    <w:rsid w:val="00257DDC"/>
    <w:rsid w:val="00257EA2"/>
    <w:rsid w:val="00257F2D"/>
    <w:rsid w:val="002600CE"/>
    <w:rsid w:val="00260A33"/>
    <w:rsid w:val="00260BEA"/>
    <w:rsid w:val="00261201"/>
    <w:rsid w:val="002619D3"/>
    <w:rsid w:val="00261AC7"/>
    <w:rsid w:val="00261C29"/>
    <w:rsid w:val="00261FD7"/>
    <w:rsid w:val="002620FE"/>
    <w:rsid w:val="002621A3"/>
    <w:rsid w:val="002624D3"/>
    <w:rsid w:val="00262841"/>
    <w:rsid w:val="00262D38"/>
    <w:rsid w:val="00262D9C"/>
    <w:rsid w:val="00262EFE"/>
    <w:rsid w:val="00262FE0"/>
    <w:rsid w:val="00263933"/>
    <w:rsid w:val="00263E10"/>
    <w:rsid w:val="00264057"/>
    <w:rsid w:val="00264799"/>
    <w:rsid w:val="0026486B"/>
    <w:rsid w:val="002648C6"/>
    <w:rsid w:val="00264E3B"/>
    <w:rsid w:val="0026508B"/>
    <w:rsid w:val="00265157"/>
    <w:rsid w:val="00265F36"/>
    <w:rsid w:val="00266260"/>
    <w:rsid w:val="00266795"/>
    <w:rsid w:val="00266ADD"/>
    <w:rsid w:val="00266FDE"/>
    <w:rsid w:val="00267486"/>
    <w:rsid w:val="00267877"/>
    <w:rsid w:val="00267DDE"/>
    <w:rsid w:val="00270351"/>
    <w:rsid w:val="00270D88"/>
    <w:rsid w:val="00270F77"/>
    <w:rsid w:val="00270FCE"/>
    <w:rsid w:val="002715A5"/>
    <w:rsid w:val="00271981"/>
    <w:rsid w:val="00271A82"/>
    <w:rsid w:val="00271B1F"/>
    <w:rsid w:val="00271C5D"/>
    <w:rsid w:val="002720BC"/>
    <w:rsid w:val="002725AB"/>
    <w:rsid w:val="00272E34"/>
    <w:rsid w:val="00272F9D"/>
    <w:rsid w:val="00273399"/>
    <w:rsid w:val="00273536"/>
    <w:rsid w:val="002739EA"/>
    <w:rsid w:val="0027416D"/>
    <w:rsid w:val="002742FB"/>
    <w:rsid w:val="00274788"/>
    <w:rsid w:val="00274B78"/>
    <w:rsid w:val="00274E98"/>
    <w:rsid w:val="002752F2"/>
    <w:rsid w:val="00275335"/>
    <w:rsid w:val="00275CD3"/>
    <w:rsid w:val="00275D63"/>
    <w:rsid w:val="00276225"/>
    <w:rsid w:val="00276266"/>
    <w:rsid w:val="0027686A"/>
    <w:rsid w:val="00276A6F"/>
    <w:rsid w:val="00276D47"/>
    <w:rsid w:val="00276EA9"/>
    <w:rsid w:val="002776D7"/>
    <w:rsid w:val="002777A6"/>
    <w:rsid w:val="00277A5E"/>
    <w:rsid w:val="00277E52"/>
    <w:rsid w:val="00280126"/>
    <w:rsid w:val="00280230"/>
    <w:rsid w:val="00280519"/>
    <w:rsid w:val="00280738"/>
    <w:rsid w:val="0028094B"/>
    <w:rsid w:val="00280AD8"/>
    <w:rsid w:val="00280BBF"/>
    <w:rsid w:val="00280CFD"/>
    <w:rsid w:val="00280D48"/>
    <w:rsid w:val="002811FF"/>
    <w:rsid w:val="00281AC3"/>
    <w:rsid w:val="00282006"/>
    <w:rsid w:val="00282431"/>
    <w:rsid w:val="00282520"/>
    <w:rsid w:val="00282C0D"/>
    <w:rsid w:val="00282E8C"/>
    <w:rsid w:val="002833A1"/>
    <w:rsid w:val="00283739"/>
    <w:rsid w:val="00283BCF"/>
    <w:rsid w:val="00283C76"/>
    <w:rsid w:val="00283D47"/>
    <w:rsid w:val="002846AC"/>
    <w:rsid w:val="00284829"/>
    <w:rsid w:val="002848AF"/>
    <w:rsid w:val="002850E3"/>
    <w:rsid w:val="00285953"/>
    <w:rsid w:val="002863D1"/>
    <w:rsid w:val="002866FF"/>
    <w:rsid w:val="00286CA8"/>
    <w:rsid w:val="00286CC8"/>
    <w:rsid w:val="00286D41"/>
    <w:rsid w:val="002878B8"/>
    <w:rsid w:val="00287A80"/>
    <w:rsid w:val="00287AF6"/>
    <w:rsid w:val="00287CBD"/>
    <w:rsid w:val="00287D0A"/>
    <w:rsid w:val="00287E76"/>
    <w:rsid w:val="00290986"/>
    <w:rsid w:val="00290E2C"/>
    <w:rsid w:val="0029116F"/>
    <w:rsid w:val="00291270"/>
    <w:rsid w:val="0029149C"/>
    <w:rsid w:val="0029162F"/>
    <w:rsid w:val="00291BF5"/>
    <w:rsid w:val="00292083"/>
    <w:rsid w:val="00292210"/>
    <w:rsid w:val="002922EF"/>
    <w:rsid w:val="002926E2"/>
    <w:rsid w:val="00292B52"/>
    <w:rsid w:val="00292BC6"/>
    <w:rsid w:val="00292C2A"/>
    <w:rsid w:val="00293101"/>
    <w:rsid w:val="00293697"/>
    <w:rsid w:val="002936AC"/>
    <w:rsid w:val="002936F1"/>
    <w:rsid w:val="00293876"/>
    <w:rsid w:val="00293C24"/>
    <w:rsid w:val="0029460E"/>
    <w:rsid w:val="00294B75"/>
    <w:rsid w:val="00294E23"/>
    <w:rsid w:val="002956A6"/>
    <w:rsid w:val="002956F5"/>
    <w:rsid w:val="00295C98"/>
    <w:rsid w:val="0029603C"/>
    <w:rsid w:val="00296B55"/>
    <w:rsid w:val="00296DA7"/>
    <w:rsid w:val="00297104"/>
    <w:rsid w:val="002971F9"/>
    <w:rsid w:val="00297570"/>
    <w:rsid w:val="00297A7F"/>
    <w:rsid w:val="00297BB0"/>
    <w:rsid w:val="00297D0A"/>
    <w:rsid w:val="00297D3B"/>
    <w:rsid w:val="00297FA4"/>
    <w:rsid w:val="002A02CA"/>
    <w:rsid w:val="002A0377"/>
    <w:rsid w:val="002A06CF"/>
    <w:rsid w:val="002A08F5"/>
    <w:rsid w:val="002A0913"/>
    <w:rsid w:val="002A0A51"/>
    <w:rsid w:val="002A0AF6"/>
    <w:rsid w:val="002A0DF3"/>
    <w:rsid w:val="002A0E03"/>
    <w:rsid w:val="002A116E"/>
    <w:rsid w:val="002A1802"/>
    <w:rsid w:val="002A1C74"/>
    <w:rsid w:val="002A2406"/>
    <w:rsid w:val="002A24B6"/>
    <w:rsid w:val="002A2673"/>
    <w:rsid w:val="002A26F3"/>
    <w:rsid w:val="002A28A8"/>
    <w:rsid w:val="002A2A3E"/>
    <w:rsid w:val="002A2E02"/>
    <w:rsid w:val="002A2E8D"/>
    <w:rsid w:val="002A2FE3"/>
    <w:rsid w:val="002A381C"/>
    <w:rsid w:val="002A4231"/>
    <w:rsid w:val="002A436C"/>
    <w:rsid w:val="002A4AE0"/>
    <w:rsid w:val="002A4B9E"/>
    <w:rsid w:val="002A4F2A"/>
    <w:rsid w:val="002A5360"/>
    <w:rsid w:val="002A5569"/>
    <w:rsid w:val="002A5663"/>
    <w:rsid w:val="002A5674"/>
    <w:rsid w:val="002A5701"/>
    <w:rsid w:val="002A601E"/>
    <w:rsid w:val="002A60A9"/>
    <w:rsid w:val="002A6738"/>
    <w:rsid w:val="002A6AD5"/>
    <w:rsid w:val="002A6E7A"/>
    <w:rsid w:val="002A7309"/>
    <w:rsid w:val="002A7C57"/>
    <w:rsid w:val="002A7CF6"/>
    <w:rsid w:val="002A7FCD"/>
    <w:rsid w:val="002B0055"/>
    <w:rsid w:val="002B015D"/>
    <w:rsid w:val="002B01EC"/>
    <w:rsid w:val="002B039E"/>
    <w:rsid w:val="002B09AE"/>
    <w:rsid w:val="002B0E33"/>
    <w:rsid w:val="002B0FF8"/>
    <w:rsid w:val="002B106B"/>
    <w:rsid w:val="002B14F9"/>
    <w:rsid w:val="002B1724"/>
    <w:rsid w:val="002B1D21"/>
    <w:rsid w:val="002B1DD8"/>
    <w:rsid w:val="002B258E"/>
    <w:rsid w:val="002B26EC"/>
    <w:rsid w:val="002B2710"/>
    <w:rsid w:val="002B2B08"/>
    <w:rsid w:val="002B2C13"/>
    <w:rsid w:val="002B3668"/>
    <w:rsid w:val="002B43A4"/>
    <w:rsid w:val="002B45B0"/>
    <w:rsid w:val="002B4662"/>
    <w:rsid w:val="002B46A4"/>
    <w:rsid w:val="002B46AA"/>
    <w:rsid w:val="002B5015"/>
    <w:rsid w:val="002B5430"/>
    <w:rsid w:val="002B58A3"/>
    <w:rsid w:val="002B5C2B"/>
    <w:rsid w:val="002B5CE2"/>
    <w:rsid w:val="002B5DAD"/>
    <w:rsid w:val="002B5F3B"/>
    <w:rsid w:val="002B6012"/>
    <w:rsid w:val="002B6292"/>
    <w:rsid w:val="002B6356"/>
    <w:rsid w:val="002B6365"/>
    <w:rsid w:val="002B647B"/>
    <w:rsid w:val="002B64E4"/>
    <w:rsid w:val="002B65E0"/>
    <w:rsid w:val="002B6C19"/>
    <w:rsid w:val="002B6CC3"/>
    <w:rsid w:val="002B7BF6"/>
    <w:rsid w:val="002C0152"/>
    <w:rsid w:val="002C01D5"/>
    <w:rsid w:val="002C093F"/>
    <w:rsid w:val="002C1C79"/>
    <w:rsid w:val="002C219C"/>
    <w:rsid w:val="002C2305"/>
    <w:rsid w:val="002C2C98"/>
    <w:rsid w:val="002C2E0F"/>
    <w:rsid w:val="002C3405"/>
    <w:rsid w:val="002C4276"/>
    <w:rsid w:val="002C4308"/>
    <w:rsid w:val="002C4897"/>
    <w:rsid w:val="002C4BFE"/>
    <w:rsid w:val="002C5238"/>
    <w:rsid w:val="002C52CF"/>
    <w:rsid w:val="002C53AD"/>
    <w:rsid w:val="002C5436"/>
    <w:rsid w:val="002C5595"/>
    <w:rsid w:val="002C55C2"/>
    <w:rsid w:val="002C5790"/>
    <w:rsid w:val="002C585B"/>
    <w:rsid w:val="002C58E7"/>
    <w:rsid w:val="002C5C5D"/>
    <w:rsid w:val="002C5EE8"/>
    <w:rsid w:val="002C62E9"/>
    <w:rsid w:val="002C63FA"/>
    <w:rsid w:val="002C6774"/>
    <w:rsid w:val="002C6B2A"/>
    <w:rsid w:val="002C6F66"/>
    <w:rsid w:val="002C775F"/>
    <w:rsid w:val="002C79C5"/>
    <w:rsid w:val="002C7A0E"/>
    <w:rsid w:val="002D003D"/>
    <w:rsid w:val="002D0591"/>
    <w:rsid w:val="002D062F"/>
    <w:rsid w:val="002D06A2"/>
    <w:rsid w:val="002D0D6E"/>
    <w:rsid w:val="002D0E27"/>
    <w:rsid w:val="002D12F6"/>
    <w:rsid w:val="002D1966"/>
    <w:rsid w:val="002D1C76"/>
    <w:rsid w:val="002D2470"/>
    <w:rsid w:val="002D2BEA"/>
    <w:rsid w:val="002D2D74"/>
    <w:rsid w:val="002D2EDA"/>
    <w:rsid w:val="002D3324"/>
    <w:rsid w:val="002D33CD"/>
    <w:rsid w:val="002D3437"/>
    <w:rsid w:val="002D37D6"/>
    <w:rsid w:val="002D3801"/>
    <w:rsid w:val="002D38AB"/>
    <w:rsid w:val="002D38F8"/>
    <w:rsid w:val="002D3CDB"/>
    <w:rsid w:val="002D435D"/>
    <w:rsid w:val="002D477D"/>
    <w:rsid w:val="002D4B47"/>
    <w:rsid w:val="002D544E"/>
    <w:rsid w:val="002D55E2"/>
    <w:rsid w:val="002D574D"/>
    <w:rsid w:val="002D5B1C"/>
    <w:rsid w:val="002D5C33"/>
    <w:rsid w:val="002D5F73"/>
    <w:rsid w:val="002D5FA7"/>
    <w:rsid w:val="002D5FA8"/>
    <w:rsid w:val="002D6366"/>
    <w:rsid w:val="002D644B"/>
    <w:rsid w:val="002D6781"/>
    <w:rsid w:val="002D6820"/>
    <w:rsid w:val="002D6BFC"/>
    <w:rsid w:val="002D6FD2"/>
    <w:rsid w:val="002D707E"/>
    <w:rsid w:val="002D737E"/>
    <w:rsid w:val="002D7747"/>
    <w:rsid w:val="002D7E48"/>
    <w:rsid w:val="002E0152"/>
    <w:rsid w:val="002E024D"/>
    <w:rsid w:val="002E0277"/>
    <w:rsid w:val="002E03F7"/>
    <w:rsid w:val="002E0883"/>
    <w:rsid w:val="002E09BF"/>
    <w:rsid w:val="002E0B47"/>
    <w:rsid w:val="002E0CD0"/>
    <w:rsid w:val="002E2054"/>
    <w:rsid w:val="002E233B"/>
    <w:rsid w:val="002E23DF"/>
    <w:rsid w:val="002E27EC"/>
    <w:rsid w:val="002E29FF"/>
    <w:rsid w:val="002E3351"/>
    <w:rsid w:val="002E3B60"/>
    <w:rsid w:val="002E3DB3"/>
    <w:rsid w:val="002E4747"/>
    <w:rsid w:val="002E4A8A"/>
    <w:rsid w:val="002E4CAE"/>
    <w:rsid w:val="002E4D47"/>
    <w:rsid w:val="002E4DF1"/>
    <w:rsid w:val="002E545C"/>
    <w:rsid w:val="002E54FB"/>
    <w:rsid w:val="002E5571"/>
    <w:rsid w:val="002E5A5A"/>
    <w:rsid w:val="002E5B9F"/>
    <w:rsid w:val="002E6173"/>
    <w:rsid w:val="002E61CA"/>
    <w:rsid w:val="002E6263"/>
    <w:rsid w:val="002E6732"/>
    <w:rsid w:val="002E6745"/>
    <w:rsid w:val="002E6E66"/>
    <w:rsid w:val="002E7443"/>
    <w:rsid w:val="002E747C"/>
    <w:rsid w:val="002E74C8"/>
    <w:rsid w:val="002E76A9"/>
    <w:rsid w:val="002E7782"/>
    <w:rsid w:val="002E787B"/>
    <w:rsid w:val="002E7BD3"/>
    <w:rsid w:val="002E7D46"/>
    <w:rsid w:val="002E7DB5"/>
    <w:rsid w:val="002F0EF8"/>
    <w:rsid w:val="002F11B1"/>
    <w:rsid w:val="002F127E"/>
    <w:rsid w:val="002F12F8"/>
    <w:rsid w:val="002F1B03"/>
    <w:rsid w:val="002F1C87"/>
    <w:rsid w:val="002F243D"/>
    <w:rsid w:val="002F267B"/>
    <w:rsid w:val="002F2FCC"/>
    <w:rsid w:val="002F3167"/>
    <w:rsid w:val="002F351E"/>
    <w:rsid w:val="002F3B3C"/>
    <w:rsid w:val="002F3DBC"/>
    <w:rsid w:val="002F3F82"/>
    <w:rsid w:val="002F40A8"/>
    <w:rsid w:val="002F4406"/>
    <w:rsid w:val="002F4B61"/>
    <w:rsid w:val="002F4D20"/>
    <w:rsid w:val="002F4ECB"/>
    <w:rsid w:val="002F4EF0"/>
    <w:rsid w:val="002F5805"/>
    <w:rsid w:val="002F594A"/>
    <w:rsid w:val="002F6937"/>
    <w:rsid w:val="002F6988"/>
    <w:rsid w:val="002F6A73"/>
    <w:rsid w:val="002F6A75"/>
    <w:rsid w:val="002F6BA1"/>
    <w:rsid w:val="002F6CA3"/>
    <w:rsid w:val="002F6DB5"/>
    <w:rsid w:val="002F7507"/>
    <w:rsid w:val="002F7CE5"/>
    <w:rsid w:val="002F7DBE"/>
    <w:rsid w:val="002F7FEE"/>
    <w:rsid w:val="0030002C"/>
    <w:rsid w:val="00300320"/>
    <w:rsid w:val="00300462"/>
    <w:rsid w:val="003008DE"/>
    <w:rsid w:val="00300926"/>
    <w:rsid w:val="00300D35"/>
    <w:rsid w:val="003010CD"/>
    <w:rsid w:val="003010EA"/>
    <w:rsid w:val="003011F2"/>
    <w:rsid w:val="00301300"/>
    <w:rsid w:val="0030134A"/>
    <w:rsid w:val="0030147C"/>
    <w:rsid w:val="00301590"/>
    <w:rsid w:val="003016B8"/>
    <w:rsid w:val="00301C06"/>
    <w:rsid w:val="00301E08"/>
    <w:rsid w:val="00301F8E"/>
    <w:rsid w:val="0030205B"/>
    <w:rsid w:val="00302088"/>
    <w:rsid w:val="0030209E"/>
    <w:rsid w:val="003020B2"/>
    <w:rsid w:val="003023D4"/>
    <w:rsid w:val="00302509"/>
    <w:rsid w:val="00302C1A"/>
    <w:rsid w:val="00302C9E"/>
    <w:rsid w:val="00302F9C"/>
    <w:rsid w:val="00303324"/>
    <w:rsid w:val="003034EB"/>
    <w:rsid w:val="003035E0"/>
    <w:rsid w:val="00303A68"/>
    <w:rsid w:val="00303BB6"/>
    <w:rsid w:val="00303EEC"/>
    <w:rsid w:val="00304039"/>
    <w:rsid w:val="0030415F"/>
    <w:rsid w:val="003044A0"/>
    <w:rsid w:val="003052B9"/>
    <w:rsid w:val="003052C8"/>
    <w:rsid w:val="003054D7"/>
    <w:rsid w:val="003056CD"/>
    <w:rsid w:val="00305816"/>
    <w:rsid w:val="00305CDB"/>
    <w:rsid w:val="00305DC6"/>
    <w:rsid w:val="00306044"/>
    <w:rsid w:val="0030606B"/>
    <w:rsid w:val="003064C6"/>
    <w:rsid w:val="00306677"/>
    <w:rsid w:val="00306768"/>
    <w:rsid w:val="00307476"/>
    <w:rsid w:val="00307E94"/>
    <w:rsid w:val="003100DA"/>
    <w:rsid w:val="00310344"/>
    <w:rsid w:val="003103EC"/>
    <w:rsid w:val="00310582"/>
    <w:rsid w:val="003108C0"/>
    <w:rsid w:val="00311182"/>
    <w:rsid w:val="00311652"/>
    <w:rsid w:val="003116F2"/>
    <w:rsid w:val="00311755"/>
    <w:rsid w:val="00311799"/>
    <w:rsid w:val="00311950"/>
    <w:rsid w:val="003119B2"/>
    <w:rsid w:val="00311AC1"/>
    <w:rsid w:val="00311CB2"/>
    <w:rsid w:val="00311CE6"/>
    <w:rsid w:val="00311FF2"/>
    <w:rsid w:val="00312005"/>
    <w:rsid w:val="00312167"/>
    <w:rsid w:val="00312457"/>
    <w:rsid w:val="0031265E"/>
    <w:rsid w:val="0031291C"/>
    <w:rsid w:val="00312BC7"/>
    <w:rsid w:val="00312FBA"/>
    <w:rsid w:val="00313248"/>
    <w:rsid w:val="003133D2"/>
    <w:rsid w:val="0031375E"/>
    <w:rsid w:val="00313944"/>
    <w:rsid w:val="00313A0D"/>
    <w:rsid w:val="00313DD5"/>
    <w:rsid w:val="00313F48"/>
    <w:rsid w:val="003141EC"/>
    <w:rsid w:val="00314218"/>
    <w:rsid w:val="00314FA4"/>
    <w:rsid w:val="00315130"/>
    <w:rsid w:val="00315371"/>
    <w:rsid w:val="0031598F"/>
    <w:rsid w:val="00315C37"/>
    <w:rsid w:val="00315D93"/>
    <w:rsid w:val="00315E9E"/>
    <w:rsid w:val="003164D0"/>
    <w:rsid w:val="003165A7"/>
    <w:rsid w:val="0031671E"/>
    <w:rsid w:val="00316A42"/>
    <w:rsid w:val="003171B4"/>
    <w:rsid w:val="00317236"/>
    <w:rsid w:val="0031771E"/>
    <w:rsid w:val="0031780F"/>
    <w:rsid w:val="00320028"/>
    <w:rsid w:val="00320093"/>
    <w:rsid w:val="003200DF"/>
    <w:rsid w:val="003201B0"/>
    <w:rsid w:val="0032039B"/>
    <w:rsid w:val="00320732"/>
    <w:rsid w:val="00320A9C"/>
    <w:rsid w:val="00320F0B"/>
    <w:rsid w:val="00321068"/>
    <w:rsid w:val="00321122"/>
    <w:rsid w:val="00321C21"/>
    <w:rsid w:val="00321E1A"/>
    <w:rsid w:val="00322576"/>
    <w:rsid w:val="0032257A"/>
    <w:rsid w:val="003226AD"/>
    <w:rsid w:val="0032290C"/>
    <w:rsid w:val="00322E91"/>
    <w:rsid w:val="00322ED2"/>
    <w:rsid w:val="003232D5"/>
    <w:rsid w:val="003234D1"/>
    <w:rsid w:val="003235F6"/>
    <w:rsid w:val="003236B5"/>
    <w:rsid w:val="00323979"/>
    <w:rsid w:val="00323A9D"/>
    <w:rsid w:val="00324942"/>
    <w:rsid w:val="00324C2A"/>
    <w:rsid w:val="003252DA"/>
    <w:rsid w:val="003255A5"/>
    <w:rsid w:val="00325608"/>
    <w:rsid w:val="00325694"/>
    <w:rsid w:val="00325BE1"/>
    <w:rsid w:val="0032637C"/>
    <w:rsid w:val="0032640C"/>
    <w:rsid w:val="003269A6"/>
    <w:rsid w:val="00326BE5"/>
    <w:rsid w:val="00326C7B"/>
    <w:rsid w:val="00326E0F"/>
    <w:rsid w:val="00326F6C"/>
    <w:rsid w:val="00327220"/>
    <w:rsid w:val="00327675"/>
    <w:rsid w:val="00327742"/>
    <w:rsid w:val="00327757"/>
    <w:rsid w:val="00327B39"/>
    <w:rsid w:val="0033030B"/>
    <w:rsid w:val="003303F1"/>
    <w:rsid w:val="00330743"/>
    <w:rsid w:val="00330995"/>
    <w:rsid w:val="00330A84"/>
    <w:rsid w:val="00330ABC"/>
    <w:rsid w:val="00330F6B"/>
    <w:rsid w:val="00331731"/>
    <w:rsid w:val="00331C7E"/>
    <w:rsid w:val="00332BBB"/>
    <w:rsid w:val="00332C98"/>
    <w:rsid w:val="00332F7B"/>
    <w:rsid w:val="003331CE"/>
    <w:rsid w:val="00333270"/>
    <w:rsid w:val="0033369D"/>
    <w:rsid w:val="0033438C"/>
    <w:rsid w:val="00334A18"/>
    <w:rsid w:val="00334A47"/>
    <w:rsid w:val="00334EFB"/>
    <w:rsid w:val="00334F91"/>
    <w:rsid w:val="00334FAD"/>
    <w:rsid w:val="00335139"/>
    <w:rsid w:val="00335693"/>
    <w:rsid w:val="003356DD"/>
    <w:rsid w:val="00335C80"/>
    <w:rsid w:val="00335FD8"/>
    <w:rsid w:val="00336084"/>
    <w:rsid w:val="00336185"/>
    <w:rsid w:val="0033621B"/>
    <w:rsid w:val="0033637C"/>
    <w:rsid w:val="00336A1D"/>
    <w:rsid w:val="00336EBB"/>
    <w:rsid w:val="00337236"/>
    <w:rsid w:val="0033730F"/>
    <w:rsid w:val="003374C5"/>
    <w:rsid w:val="003375A6"/>
    <w:rsid w:val="003376DA"/>
    <w:rsid w:val="00337A42"/>
    <w:rsid w:val="00337B68"/>
    <w:rsid w:val="00340038"/>
    <w:rsid w:val="00340215"/>
    <w:rsid w:val="003402C6"/>
    <w:rsid w:val="00340BBE"/>
    <w:rsid w:val="003412CC"/>
    <w:rsid w:val="0034131F"/>
    <w:rsid w:val="00341437"/>
    <w:rsid w:val="003419D4"/>
    <w:rsid w:val="00341E08"/>
    <w:rsid w:val="00341E34"/>
    <w:rsid w:val="00341E59"/>
    <w:rsid w:val="00342292"/>
    <w:rsid w:val="00342422"/>
    <w:rsid w:val="003426D8"/>
    <w:rsid w:val="00342B1B"/>
    <w:rsid w:val="00342B25"/>
    <w:rsid w:val="00342D83"/>
    <w:rsid w:val="003431E1"/>
    <w:rsid w:val="00343207"/>
    <w:rsid w:val="003433A4"/>
    <w:rsid w:val="003439D2"/>
    <w:rsid w:val="00343EDD"/>
    <w:rsid w:val="00344064"/>
    <w:rsid w:val="003441A4"/>
    <w:rsid w:val="00344520"/>
    <w:rsid w:val="003448C3"/>
    <w:rsid w:val="00344BB5"/>
    <w:rsid w:val="00344E2E"/>
    <w:rsid w:val="00344FA3"/>
    <w:rsid w:val="003451AD"/>
    <w:rsid w:val="003453E0"/>
    <w:rsid w:val="003453FB"/>
    <w:rsid w:val="00345625"/>
    <w:rsid w:val="003457C1"/>
    <w:rsid w:val="003458D1"/>
    <w:rsid w:val="003459AE"/>
    <w:rsid w:val="00345ADD"/>
    <w:rsid w:val="0034608B"/>
    <w:rsid w:val="003463E5"/>
    <w:rsid w:val="003466DD"/>
    <w:rsid w:val="00346D65"/>
    <w:rsid w:val="00346EAC"/>
    <w:rsid w:val="0034730F"/>
    <w:rsid w:val="00347958"/>
    <w:rsid w:val="003479A8"/>
    <w:rsid w:val="00347A4C"/>
    <w:rsid w:val="00347C81"/>
    <w:rsid w:val="00347D06"/>
    <w:rsid w:val="003504F5"/>
    <w:rsid w:val="00351518"/>
    <w:rsid w:val="003518CB"/>
    <w:rsid w:val="00351BB6"/>
    <w:rsid w:val="00352479"/>
    <w:rsid w:val="00352ADF"/>
    <w:rsid w:val="00352C43"/>
    <w:rsid w:val="003536D4"/>
    <w:rsid w:val="00353801"/>
    <w:rsid w:val="0035407B"/>
    <w:rsid w:val="00354669"/>
    <w:rsid w:val="00354722"/>
    <w:rsid w:val="00354B79"/>
    <w:rsid w:val="00354E0A"/>
    <w:rsid w:val="00354FA3"/>
    <w:rsid w:val="00355204"/>
    <w:rsid w:val="003552F6"/>
    <w:rsid w:val="00355741"/>
    <w:rsid w:val="00355A9F"/>
    <w:rsid w:val="00355ABD"/>
    <w:rsid w:val="003563C9"/>
    <w:rsid w:val="003566C0"/>
    <w:rsid w:val="00356DCB"/>
    <w:rsid w:val="00357326"/>
    <w:rsid w:val="0035751A"/>
    <w:rsid w:val="0035797C"/>
    <w:rsid w:val="00357A2C"/>
    <w:rsid w:val="00357E04"/>
    <w:rsid w:val="0036006A"/>
    <w:rsid w:val="00360665"/>
    <w:rsid w:val="00360759"/>
    <w:rsid w:val="00360802"/>
    <w:rsid w:val="00360B5F"/>
    <w:rsid w:val="00360DF8"/>
    <w:rsid w:val="00360EEE"/>
    <w:rsid w:val="00360FB5"/>
    <w:rsid w:val="0036105C"/>
    <w:rsid w:val="00361B19"/>
    <w:rsid w:val="0036201F"/>
    <w:rsid w:val="0036206D"/>
    <w:rsid w:val="0036245D"/>
    <w:rsid w:val="00362DC2"/>
    <w:rsid w:val="003630B1"/>
    <w:rsid w:val="00363644"/>
    <w:rsid w:val="00363A70"/>
    <w:rsid w:val="00364024"/>
    <w:rsid w:val="00364557"/>
    <w:rsid w:val="00364A98"/>
    <w:rsid w:val="00365052"/>
    <w:rsid w:val="003650B3"/>
    <w:rsid w:val="00365B76"/>
    <w:rsid w:val="00365E8E"/>
    <w:rsid w:val="003665BE"/>
    <w:rsid w:val="003666EF"/>
    <w:rsid w:val="003667A8"/>
    <w:rsid w:val="00366AC9"/>
    <w:rsid w:val="00367267"/>
    <w:rsid w:val="00367579"/>
    <w:rsid w:val="00367A5B"/>
    <w:rsid w:val="00367B3D"/>
    <w:rsid w:val="00367B64"/>
    <w:rsid w:val="00367C42"/>
    <w:rsid w:val="00367ED1"/>
    <w:rsid w:val="00370800"/>
    <w:rsid w:val="00371066"/>
    <w:rsid w:val="00371676"/>
    <w:rsid w:val="00371886"/>
    <w:rsid w:val="00371A04"/>
    <w:rsid w:val="00371CFF"/>
    <w:rsid w:val="00371D86"/>
    <w:rsid w:val="00371DA6"/>
    <w:rsid w:val="00372009"/>
    <w:rsid w:val="003727A8"/>
    <w:rsid w:val="00372A1D"/>
    <w:rsid w:val="00372E49"/>
    <w:rsid w:val="00372F22"/>
    <w:rsid w:val="00372F68"/>
    <w:rsid w:val="00372FE3"/>
    <w:rsid w:val="00373458"/>
    <w:rsid w:val="00373581"/>
    <w:rsid w:val="00373B93"/>
    <w:rsid w:val="00373BD6"/>
    <w:rsid w:val="00373CA6"/>
    <w:rsid w:val="00373D76"/>
    <w:rsid w:val="0037436B"/>
    <w:rsid w:val="003749AD"/>
    <w:rsid w:val="00374BA3"/>
    <w:rsid w:val="00375325"/>
    <w:rsid w:val="003759CF"/>
    <w:rsid w:val="00376045"/>
    <w:rsid w:val="00376114"/>
    <w:rsid w:val="003769CA"/>
    <w:rsid w:val="00376B86"/>
    <w:rsid w:val="00376DA8"/>
    <w:rsid w:val="0037709C"/>
    <w:rsid w:val="003770B6"/>
    <w:rsid w:val="00377598"/>
    <w:rsid w:val="0037792C"/>
    <w:rsid w:val="00377A62"/>
    <w:rsid w:val="00380B58"/>
    <w:rsid w:val="00380F75"/>
    <w:rsid w:val="00381091"/>
    <w:rsid w:val="003815D5"/>
    <w:rsid w:val="00381D3D"/>
    <w:rsid w:val="00382106"/>
    <w:rsid w:val="003824DF"/>
    <w:rsid w:val="0038267D"/>
    <w:rsid w:val="00382AC4"/>
    <w:rsid w:val="00382DAE"/>
    <w:rsid w:val="00383882"/>
    <w:rsid w:val="00383DC7"/>
    <w:rsid w:val="00383DC9"/>
    <w:rsid w:val="0038423D"/>
    <w:rsid w:val="003843A2"/>
    <w:rsid w:val="003845A0"/>
    <w:rsid w:val="00384636"/>
    <w:rsid w:val="00384731"/>
    <w:rsid w:val="00384CD4"/>
    <w:rsid w:val="0038522A"/>
    <w:rsid w:val="0038543A"/>
    <w:rsid w:val="00385449"/>
    <w:rsid w:val="00385B1D"/>
    <w:rsid w:val="00385D57"/>
    <w:rsid w:val="00386016"/>
    <w:rsid w:val="00386074"/>
    <w:rsid w:val="003865CE"/>
    <w:rsid w:val="00386670"/>
    <w:rsid w:val="00386A2D"/>
    <w:rsid w:val="00386E88"/>
    <w:rsid w:val="00387211"/>
    <w:rsid w:val="0038760A"/>
    <w:rsid w:val="00387A3F"/>
    <w:rsid w:val="00387C01"/>
    <w:rsid w:val="00387E35"/>
    <w:rsid w:val="00390151"/>
    <w:rsid w:val="0039074A"/>
    <w:rsid w:val="00390755"/>
    <w:rsid w:val="00390B60"/>
    <w:rsid w:val="00390FAF"/>
    <w:rsid w:val="00391360"/>
    <w:rsid w:val="00391533"/>
    <w:rsid w:val="00391B31"/>
    <w:rsid w:val="00391DF6"/>
    <w:rsid w:val="003921FB"/>
    <w:rsid w:val="00392358"/>
    <w:rsid w:val="00392413"/>
    <w:rsid w:val="00392AAC"/>
    <w:rsid w:val="00392B28"/>
    <w:rsid w:val="00392B95"/>
    <w:rsid w:val="00392E89"/>
    <w:rsid w:val="00392FD8"/>
    <w:rsid w:val="00393323"/>
    <w:rsid w:val="003933DD"/>
    <w:rsid w:val="00393E03"/>
    <w:rsid w:val="00393E24"/>
    <w:rsid w:val="00394005"/>
    <w:rsid w:val="003940EA"/>
    <w:rsid w:val="0039422E"/>
    <w:rsid w:val="00394653"/>
    <w:rsid w:val="00394714"/>
    <w:rsid w:val="003948F1"/>
    <w:rsid w:val="00395210"/>
    <w:rsid w:val="003952B0"/>
    <w:rsid w:val="00395304"/>
    <w:rsid w:val="0039567B"/>
    <w:rsid w:val="003957C5"/>
    <w:rsid w:val="00395B22"/>
    <w:rsid w:val="003961DB"/>
    <w:rsid w:val="003965C0"/>
    <w:rsid w:val="003965C2"/>
    <w:rsid w:val="00396F3B"/>
    <w:rsid w:val="00397260"/>
    <w:rsid w:val="00397527"/>
    <w:rsid w:val="003975B3"/>
    <w:rsid w:val="003978A5"/>
    <w:rsid w:val="003A0006"/>
    <w:rsid w:val="003A0064"/>
    <w:rsid w:val="003A0163"/>
    <w:rsid w:val="003A072F"/>
    <w:rsid w:val="003A0B00"/>
    <w:rsid w:val="003A12F2"/>
    <w:rsid w:val="003A195F"/>
    <w:rsid w:val="003A1A33"/>
    <w:rsid w:val="003A1FB9"/>
    <w:rsid w:val="003A201E"/>
    <w:rsid w:val="003A252D"/>
    <w:rsid w:val="003A2586"/>
    <w:rsid w:val="003A2FA4"/>
    <w:rsid w:val="003A31F0"/>
    <w:rsid w:val="003A37CC"/>
    <w:rsid w:val="003A4091"/>
    <w:rsid w:val="003A4092"/>
    <w:rsid w:val="003A4114"/>
    <w:rsid w:val="003A437E"/>
    <w:rsid w:val="003A482E"/>
    <w:rsid w:val="003A4835"/>
    <w:rsid w:val="003A4A50"/>
    <w:rsid w:val="003A4EB1"/>
    <w:rsid w:val="003A5431"/>
    <w:rsid w:val="003A583C"/>
    <w:rsid w:val="003A5C25"/>
    <w:rsid w:val="003A5D01"/>
    <w:rsid w:val="003A5D47"/>
    <w:rsid w:val="003A5FDF"/>
    <w:rsid w:val="003A652A"/>
    <w:rsid w:val="003A66CA"/>
    <w:rsid w:val="003A67C5"/>
    <w:rsid w:val="003A6892"/>
    <w:rsid w:val="003A690F"/>
    <w:rsid w:val="003A6AF6"/>
    <w:rsid w:val="003A6B1A"/>
    <w:rsid w:val="003A7165"/>
    <w:rsid w:val="003A745E"/>
    <w:rsid w:val="003A7F27"/>
    <w:rsid w:val="003B020F"/>
    <w:rsid w:val="003B0519"/>
    <w:rsid w:val="003B1464"/>
    <w:rsid w:val="003B16AC"/>
    <w:rsid w:val="003B177D"/>
    <w:rsid w:val="003B195F"/>
    <w:rsid w:val="003B1A48"/>
    <w:rsid w:val="003B1A98"/>
    <w:rsid w:val="003B1B86"/>
    <w:rsid w:val="003B22D7"/>
    <w:rsid w:val="003B2803"/>
    <w:rsid w:val="003B2882"/>
    <w:rsid w:val="003B2CBE"/>
    <w:rsid w:val="003B3246"/>
    <w:rsid w:val="003B3997"/>
    <w:rsid w:val="003B3B17"/>
    <w:rsid w:val="003B3BD2"/>
    <w:rsid w:val="003B3CC4"/>
    <w:rsid w:val="003B3E2C"/>
    <w:rsid w:val="003B41DF"/>
    <w:rsid w:val="003B45F3"/>
    <w:rsid w:val="003B482B"/>
    <w:rsid w:val="003B498D"/>
    <w:rsid w:val="003B4E86"/>
    <w:rsid w:val="003B5908"/>
    <w:rsid w:val="003B5A26"/>
    <w:rsid w:val="003B5D14"/>
    <w:rsid w:val="003B6055"/>
    <w:rsid w:val="003B66FB"/>
    <w:rsid w:val="003B6813"/>
    <w:rsid w:val="003B6E3A"/>
    <w:rsid w:val="003B6FE8"/>
    <w:rsid w:val="003B7047"/>
    <w:rsid w:val="003B797F"/>
    <w:rsid w:val="003B79CE"/>
    <w:rsid w:val="003B7AE7"/>
    <w:rsid w:val="003B7C7F"/>
    <w:rsid w:val="003B7D43"/>
    <w:rsid w:val="003C0964"/>
    <w:rsid w:val="003C09C6"/>
    <w:rsid w:val="003C0A3A"/>
    <w:rsid w:val="003C0ACE"/>
    <w:rsid w:val="003C1043"/>
    <w:rsid w:val="003C10AF"/>
    <w:rsid w:val="003C2E4A"/>
    <w:rsid w:val="003C3221"/>
    <w:rsid w:val="003C32E5"/>
    <w:rsid w:val="003C32E6"/>
    <w:rsid w:val="003C348D"/>
    <w:rsid w:val="003C3526"/>
    <w:rsid w:val="003C37AF"/>
    <w:rsid w:val="003C3A6E"/>
    <w:rsid w:val="003C3AC5"/>
    <w:rsid w:val="003C406B"/>
    <w:rsid w:val="003C4101"/>
    <w:rsid w:val="003C4460"/>
    <w:rsid w:val="003C4466"/>
    <w:rsid w:val="003C4B6A"/>
    <w:rsid w:val="003C4F77"/>
    <w:rsid w:val="003C5ACD"/>
    <w:rsid w:val="003C5CB4"/>
    <w:rsid w:val="003C5D5B"/>
    <w:rsid w:val="003C6104"/>
    <w:rsid w:val="003C631B"/>
    <w:rsid w:val="003C66A4"/>
    <w:rsid w:val="003C6860"/>
    <w:rsid w:val="003C695F"/>
    <w:rsid w:val="003C77CE"/>
    <w:rsid w:val="003C7859"/>
    <w:rsid w:val="003C78A2"/>
    <w:rsid w:val="003C7963"/>
    <w:rsid w:val="003C7A77"/>
    <w:rsid w:val="003C7D37"/>
    <w:rsid w:val="003D0178"/>
    <w:rsid w:val="003D052F"/>
    <w:rsid w:val="003D0F52"/>
    <w:rsid w:val="003D10D3"/>
    <w:rsid w:val="003D1582"/>
    <w:rsid w:val="003D1748"/>
    <w:rsid w:val="003D18B9"/>
    <w:rsid w:val="003D19AD"/>
    <w:rsid w:val="003D1C8F"/>
    <w:rsid w:val="003D1E3D"/>
    <w:rsid w:val="003D1E58"/>
    <w:rsid w:val="003D1EA1"/>
    <w:rsid w:val="003D216B"/>
    <w:rsid w:val="003D21EB"/>
    <w:rsid w:val="003D2422"/>
    <w:rsid w:val="003D24A4"/>
    <w:rsid w:val="003D2547"/>
    <w:rsid w:val="003D26A8"/>
    <w:rsid w:val="003D2A22"/>
    <w:rsid w:val="003D2FE4"/>
    <w:rsid w:val="003D3653"/>
    <w:rsid w:val="003D365B"/>
    <w:rsid w:val="003D37A2"/>
    <w:rsid w:val="003D3ED3"/>
    <w:rsid w:val="003D4797"/>
    <w:rsid w:val="003D4AD2"/>
    <w:rsid w:val="003D50BE"/>
    <w:rsid w:val="003D58E3"/>
    <w:rsid w:val="003D5A97"/>
    <w:rsid w:val="003D5BB9"/>
    <w:rsid w:val="003D5ED3"/>
    <w:rsid w:val="003D6319"/>
    <w:rsid w:val="003D703B"/>
    <w:rsid w:val="003D7410"/>
    <w:rsid w:val="003D74FC"/>
    <w:rsid w:val="003D783E"/>
    <w:rsid w:val="003D7844"/>
    <w:rsid w:val="003D7B78"/>
    <w:rsid w:val="003D7C52"/>
    <w:rsid w:val="003D7CA1"/>
    <w:rsid w:val="003D7D25"/>
    <w:rsid w:val="003E0094"/>
    <w:rsid w:val="003E02E9"/>
    <w:rsid w:val="003E0AD5"/>
    <w:rsid w:val="003E0BE8"/>
    <w:rsid w:val="003E0DB7"/>
    <w:rsid w:val="003E119C"/>
    <w:rsid w:val="003E126D"/>
    <w:rsid w:val="003E162B"/>
    <w:rsid w:val="003E16EC"/>
    <w:rsid w:val="003E1AC3"/>
    <w:rsid w:val="003E1C14"/>
    <w:rsid w:val="003E1F4B"/>
    <w:rsid w:val="003E20FA"/>
    <w:rsid w:val="003E2299"/>
    <w:rsid w:val="003E2432"/>
    <w:rsid w:val="003E26B6"/>
    <w:rsid w:val="003E2746"/>
    <w:rsid w:val="003E2955"/>
    <w:rsid w:val="003E3153"/>
    <w:rsid w:val="003E3292"/>
    <w:rsid w:val="003E34E3"/>
    <w:rsid w:val="003E4601"/>
    <w:rsid w:val="003E4802"/>
    <w:rsid w:val="003E5142"/>
    <w:rsid w:val="003E51DC"/>
    <w:rsid w:val="003E51FD"/>
    <w:rsid w:val="003E5763"/>
    <w:rsid w:val="003E5D33"/>
    <w:rsid w:val="003E6148"/>
    <w:rsid w:val="003E62E8"/>
    <w:rsid w:val="003E643A"/>
    <w:rsid w:val="003E6495"/>
    <w:rsid w:val="003E6E15"/>
    <w:rsid w:val="003E7661"/>
    <w:rsid w:val="003E7698"/>
    <w:rsid w:val="003E7D87"/>
    <w:rsid w:val="003F003C"/>
    <w:rsid w:val="003F0206"/>
    <w:rsid w:val="003F0293"/>
    <w:rsid w:val="003F03B6"/>
    <w:rsid w:val="003F03E8"/>
    <w:rsid w:val="003F062A"/>
    <w:rsid w:val="003F0EA1"/>
    <w:rsid w:val="003F1509"/>
    <w:rsid w:val="003F17BC"/>
    <w:rsid w:val="003F2205"/>
    <w:rsid w:val="003F2785"/>
    <w:rsid w:val="003F3CC9"/>
    <w:rsid w:val="003F4227"/>
    <w:rsid w:val="003F43A8"/>
    <w:rsid w:val="003F4400"/>
    <w:rsid w:val="003F4544"/>
    <w:rsid w:val="003F4AED"/>
    <w:rsid w:val="003F4E31"/>
    <w:rsid w:val="003F4F11"/>
    <w:rsid w:val="003F508C"/>
    <w:rsid w:val="003F59BE"/>
    <w:rsid w:val="003F5D51"/>
    <w:rsid w:val="003F5DD1"/>
    <w:rsid w:val="003F63F1"/>
    <w:rsid w:val="003F64EF"/>
    <w:rsid w:val="003F651D"/>
    <w:rsid w:val="003F701F"/>
    <w:rsid w:val="003F78F9"/>
    <w:rsid w:val="003F7BEA"/>
    <w:rsid w:val="003F7D44"/>
    <w:rsid w:val="003F7DEF"/>
    <w:rsid w:val="004008D9"/>
    <w:rsid w:val="00400BD5"/>
    <w:rsid w:val="00400D6B"/>
    <w:rsid w:val="00400EC3"/>
    <w:rsid w:val="00401661"/>
    <w:rsid w:val="00401827"/>
    <w:rsid w:val="0040193F"/>
    <w:rsid w:val="004019AA"/>
    <w:rsid w:val="00401AB5"/>
    <w:rsid w:val="00401E42"/>
    <w:rsid w:val="00402155"/>
    <w:rsid w:val="0040222A"/>
    <w:rsid w:val="00402259"/>
    <w:rsid w:val="0040261E"/>
    <w:rsid w:val="004026B4"/>
    <w:rsid w:val="0040324A"/>
    <w:rsid w:val="0040326B"/>
    <w:rsid w:val="004036B5"/>
    <w:rsid w:val="00403D42"/>
    <w:rsid w:val="00404590"/>
    <w:rsid w:val="00404B36"/>
    <w:rsid w:val="00404B4C"/>
    <w:rsid w:val="00404BC7"/>
    <w:rsid w:val="00404E36"/>
    <w:rsid w:val="0040600F"/>
    <w:rsid w:val="00406048"/>
    <w:rsid w:val="00406482"/>
    <w:rsid w:val="0040672D"/>
    <w:rsid w:val="0040690D"/>
    <w:rsid w:val="00406B94"/>
    <w:rsid w:val="00406C8C"/>
    <w:rsid w:val="00406E10"/>
    <w:rsid w:val="00406ED8"/>
    <w:rsid w:val="00406F45"/>
    <w:rsid w:val="00407121"/>
    <w:rsid w:val="00407652"/>
    <w:rsid w:val="004077C9"/>
    <w:rsid w:val="00407843"/>
    <w:rsid w:val="00407A30"/>
    <w:rsid w:val="00407C51"/>
    <w:rsid w:val="00407CE3"/>
    <w:rsid w:val="00407F4A"/>
    <w:rsid w:val="00410751"/>
    <w:rsid w:val="00410C7B"/>
    <w:rsid w:val="00411762"/>
    <w:rsid w:val="0041205B"/>
    <w:rsid w:val="004121D7"/>
    <w:rsid w:val="004127AB"/>
    <w:rsid w:val="00412B87"/>
    <w:rsid w:val="00412BB8"/>
    <w:rsid w:val="004134DD"/>
    <w:rsid w:val="0041377C"/>
    <w:rsid w:val="0041389C"/>
    <w:rsid w:val="004141B4"/>
    <w:rsid w:val="0041436D"/>
    <w:rsid w:val="00414A3A"/>
    <w:rsid w:val="00414BDB"/>
    <w:rsid w:val="004152A0"/>
    <w:rsid w:val="00415394"/>
    <w:rsid w:val="00415406"/>
    <w:rsid w:val="004156B9"/>
    <w:rsid w:val="0041619A"/>
    <w:rsid w:val="004162E6"/>
    <w:rsid w:val="00416ABF"/>
    <w:rsid w:val="00416D34"/>
    <w:rsid w:val="00416DF6"/>
    <w:rsid w:val="00417574"/>
    <w:rsid w:val="00417610"/>
    <w:rsid w:val="0041770D"/>
    <w:rsid w:val="00417D37"/>
    <w:rsid w:val="00417EC9"/>
    <w:rsid w:val="0042017F"/>
    <w:rsid w:val="0042025E"/>
    <w:rsid w:val="004205E5"/>
    <w:rsid w:val="00420B8D"/>
    <w:rsid w:val="00421214"/>
    <w:rsid w:val="00421569"/>
    <w:rsid w:val="004217F9"/>
    <w:rsid w:val="004220F3"/>
    <w:rsid w:val="00422257"/>
    <w:rsid w:val="004225E6"/>
    <w:rsid w:val="00422936"/>
    <w:rsid w:val="00422F3D"/>
    <w:rsid w:val="004230C7"/>
    <w:rsid w:val="004231C5"/>
    <w:rsid w:val="00423268"/>
    <w:rsid w:val="004232F1"/>
    <w:rsid w:val="00423774"/>
    <w:rsid w:val="0042398E"/>
    <w:rsid w:val="004241AB"/>
    <w:rsid w:val="004249B5"/>
    <w:rsid w:val="004250B2"/>
    <w:rsid w:val="00425487"/>
    <w:rsid w:val="00425607"/>
    <w:rsid w:val="00425A70"/>
    <w:rsid w:val="00425BC1"/>
    <w:rsid w:val="00425FAA"/>
    <w:rsid w:val="00426148"/>
    <w:rsid w:val="004266EA"/>
    <w:rsid w:val="00426773"/>
    <w:rsid w:val="004267B8"/>
    <w:rsid w:val="00426C29"/>
    <w:rsid w:val="004272C4"/>
    <w:rsid w:val="0042755D"/>
    <w:rsid w:val="004276D5"/>
    <w:rsid w:val="0042794D"/>
    <w:rsid w:val="0042798C"/>
    <w:rsid w:val="00427CAF"/>
    <w:rsid w:val="00427D23"/>
    <w:rsid w:val="00430816"/>
    <w:rsid w:val="00430817"/>
    <w:rsid w:val="00430EFD"/>
    <w:rsid w:val="0043103B"/>
    <w:rsid w:val="00431043"/>
    <w:rsid w:val="00431185"/>
    <w:rsid w:val="00431419"/>
    <w:rsid w:val="004315DA"/>
    <w:rsid w:val="0043198A"/>
    <w:rsid w:val="0043252B"/>
    <w:rsid w:val="004328E0"/>
    <w:rsid w:val="00432CFA"/>
    <w:rsid w:val="00432FE0"/>
    <w:rsid w:val="00432FEE"/>
    <w:rsid w:val="0043385D"/>
    <w:rsid w:val="004339EE"/>
    <w:rsid w:val="00433B1D"/>
    <w:rsid w:val="00433DF7"/>
    <w:rsid w:val="00433F1C"/>
    <w:rsid w:val="004340E5"/>
    <w:rsid w:val="00434364"/>
    <w:rsid w:val="0043472A"/>
    <w:rsid w:val="00434BCE"/>
    <w:rsid w:val="00434D72"/>
    <w:rsid w:val="00434EA9"/>
    <w:rsid w:val="0043518D"/>
    <w:rsid w:val="004355DD"/>
    <w:rsid w:val="00435846"/>
    <w:rsid w:val="00435B81"/>
    <w:rsid w:val="00435E46"/>
    <w:rsid w:val="00435E81"/>
    <w:rsid w:val="004362B5"/>
    <w:rsid w:val="0043640B"/>
    <w:rsid w:val="00436647"/>
    <w:rsid w:val="00436BA0"/>
    <w:rsid w:val="00436C4C"/>
    <w:rsid w:val="00436EB7"/>
    <w:rsid w:val="004375EB"/>
    <w:rsid w:val="004379B5"/>
    <w:rsid w:val="00437DC8"/>
    <w:rsid w:val="00437F81"/>
    <w:rsid w:val="004401D6"/>
    <w:rsid w:val="00440404"/>
    <w:rsid w:val="0044078B"/>
    <w:rsid w:val="004408EE"/>
    <w:rsid w:val="004409F8"/>
    <w:rsid w:val="00440BC4"/>
    <w:rsid w:val="00440F30"/>
    <w:rsid w:val="004418D5"/>
    <w:rsid w:val="00441D81"/>
    <w:rsid w:val="00441EFA"/>
    <w:rsid w:val="0044244C"/>
    <w:rsid w:val="00442751"/>
    <w:rsid w:val="00442845"/>
    <w:rsid w:val="004428D5"/>
    <w:rsid w:val="004428D9"/>
    <w:rsid w:val="00443131"/>
    <w:rsid w:val="0044343A"/>
    <w:rsid w:val="0044381C"/>
    <w:rsid w:val="004441FF"/>
    <w:rsid w:val="00444965"/>
    <w:rsid w:val="00444A0A"/>
    <w:rsid w:val="00444B49"/>
    <w:rsid w:val="00444C81"/>
    <w:rsid w:val="00444E4B"/>
    <w:rsid w:val="00444E51"/>
    <w:rsid w:val="0044510C"/>
    <w:rsid w:val="0044535C"/>
    <w:rsid w:val="004454EB"/>
    <w:rsid w:val="0044552F"/>
    <w:rsid w:val="00445592"/>
    <w:rsid w:val="00445B04"/>
    <w:rsid w:val="00445B1B"/>
    <w:rsid w:val="00446318"/>
    <w:rsid w:val="00446323"/>
    <w:rsid w:val="004463FA"/>
    <w:rsid w:val="004466DE"/>
    <w:rsid w:val="00446AA3"/>
    <w:rsid w:val="00446BDF"/>
    <w:rsid w:val="004500B7"/>
    <w:rsid w:val="004501D0"/>
    <w:rsid w:val="00450595"/>
    <w:rsid w:val="00450A94"/>
    <w:rsid w:val="00450C21"/>
    <w:rsid w:val="00450FE7"/>
    <w:rsid w:val="00450FFC"/>
    <w:rsid w:val="00451156"/>
    <w:rsid w:val="004518B5"/>
    <w:rsid w:val="00451ABF"/>
    <w:rsid w:val="00451AFB"/>
    <w:rsid w:val="00452059"/>
    <w:rsid w:val="0045261E"/>
    <w:rsid w:val="004528DC"/>
    <w:rsid w:val="004529B2"/>
    <w:rsid w:val="004530E9"/>
    <w:rsid w:val="004534C3"/>
    <w:rsid w:val="00453814"/>
    <w:rsid w:val="0045398B"/>
    <w:rsid w:val="0045425E"/>
    <w:rsid w:val="00454971"/>
    <w:rsid w:val="004549B1"/>
    <w:rsid w:val="00454B08"/>
    <w:rsid w:val="00455A05"/>
    <w:rsid w:val="00455B11"/>
    <w:rsid w:val="00455C6A"/>
    <w:rsid w:val="00455FA2"/>
    <w:rsid w:val="0045620B"/>
    <w:rsid w:val="00456940"/>
    <w:rsid w:val="004569BD"/>
    <w:rsid w:val="00456BF1"/>
    <w:rsid w:val="00456FA6"/>
    <w:rsid w:val="004570B1"/>
    <w:rsid w:val="004576F1"/>
    <w:rsid w:val="00457FFB"/>
    <w:rsid w:val="004602BC"/>
    <w:rsid w:val="0046052A"/>
    <w:rsid w:val="00460700"/>
    <w:rsid w:val="00460789"/>
    <w:rsid w:val="004607B6"/>
    <w:rsid w:val="00460DD3"/>
    <w:rsid w:val="00460EDA"/>
    <w:rsid w:val="00461053"/>
    <w:rsid w:val="00461236"/>
    <w:rsid w:val="004615BB"/>
    <w:rsid w:val="00461BD4"/>
    <w:rsid w:val="00461C3B"/>
    <w:rsid w:val="00461E73"/>
    <w:rsid w:val="00461F5B"/>
    <w:rsid w:val="00462660"/>
    <w:rsid w:val="00462755"/>
    <w:rsid w:val="00462B2C"/>
    <w:rsid w:val="00462E0E"/>
    <w:rsid w:val="00462FFC"/>
    <w:rsid w:val="004630D7"/>
    <w:rsid w:val="004630E7"/>
    <w:rsid w:val="0046321B"/>
    <w:rsid w:val="004632AE"/>
    <w:rsid w:val="004636C9"/>
    <w:rsid w:val="00463846"/>
    <w:rsid w:val="00463EDD"/>
    <w:rsid w:val="004640F7"/>
    <w:rsid w:val="0046422D"/>
    <w:rsid w:val="00464865"/>
    <w:rsid w:val="0046492D"/>
    <w:rsid w:val="00464DB7"/>
    <w:rsid w:val="00464E74"/>
    <w:rsid w:val="00465DF2"/>
    <w:rsid w:val="00465F3F"/>
    <w:rsid w:val="00466356"/>
    <w:rsid w:val="0046651D"/>
    <w:rsid w:val="004666A3"/>
    <w:rsid w:val="004667C6"/>
    <w:rsid w:val="004668D4"/>
    <w:rsid w:val="00466E3C"/>
    <w:rsid w:val="004670B0"/>
    <w:rsid w:val="00467A83"/>
    <w:rsid w:val="00467B12"/>
    <w:rsid w:val="00467EDA"/>
    <w:rsid w:val="00467F0B"/>
    <w:rsid w:val="00470058"/>
    <w:rsid w:val="00471341"/>
    <w:rsid w:val="00471369"/>
    <w:rsid w:val="00471868"/>
    <w:rsid w:val="00471919"/>
    <w:rsid w:val="00472698"/>
    <w:rsid w:val="004726BF"/>
    <w:rsid w:val="00472787"/>
    <w:rsid w:val="004728A2"/>
    <w:rsid w:val="00472BC2"/>
    <w:rsid w:val="00472D0A"/>
    <w:rsid w:val="00472E36"/>
    <w:rsid w:val="00472F77"/>
    <w:rsid w:val="0047317B"/>
    <w:rsid w:val="004733C2"/>
    <w:rsid w:val="0047340F"/>
    <w:rsid w:val="004738F3"/>
    <w:rsid w:val="00473DF1"/>
    <w:rsid w:val="0047465E"/>
    <w:rsid w:val="00474B25"/>
    <w:rsid w:val="00474CBA"/>
    <w:rsid w:val="00474DF8"/>
    <w:rsid w:val="00475004"/>
    <w:rsid w:val="0047501B"/>
    <w:rsid w:val="004751D1"/>
    <w:rsid w:val="0047563B"/>
    <w:rsid w:val="0047589E"/>
    <w:rsid w:val="004758B2"/>
    <w:rsid w:val="004759C3"/>
    <w:rsid w:val="00476325"/>
    <w:rsid w:val="00476412"/>
    <w:rsid w:val="00476496"/>
    <w:rsid w:val="004764C5"/>
    <w:rsid w:val="00476612"/>
    <w:rsid w:val="00476677"/>
    <w:rsid w:val="0047676A"/>
    <w:rsid w:val="00476893"/>
    <w:rsid w:val="0047710D"/>
    <w:rsid w:val="00477116"/>
    <w:rsid w:val="0047733C"/>
    <w:rsid w:val="004774CD"/>
    <w:rsid w:val="00477AB5"/>
    <w:rsid w:val="004801DF"/>
    <w:rsid w:val="00480739"/>
    <w:rsid w:val="00481018"/>
    <w:rsid w:val="00481209"/>
    <w:rsid w:val="004812C9"/>
    <w:rsid w:val="0048174B"/>
    <w:rsid w:val="00481B00"/>
    <w:rsid w:val="00481BDC"/>
    <w:rsid w:val="00481D61"/>
    <w:rsid w:val="00481DFD"/>
    <w:rsid w:val="004825E2"/>
    <w:rsid w:val="00482CC0"/>
    <w:rsid w:val="00482D4A"/>
    <w:rsid w:val="00483B6E"/>
    <w:rsid w:val="004841EB"/>
    <w:rsid w:val="0048423D"/>
    <w:rsid w:val="0048450F"/>
    <w:rsid w:val="0048453A"/>
    <w:rsid w:val="0048473E"/>
    <w:rsid w:val="004848CA"/>
    <w:rsid w:val="004848DE"/>
    <w:rsid w:val="00484CB8"/>
    <w:rsid w:val="00484D05"/>
    <w:rsid w:val="00485094"/>
    <w:rsid w:val="004850A0"/>
    <w:rsid w:val="00485111"/>
    <w:rsid w:val="004851EE"/>
    <w:rsid w:val="00485227"/>
    <w:rsid w:val="00485501"/>
    <w:rsid w:val="00485625"/>
    <w:rsid w:val="00485C78"/>
    <w:rsid w:val="00485E8E"/>
    <w:rsid w:val="004860A6"/>
    <w:rsid w:val="00486272"/>
    <w:rsid w:val="00486755"/>
    <w:rsid w:val="004867B4"/>
    <w:rsid w:val="00486907"/>
    <w:rsid w:val="00487160"/>
    <w:rsid w:val="00487565"/>
    <w:rsid w:val="00487609"/>
    <w:rsid w:val="00487BC1"/>
    <w:rsid w:val="00487DDC"/>
    <w:rsid w:val="00487EA2"/>
    <w:rsid w:val="00487FE9"/>
    <w:rsid w:val="004904F3"/>
    <w:rsid w:val="00490552"/>
    <w:rsid w:val="00490A0D"/>
    <w:rsid w:val="00490E24"/>
    <w:rsid w:val="004910A8"/>
    <w:rsid w:val="00491288"/>
    <w:rsid w:val="004912D2"/>
    <w:rsid w:val="0049163E"/>
    <w:rsid w:val="00491C67"/>
    <w:rsid w:val="00492172"/>
    <w:rsid w:val="004921CF"/>
    <w:rsid w:val="004921F8"/>
    <w:rsid w:val="00492575"/>
    <w:rsid w:val="00492696"/>
    <w:rsid w:val="004929C9"/>
    <w:rsid w:val="004929E4"/>
    <w:rsid w:val="00492D1D"/>
    <w:rsid w:val="00492FB4"/>
    <w:rsid w:val="0049394E"/>
    <w:rsid w:val="00493A92"/>
    <w:rsid w:val="00493C66"/>
    <w:rsid w:val="00493C6F"/>
    <w:rsid w:val="00493D7D"/>
    <w:rsid w:val="00493E0B"/>
    <w:rsid w:val="004949F4"/>
    <w:rsid w:val="00494AA0"/>
    <w:rsid w:val="00494D55"/>
    <w:rsid w:val="004950B1"/>
    <w:rsid w:val="00495105"/>
    <w:rsid w:val="004951EA"/>
    <w:rsid w:val="0049539D"/>
    <w:rsid w:val="00495509"/>
    <w:rsid w:val="00495AB8"/>
    <w:rsid w:val="00495C05"/>
    <w:rsid w:val="00495D14"/>
    <w:rsid w:val="00495EF7"/>
    <w:rsid w:val="0049606E"/>
    <w:rsid w:val="0049686E"/>
    <w:rsid w:val="00496982"/>
    <w:rsid w:val="00496E4B"/>
    <w:rsid w:val="00497143"/>
    <w:rsid w:val="004972E1"/>
    <w:rsid w:val="00497536"/>
    <w:rsid w:val="0049771E"/>
    <w:rsid w:val="0049798A"/>
    <w:rsid w:val="00497A0B"/>
    <w:rsid w:val="00497E55"/>
    <w:rsid w:val="004A00A4"/>
    <w:rsid w:val="004A048A"/>
    <w:rsid w:val="004A0866"/>
    <w:rsid w:val="004A0BE9"/>
    <w:rsid w:val="004A0CE4"/>
    <w:rsid w:val="004A1510"/>
    <w:rsid w:val="004A1598"/>
    <w:rsid w:val="004A1CD6"/>
    <w:rsid w:val="004A2049"/>
    <w:rsid w:val="004A205D"/>
    <w:rsid w:val="004A223A"/>
    <w:rsid w:val="004A25A9"/>
    <w:rsid w:val="004A288D"/>
    <w:rsid w:val="004A297B"/>
    <w:rsid w:val="004A2A1D"/>
    <w:rsid w:val="004A2A73"/>
    <w:rsid w:val="004A2EAA"/>
    <w:rsid w:val="004A3090"/>
    <w:rsid w:val="004A3973"/>
    <w:rsid w:val="004A3C83"/>
    <w:rsid w:val="004A3DA7"/>
    <w:rsid w:val="004A3E16"/>
    <w:rsid w:val="004A4924"/>
    <w:rsid w:val="004A4EE9"/>
    <w:rsid w:val="004A5317"/>
    <w:rsid w:val="004A55F5"/>
    <w:rsid w:val="004A59AB"/>
    <w:rsid w:val="004A5D6A"/>
    <w:rsid w:val="004A6126"/>
    <w:rsid w:val="004A62EA"/>
    <w:rsid w:val="004A664A"/>
    <w:rsid w:val="004A6798"/>
    <w:rsid w:val="004A6D5C"/>
    <w:rsid w:val="004A6EED"/>
    <w:rsid w:val="004A789F"/>
    <w:rsid w:val="004A7BD9"/>
    <w:rsid w:val="004B02EF"/>
    <w:rsid w:val="004B06DE"/>
    <w:rsid w:val="004B07DD"/>
    <w:rsid w:val="004B1468"/>
    <w:rsid w:val="004B14F0"/>
    <w:rsid w:val="004B235E"/>
    <w:rsid w:val="004B259C"/>
    <w:rsid w:val="004B2893"/>
    <w:rsid w:val="004B2DE0"/>
    <w:rsid w:val="004B3037"/>
    <w:rsid w:val="004B33DA"/>
    <w:rsid w:val="004B3546"/>
    <w:rsid w:val="004B3566"/>
    <w:rsid w:val="004B3A89"/>
    <w:rsid w:val="004B3B0D"/>
    <w:rsid w:val="004B3BD4"/>
    <w:rsid w:val="004B3C66"/>
    <w:rsid w:val="004B4019"/>
    <w:rsid w:val="004B4020"/>
    <w:rsid w:val="004B4355"/>
    <w:rsid w:val="004B45C1"/>
    <w:rsid w:val="004B4F2E"/>
    <w:rsid w:val="004B508B"/>
    <w:rsid w:val="004B51D7"/>
    <w:rsid w:val="004B5639"/>
    <w:rsid w:val="004B59A7"/>
    <w:rsid w:val="004B5D46"/>
    <w:rsid w:val="004B5D91"/>
    <w:rsid w:val="004B6068"/>
    <w:rsid w:val="004B62CF"/>
    <w:rsid w:val="004B639B"/>
    <w:rsid w:val="004B63C4"/>
    <w:rsid w:val="004B677B"/>
    <w:rsid w:val="004B7528"/>
    <w:rsid w:val="004B75FA"/>
    <w:rsid w:val="004B7627"/>
    <w:rsid w:val="004B7777"/>
    <w:rsid w:val="004B7C6A"/>
    <w:rsid w:val="004B7CBE"/>
    <w:rsid w:val="004C0197"/>
    <w:rsid w:val="004C01EB"/>
    <w:rsid w:val="004C057D"/>
    <w:rsid w:val="004C06CF"/>
    <w:rsid w:val="004C077C"/>
    <w:rsid w:val="004C0823"/>
    <w:rsid w:val="004C0AE7"/>
    <w:rsid w:val="004C0D93"/>
    <w:rsid w:val="004C1691"/>
    <w:rsid w:val="004C1D17"/>
    <w:rsid w:val="004C1EC7"/>
    <w:rsid w:val="004C203D"/>
    <w:rsid w:val="004C21ED"/>
    <w:rsid w:val="004C2BCC"/>
    <w:rsid w:val="004C3298"/>
    <w:rsid w:val="004C36D7"/>
    <w:rsid w:val="004C3B05"/>
    <w:rsid w:val="004C3BAF"/>
    <w:rsid w:val="004C3FC2"/>
    <w:rsid w:val="004C44D4"/>
    <w:rsid w:val="004C4894"/>
    <w:rsid w:val="004C49A9"/>
    <w:rsid w:val="004C4DE3"/>
    <w:rsid w:val="004C515E"/>
    <w:rsid w:val="004C56A4"/>
    <w:rsid w:val="004C5712"/>
    <w:rsid w:val="004C574A"/>
    <w:rsid w:val="004C5D77"/>
    <w:rsid w:val="004C614B"/>
    <w:rsid w:val="004C63E6"/>
    <w:rsid w:val="004C667E"/>
    <w:rsid w:val="004C66CF"/>
    <w:rsid w:val="004C6B01"/>
    <w:rsid w:val="004C6B65"/>
    <w:rsid w:val="004C75EE"/>
    <w:rsid w:val="004C787C"/>
    <w:rsid w:val="004C7C13"/>
    <w:rsid w:val="004C7EE2"/>
    <w:rsid w:val="004D0008"/>
    <w:rsid w:val="004D02B8"/>
    <w:rsid w:val="004D04F6"/>
    <w:rsid w:val="004D07D0"/>
    <w:rsid w:val="004D0F49"/>
    <w:rsid w:val="004D1011"/>
    <w:rsid w:val="004D126F"/>
    <w:rsid w:val="004D1539"/>
    <w:rsid w:val="004D1679"/>
    <w:rsid w:val="004D182E"/>
    <w:rsid w:val="004D1C3A"/>
    <w:rsid w:val="004D1EDC"/>
    <w:rsid w:val="004D201C"/>
    <w:rsid w:val="004D2261"/>
    <w:rsid w:val="004D239C"/>
    <w:rsid w:val="004D2DEF"/>
    <w:rsid w:val="004D3224"/>
    <w:rsid w:val="004D370A"/>
    <w:rsid w:val="004D38B7"/>
    <w:rsid w:val="004D38FA"/>
    <w:rsid w:val="004D3AB9"/>
    <w:rsid w:val="004D4192"/>
    <w:rsid w:val="004D439C"/>
    <w:rsid w:val="004D4536"/>
    <w:rsid w:val="004D504E"/>
    <w:rsid w:val="004D50A9"/>
    <w:rsid w:val="004D548B"/>
    <w:rsid w:val="004D5C6E"/>
    <w:rsid w:val="004D5FCA"/>
    <w:rsid w:val="004D611D"/>
    <w:rsid w:val="004D65AD"/>
    <w:rsid w:val="004D6B25"/>
    <w:rsid w:val="004D6EAB"/>
    <w:rsid w:val="004D7092"/>
    <w:rsid w:val="004D7285"/>
    <w:rsid w:val="004D7980"/>
    <w:rsid w:val="004D7C48"/>
    <w:rsid w:val="004E07F4"/>
    <w:rsid w:val="004E0844"/>
    <w:rsid w:val="004E0DE8"/>
    <w:rsid w:val="004E124C"/>
    <w:rsid w:val="004E12A5"/>
    <w:rsid w:val="004E1B53"/>
    <w:rsid w:val="004E2028"/>
    <w:rsid w:val="004E23F7"/>
    <w:rsid w:val="004E26FC"/>
    <w:rsid w:val="004E277B"/>
    <w:rsid w:val="004E28E9"/>
    <w:rsid w:val="004E2A46"/>
    <w:rsid w:val="004E2ACA"/>
    <w:rsid w:val="004E2BB6"/>
    <w:rsid w:val="004E2C24"/>
    <w:rsid w:val="004E2DBC"/>
    <w:rsid w:val="004E3148"/>
    <w:rsid w:val="004E3320"/>
    <w:rsid w:val="004E34C1"/>
    <w:rsid w:val="004E34CD"/>
    <w:rsid w:val="004E38FE"/>
    <w:rsid w:val="004E42DD"/>
    <w:rsid w:val="004E43FA"/>
    <w:rsid w:val="004E4AAD"/>
    <w:rsid w:val="004E4D73"/>
    <w:rsid w:val="004E4F85"/>
    <w:rsid w:val="004E50CF"/>
    <w:rsid w:val="004E5ED9"/>
    <w:rsid w:val="004E600B"/>
    <w:rsid w:val="004E71A0"/>
    <w:rsid w:val="004E7FF3"/>
    <w:rsid w:val="004F003C"/>
    <w:rsid w:val="004F026A"/>
    <w:rsid w:val="004F03F5"/>
    <w:rsid w:val="004F0417"/>
    <w:rsid w:val="004F0562"/>
    <w:rsid w:val="004F0D64"/>
    <w:rsid w:val="004F0F52"/>
    <w:rsid w:val="004F15D2"/>
    <w:rsid w:val="004F1CDB"/>
    <w:rsid w:val="004F1E0C"/>
    <w:rsid w:val="004F2234"/>
    <w:rsid w:val="004F22FB"/>
    <w:rsid w:val="004F310E"/>
    <w:rsid w:val="004F32B4"/>
    <w:rsid w:val="004F389C"/>
    <w:rsid w:val="004F38A5"/>
    <w:rsid w:val="004F38C0"/>
    <w:rsid w:val="004F493E"/>
    <w:rsid w:val="004F4B41"/>
    <w:rsid w:val="004F4CB4"/>
    <w:rsid w:val="004F4FC2"/>
    <w:rsid w:val="004F5192"/>
    <w:rsid w:val="004F52A6"/>
    <w:rsid w:val="004F5645"/>
    <w:rsid w:val="004F57BA"/>
    <w:rsid w:val="004F5D6D"/>
    <w:rsid w:val="004F5F6A"/>
    <w:rsid w:val="004F5F99"/>
    <w:rsid w:val="004F6170"/>
    <w:rsid w:val="004F6376"/>
    <w:rsid w:val="004F66E3"/>
    <w:rsid w:val="004F6CAA"/>
    <w:rsid w:val="004F6E5F"/>
    <w:rsid w:val="004F6EA0"/>
    <w:rsid w:val="004F72E1"/>
    <w:rsid w:val="004F738C"/>
    <w:rsid w:val="004F7669"/>
    <w:rsid w:val="004F7EB1"/>
    <w:rsid w:val="004F7FF1"/>
    <w:rsid w:val="0050002C"/>
    <w:rsid w:val="00500038"/>
    <w:rsid w:val="00500AEC"/>
    <w:rsid w:val="00500C97"/>
    <w:rsid w:val="00500CC4"/>
    <w:rsid w:val="00500F41"/>
    <w:rsid w:val="00501100"/>
    <w:rsid w:val="0050132D"/>
    <w:rsid w:val="005014A6"/>
    <w:rsid w:val="005016EF"/>
    <w:rsid w:val="005019DD"/>
    <w:rsid w:val="00501E4C"/>
    <w:rsid w:val="00502A8A"/>
    <w:rsid w:val="00502E93"/>
    <w:rsid w:val="0050306C"/>
    <w:rsid w:val="005036BC"/>
    <w:rsid w:val="00503736"/>
    <w:rsid w:val="005039FD"/>
    <w:rsid w:val="00503B4C"/>
    <w:rsid w:val="00504628"/>
    <w:rsid w:val="005047A9"/>
    <w:rsid w:val="00505284"/>
    <w:rsid w:val="00505CBE"/>
    <w:rsid w:val="00505E2C"/>
    <w:rsid w:val="00506220"/>
    <w:rsid w:val="00506411"/>
    <w:rsid w:val="00506A15"/>
    <w:rsid w:val="005070E5"/>
    <w:rsid w:val="005072BA"/>
    <w:rsid w:val="005074DB"/>
    <w:rsid w:val="0050790B"/>
    <w:rsid w:val="00507987"/>
    <w:rsid w:val="00507F76"/>
    <w:rsid w:val="005103AA"/>
    <w:rsid w:val="005103CD"/>
    <w:rsid w:val="00510D23"/>
    <w:rsid w:val="00510D85"/>
    <w:rsid w:val="00511038"/>
    <w:rsid w:val="00512014"/>
    <w:rsid w:val="005121E3"/>
    <w:rsid w:val="0051260E"/>
    <w:rsid w:val="00512AE0"/>
    <w:rsid w:val="00512D69"/>
    <w:rsid w:val="00512E47"/>
    <w:rsid w:val="00512E6D"/>
    <w:rsid w:val="00513268"/>
    <w:rsid w:val="005135AA"/>
    <w:rsid w:val="005139D9"/>
    <w:rsid w:val="00513AB0"/>
    <w:rsid w:val="00513C29"/>
    <w:rsid w:val="00514021"/>
    <w:rsid w:val="0051438F"/>
    <w:rsid w:val="00514909"/>
    <w:rsid w:val="00514E26"/>
    <w:rsid w:val="00515478"/>
    <w:rsid w:val="005155EF"/>
    <w:rsid w:val="00515722"/>
    <w:rsid w:val="00515CE5"/>
    <w:rsid w:val="00515D3B"/>
    <w:rsid w:val="0051666F"/>
    <w:rsid w:val="00516814"/>
    <w:rsid w:val="00516CB5"/>
    <w:rsid w:val="00517290"/>
    <w:rsid w:val="00517541"/>
    <w:rsid w:val="005176D2"/>
    <w:rsid w:val="00517943"/>
    <w:rsid w:val="00517E01"/>
    <w:rsid w:val="00517E62"/>
    <w:rsid w:val="00517F62"/>
    <w:rsid w:val="00517F8E"/>
    <w:rsid w:val="0052015B"/>
    <w:rsid w:val="00520296"/>
    <w:rsid w:val="005204C8"/>
    <w:rsid w:val="005205D0"/>
    <w:rsid w:val="00520C96"/>
    <w:rsid w:val="00521B75"/>
    <w:rsid w:val="00521F52"/>
    <w:rsid w:val="00521F67"/>
    <w:rsid w:val="005221D3"/>
    <w:rsid w:val="0052293A"/>
    <w:rsid w:val="00522A1A"/>
    <w:rsid w:val="00522D95"/>
    <w:rsid w:val="00523717"/>
    <w:rsid w:val="00523A72"/>
    <w:rsid w:val="00523B08"/>
    <w:rsid w:val="00523C24"/>
    <w:rsid w:val="00523CB3"/>
    <w:rsid w:val="00523FF3"/>
    <w:rsid w:val="0052404E"/>
    <w:rsid w:val="00524370"/>
    <w:rsid w:val="00524457"/>
    <w:rsid w:val="00524732"/>
    <w:rsid w:val="00524B96"/>
    <w:rsid w:val="00524BDE"/>
    <w:rsid w:val="00524EDE"/>
    <w:rsid w:val="00524F64"/>
    <w:rsid w:val="00525077"/>
    <w:rsid w:val="0052516F"/>
    <w:rsid w:val="005251AA"/>
    <w:rsid w:val="00525643"/>
    <w:rsid w:val="00525838"/>
    <w:rsid w:val="00525A95"/>
    <w:rsid w:val="00525B21"/>
    <w:rsid w:val="00525C02"/>
    <w:rsid w:val="00526289"/>
    <w:rsid w:val="00526528"/>
    <w:rsid w:val="005270B6"/>
    <w:rsid w:val="0052780C"/>
    <w:rsid w:val="00527A04"/>
    <w:rsid w:val="00527A63"/>
    <w:rsid w:val="00527E3C"/>
    <w:rsid w:val="0053019C"/>
    <w:rsid w:val="005301BF"/>
    <w:rsid w:val="005309C1"/>
    <w:rsid w:val="00530C17"/>
    <w:rsid w:val="005319BB"/>
    <w:rsid w:val="00531AC4"/>
    <w:rsid w:val="00531CAE"/>
    <w:rsid w:val="00531E38"/>
    <w:rsid w:val="00532617"/>
    <w:rsid w:val="005329ED"/>
    <w:rsid w:val="00532BBC"/>
    <w:rsid w:val="00532D7B"/>
    <w:rsid w:val="00532DE6"/>
    <w:rsid w:val="005332F7"/>
    <w:rsid w:val="0053379A"/>
    <w:rsid w:val="00534453"/>
    <w:rsid w:val="005347BC"/>
    <w:rsid w:val="0053492E"/>
    <w:rsid w:val="00534A18"/>
    <w:rsid w:val="00534BD2"/>
    <w:rsid w:val="00534F7F"/>
    <w:rsid w:val="005352B2"/>
    <w:rsid w:val="005355F3"/>
    <w:rsid w:val="005359C0"/>
    <w:rsid w:val="00536516"/>
    <w:rsid w:val="00536A04"/>
    <w:rsid w:val="00536B31"/>
    <w:rsid w:val="00536CA8"/>
    <w:rsid w:val="00536E25"/>
    <w:rsid w:val="00537A9C"/>
    <w:rsid w:val="00537C35"/>
    <w:rsid w:val="00537F5B"/>
    <w:rsid w:val="00540147"/>
    <w:rsid w:val="00540421"/>
    <w:rsid w:val="00540E6C"/>
    <w:rsid w:val="0054156A"/>
    <w:rsid w:val="00541A97"/>
    <w:rsid w:val="005420B9"/>
    <w:rsid w:val="00542317"/>
    <w:rsid w:val="00542AC6"/>
    <w:rsid w:val="00542F4C"/>
    <w:rsid w:val="005430EE"/>
    <w:rsid w:val="0054358D"/>
    <w:rsid w:val="005435E4"/>
    <w:rsid w:val="005439B7"/>
    <w:rsid w:val="005443A8"/>
    <w:rsid w:val="00544CDC"/>
    <w:rsid w:val="00545400"/>
    <w:rsid w:val="0054565C"/>
    <w:rsid w:val="00545DF9"/>
    <w:rsid w:val="0054631C"/>
    <w:rsid w:val="00546360"/>
    <w:rsid w:val="005464D1"/>
    <w:rsid w:val="00550234"/>
    <w:rsid w:val="00550271"/>
    <w:rsid w:val="005503CE"/>
    <w:rsid w:val="00551185"/>
    <w:rsid w:val="00551330"/>
    <w:rsid w:val="00551365"/>
    <w:rsid w:val="0055138B"/>
    <w:rsid w:val="005516CE"/>
    <w:rsid w:val="005519EC"/>
    <w:rsid w:val="00551E49"/>
    <w:rsid w:val="00551FCE"/>
    <w:rsid w:val="00552051"/>
    <w:rsid w:val="005520BA"/>
    <w:rsid w:val="0055212D"/>
    <w:rsid w:val="0055214E"/>
    <w:rsid w:val="0055245C"/>
    <w:rsid w:val="00552BA5"/>
    <w:rsid w:val="00552CF5"/>
    <w:rsid w:val="00553142"/>
    <w:rsid w:val="005531EB"/>
    <w:rsid w:val="005539F7"/>
    <w:rsid w:val="00554126"/>
    <w:rsid w:val="0055437A"/>
    <w:rsid w:val="0055474E"/>
    <w:rsid w:val="0055498D"/>
    <w:rsid w:val="00554BB5"/>
    <w:rsid w:val="00554E4F"/>
    <w:rsid w:val="00556325"/>
    <w:rsid w:val="005564D3"/>
    <w:rsid w:val="00556538"/>
    <w:rsid w:val="00556F79"/>
    <w:rsid w:val="005570F9"/>
    <w:rsid w:val="00557384"/>
    <w:rsid w:val="005578F3"/>
    <w:rsid w:val="00557A3B"/>
    <w:rsid w:val="00557D0D"/>
    <w:rsid w:val="005601A8"/>
    <w:rsid w:val="005601D7"/>
    <w:rsid w:val="005605FE"/>
    <w:rsid w:val="00560643"/>
    <w:rsid w:val="0056088C"/>
    <w:rsid w:val="00560D00"/>
    <w:rsid w:val="00560E31"/>
    <w:rsid w:val="00560FE0"/>
    <w:rsid w:val="005610BE"/>
    <w:rsid w:val="0056129E"/>
    <w:rsid w:val="0056164D"/>
    <w:rsid w:val="0056200F"/>
    <w:rsid w:val="00562918"/>
    <w:rsid w:val="00562A06"/>
    <w:rsid w:val="005631EF"/>
    <w:rsid w:val="00563AE1"/>
    <w:rsid w:val="00563EB8"/>
    <w:rsid w:val="00564CCD"/>
    <w:rsid w:val="00564CD4"/>
    <w:rsid w:val="00564DB0"/>
    <w:rsid w:val="00565052"/>
    <w:rsid w:val="00565279"/>
    <w:rsid w:val="00565333"/>
    <w:rsid w:val="00565CD3"/>
    <w:rsid w:val="00565D76"/>
    <w:rsid w:val="00565DBE"/>
    <w:rsid w:val="0056612A"/>
    <w:rsid w:val="0056622D"/>
    <w:rsid w:val="00566551"/>
    <w:rsid w:val="0056669B"/>
    <w:rsid w:val="0056693B"/>
    <w:rsid w:val="005669A9"/>
    <w:rsid w:val="005669B6"/>
    <w:rsid w:val="00567370"/>
    <w:rsid w:val="00567C61"/>
    <w:rsid w:val="00567FCA"/>
    <w:rsid w:val="00570745"/>
    <w:rsid w:val="0057076E"/>
    <w:rsid w:val="00570BFF"/>
    <w:rsid w:val="00570CC8"/>
    <w:rsid w:val="00570D55"/>
    <w:rsid w:val="00570FF1"/>
    <w:rsid w:val="0057100E"/>
    <w:rsid w:val="005714DB"/>
    <w:rsid w:val="0057152A"/>
    <w:rsid w:val="005718D0"/>
    <w:rsid w:val="00571BAD"/>
    <w:rsid w:val="005723AE"/>
    <w:rsid w:val="00572731"/>
    <w:rsid w:val="00572973"/>
    <w:rsid w:val="00572EF9"/>
    <w:rsid w:val="00572F66"/>
    <w:rsid w:val="0057310E"/>
    <w:rsid w:val="00573270"/>
    <w:rsid w:val="00573D3F"/>
    <w:rsid w:val="00573DBD"/>
    <w:rsid w:val="00574157"/>
    <w:rsid w:val="005746C0"/>
    <w:rsid w:val="00574819"/>
    <w:rsid w:val="00574C5C"/>
    <w:rsid w:val="005757AB"/>
    <w:rsid w:val="00575965"/>
    <w:rsid w:val="00575DA5"/>
    <w:rsid w:val="005761DA"/>
    <w:rsid w:val="005764CF"/>
    <w:rsid w:val="00576604"/>
    <w:rsid w:val="005766B8"/>
    <w:rsid w:val="00576782"/>
    <w:rsid w:val="005771F2"/>
    <w:rsid w:val="0057795E"/>
    <w:rsid w:val="00580ABA"/>
    <w:rsid w:val="00580DC7"/>
    <w:rsid w:val="00581C9A"/>
    <w:rsid w:val="005823D0"/>
    <w:rsid w:val="00582414"/>
    <w:rsid w:val="005828BD"/>
    <w:rsid w:val="005830CE"/>
    <w:rsid w:val="0058323F"/>
    <w:rsid w:val="0058334A"/>
    <w:rsid w:val="00583927"/>
    <w:rsid w:val="005839DF"/>
    <w:rsid w:val="00583B8D"/>
    <w:rsid w:val="00584F78"/>
    <w:rsid w:val="00585330"/>
    <w:rsid w:val="0058567D"/>
    <w:rsid w:val="00585F2C"/>
    <w:rsid w:val="0058625E"/>
    <w:rsid w:val="005864D6"/>
    <w:rsid w:val="00586A9E"/>
    <w:rsid w:val="00586E26"/>
    <w:rsid w:val="00587234"/>
    <w:rsid w:val="00587247"/>
    <w:rsid w:val="00587930"/>
    <w:rsid w:val="00587B9F"/>
    <w:rsid w:val="00587C23"/>
    <w:rsid w:val="005902DC"/>
    <w:rsid w:val="005905E4"/>
    <w:rsid w:val="0059073C"/>
    <w:rsid w:val="005908B4"/>
    <w:rsid w:val="00590918"/>
    <w:rsid w:val="00590950"/>
    <w:rsid w:val="00590A0F"/>
    <w:rsid w:val="00590B52"/>
    <w:rsid w:val="00591235"/>
    <w:rsid w:val="0059142A"/>
    <w:rsid w:val="005914F9"/>
    <w:rsid w:val="0059237F"/>
    <w:rsid w:val="005925C2"/>
    <w:rsid w:val="0059276D"/>
    <w:rsid w:val="005927AA"/>
    <w:rsid w:val="00592BE6"/>
    <w:rsid w:val="00592C7C"/>
    <w:rsid w:val="00592D8C"/>
    <w:rsid w:val="005934B4"/>
    <w:rsid w:val="0059351A"/>
    <w:rsid w:val="00593829"/>
    <w:rsid w:val="00593886"/>
    <w:rsid w:val="00593D76"/>
    <w:rsid w:val="00594388"/>
    <w:rsid w:val="005948EF"/>
    <w:rsid w:val="005951C6"/>
    <w:rsid w:val="00595215"/>
    <w:rsid w:val="0059527E"/>
    <w:rsid w:val="00595298"/>
    <w:rsid w:val="0059554D"/>
    <w:rsid w:val="005960C9"/>
    <w:rsid w:val="00596580"/>
    <w:rsid w:val="00596993"/>
    <w:rsid w:val="00596ADE"/>
    <w:rsid w:val="00596B18"/>
    <w:rsid w:val="00596B4E"/>
    <w:rsid w:val="00596E05"/>
    <w:rsid w:val="0059702A"/>
    <w:rsid w:val="0059787A"/>
    <w:rsid w:val="005978EE"/>
    <w:rsid w:val="00597C94"/>
    <w:rsid w:val="00597D1E"/>
    <w:rsid w:val="005A032F"/>
    <w:rsid w:val="005A05FB"/>
    <w:rsid w:val="005A07F0"/>
    <w:rsid w:val="005A08C2"/>
    <w:rsid w:val="005A0B15"/>
    <w:rsid w:val="005A0C72"/>
    <w:rsid w:val="005A0DA2"/>
    <w:rsid w:val="005A0EA8"/>
    <w:rsid w:val="005A1720"/>
    <w:rsid w:val="005A1907"/>
    <w:rsid w:val="005A1ADE"/>
    <w:rsid w:val="005A1D98"/>
    <w:rsid w:val="005A1E56"/>
    <w:rsid w:val="005A1F3F"/>
    <w:rsid w:val="005A2496"/>
    <w:rsid w:val="005A2BB6"/>
    <w:rsid w:val="005A2D7F"/>
    <w:rsid w:val="005A33BB"/>
    <w:rsid w:val="005A398B"/>
    <w:rsid w:val="005A3B7E"/>
    <w:rsid w:val="005A44BE"/>
    <w:rsid w:val="005A49C5"/>
    <w:rsid w:val="005A4A5E"/>
    <w:rsid w:val="005A4E92"/>
    <w:rsid w:val="005A524C"/>
    <w:rsid w:val="005A5351"/>
    <w:rsid w:val="005A5461"/>
    <w:rsid w:val="005A55A2"/>
    <w:rsid w:val="005A56C5"/>
    <w:rsid w:val="005A56DF"/>
    <w:rsid w:val="005A58DF"/>
    <w:rsid w:val="005A59A2"/>
    <w:rsid w:val="005A5D93"/>
    <w:rsid w:val="005A5DE2"/>
    <w:rsid w:val="005A6A1F"/>
    <w:rsid w:val="005A72D9"/>
    <w:rsid w:val="005B048E"/>
    <w:rsid w:val="005B058D"/>
    <w:rsid w:val="005B07C7"/>
    <w:rsid w:val="005B0ABD"/>
    <w:rsid w:val="005B12D6"/>
    <w:rsid w:val="005B164E"/>
    <w:rsid w:val="005B1813"/>
    <w:rsid w:val="005B1D56"/>
    <w:rsid w:val="005B22D8"/>
    <w:rsid w:val="005B2A6D"/>
    <w:rsid w:val="005B2F7B"/>
    <w:rsid w:val="005B3130"/>
    <w:rsid w:val="005B3152"/>
    <w:rsid w:val="005B35E7"/>
    <w:rsid w:val="005B3F82"/>
    <w:rsid w:val="005B4107"/>
    <w:rsid w:val="005B41ED"/>
    <w:rsid w:val="005B424A"/>
    <w:rsid w:val="005B4607"/>
    <w:rsid w:val="005B4659"/>
    <w:rsid w:val="005B48C8"/>
    <w:rsid w:val="005B48E3"/>
    <w:rsid w:val="005B4ADD"/>
    <w:rsid w:val="005B4B05"/>
    <w:rsid w:val="005B4B23"/>
    <w:rsid w:val="005B4E44"/>
    <w:rsid w:val="005B4F17"/>
    <w:rsid w:val="005B4F76"/>
    <w:rsid w:val="005B4FA7"/>
    <w:rsid w:val="005B4FC6"/>
    <w:rsid w:val="005B557C"/>
    <w:rsid w:val="005B5D47"/>
    <w:rsid w:val="005B6386"/>
    <w:rsid w:val="005B6549"/>
    <w:rsid w:val="005B6D56"/>
    <w:rsid w:val="005B6DAE"/>
    <w:rsid w:val="005B7422"/>
    <w:rsid w:val="005B7556"/>
    <w:rsid w:val="005B7DDD"/>
    <w:rsid w:val="005C0C1A"/>
    <w:rsid w:val="005C121E"/>
    <w:rsid w:val="005C1666"/>
    <w:rsid w:val="005C186B"/>
    <w:rsid w:val="005C197F"/>
    <w:rsid w:val="005C1A42"/>
    <w:rsid w:val="005C1C86"/>
    <w:rsid w:val="005C2095"/>
    <w:rsid w:val="005C25D1"/>
    <w:rsid w:val="005C26B9"/>
    <w:rsid w:val="005C2C9C"/>
    <w:rsid w:val="005C3A29"/>
    <w:rsid w:val="005C3E27"/>
    <w:rsid w:val="005C3E33"/>
    <w:rsid w:val="005C4782"/>
    <w:rsid w:val="005C4DB2"/>
    <w:rsid w:val="005C4DE6"/>
    <w:rsid w:val="005C582C"/>
    <w:rsid w:val="005C590C"/>
    <w:rsid w:val="005C5A69"/>
    <w:rsid w:val="005C5B4C"/>
    <w:rsid w:val="005C5C26"/>
    <w:rsid w:val="005C5DCB"/>
    <w:rsid w:val="005C5ED7"/>
    <w:rsid w:val="005C5FD3"/>
    <w:rsid w:val="005C6239"/>
    <w:rsid w:val="005C63DC"/>
    <w:rsid w:val="005C690D"/>
    <w:rsid w:val="005C69DD"/>
    <w:rsid w:val="005C6DF9"/>
    <w:rsid w:val="005C71D0"/>
    <w:rsid w:val="005C7553"/>
    <w:rsid w:val="005C764E"/>
    <w:rsid w:val="005C76C7"/>
    <w:rsid w:val="005C798D"/>
    <w:rsid w:val="005C7ECD"/>
    <w:rsid w:val="005D08A8"/>
    <w:rsid w:val="005D08BA"/>
    <w:rsid w:val="005D0986"/>
    <w:rsid w:val="005D0B0F"/>
    <w:rsid w:val="005D0C88"/>
    <w:rsid w:val="005D0D22"/>
    <w:rsid w:val="005D10E8"/>
    <w:rsid w:val="005D1372"/>
    <w:rsid w:val="005D1A1A"/>
    <w:rsid w:val="005D1AF3"/>
    <w:rsid w:val="005D1C64"/>
    <w:rsid w:val="005D1F01"/>
    <w:rsid w:val="005D2146"/>
    <w:rsid w:val="005D244F"/>
    <w:rsid w:val="005D2492"/>
    <w:rsid w:val="005D2B03"/>
    <w:rsid w:val="005D2B53"/>
    <w:rsid w:val="005D2B5E"/>
    <w:rsid w:val="005D2D04"/>
    <w:rsid w:val="005D30D0"/>
    <w:rsid w:val="005D31C1"/>
    <w:rsid w:val="005D39A7"/>
    <w:rsid w:val="005D3A8E"/>
    <w:rsid w:val="005D4022"/>
    <w:rsid w:val="005D4385"/>
    <w:rsid w:val="005D4388"/>
    <w:rsid w:val="005D4589"/>
    <w:rsid w:val="005D4C09"/>
    <w:rsid w:val="005D4E32"/>
    <w:rsid w:val="005D4E6B"/>
    <w:rsid w:val="005D50B2"/>
    <w:rsid w:val="005D5110"/>
    <w:rsid w:val="005D621B"/>
    <w:rsid w:val="005D66D6"/>
    <w:rsid w:val="005D6ECE"/>
    <w:rsid w:val="005D76AD"/>
    <w:rsid w:val="005D77A3"/>
    <w:rsid w:val="005D7934"/>
    <w:rsid w:val="005D7B23"/>
    <w:rsid w:val="005D7D8C"/>
    <w:rsid w:val="005D7DD0"/>
    <w:rsid w:val="005E017A"/>
    <w:rsid w:val="005E0189"/>
    <w:rsid w:val="005E0372"/>
    <w:rsid w:val="005E0B6B"/>
    <w:rsid w:val="005E141C"/>
    <w:rsid w:val="005E1508"/>
    <w:rsid w:val="005E1CF5"/>
    <w:rsid w:val="005E1D50"/>
    <w:rsid w:val="005E2263"/>
    <w:rsid w:val="005E2356"/>
    <w:rsid w:val="005E283D"/>
    <w:rsid w:val="005E2C6B"/>
    <w:rsid w:val="005E2F2F"/>
    <w:rsid w:val="005E2FD2"/>
    <w:rsid w:val="005E34FA"/>
    <w:rsid w:val="005E372A"/>
    <w:rsid w:val="005E380A"/>
    <w:rsid w:val="005E3A69"/>
    <w:rsid w:val="005E3D86"/>
    <w:rsid w:val="005E407E"/>
    <w:rsid w:val="005E44E9"/>
    <w:rsid w:val="005E464C"/>
    <w:rsid w:val="005E4BD1"/>
    <w:rsid w:val="005E5055"/>
    <w:rsid w:val="005E50E2"/>
    <w:rsid w:val="005E5C0F"/>
    <w:rsid w:val="005E5D03"/>
    <w:rsid w:val="005E66F6"/>
    <w:rsid w:val="005E6A47"/>
    <w:rsid w:val="005E7883"/>
    <w:rsid w:val="005E7BB7"/>
    <w:rsid w:val="005E7EBC"/>
    <w:rsid w:val="005F0714"/>
    <w:rsid w:val="005F0858"/>
    <w:rsid w:val="005F0FF8"/>
    <w:rsid w:val="005F1DE4"/>
    <w:rsid w:val="005F1E0F"/>
    <w:rsid w:val="005F1E3C"/>
    <w:rsid w:val="005F2267"/>
    <w:rsid w:val="005F232E"/>
    <w:rsid w:val="005F2844"/>
    <w:rsid w:val="005F2DBB"/>
    <w:rsid w:val="005F31E7"/>
    <w:rsid w:val="005F358F"/>
    <w:rsid w:val="005F4271"/>
    <w:rsid w:val="005F42A0"/>
    <w:rsid w:val="005F4550"/>
    <w:rsid w:val="005F49FE"/>
    <w:rsid w:val="005F4D2E"/>
    <w:rsid w:val="005F506D"/>
    <w:rsid w:val="005F5428"/>
    <w:rsid w:val="005F5C57"/>
    <w:rsid w:val="005F5E8B"/>
    <w:rsid w:val="005F6677"/>
    <w:rsid w:val="005F6678"/>
    <w:rsid w:val="005F67A3"/>
    <w:rsid w:val="005F7399"/>
    <w:rsid w:val="005F7720"/>
    <w:rsid w:val="005F77A1"/>
    <w:rsid w:val="005F78BF"/>
    <w:rsid w:val="005F7A34"/>
    <w:rsid w:val="005F7D91"/>
    <w:rsid w:val="005F7DD2"/>
    <w:rsid w:val="005F7E8E"/>
    <w:rsid w:val="005F7F05"/>
    <w:rsid w:val="00600347"/>
    <w:rsid w:val="006003AC"/>
    <w:rsid w:val="00600605"/>
    <w:rsid w:val="00600F3D"/>
    <w:rsid w:val="00600F92"/>
    <w:rsid w:val="0060151A"/>
    <w:rsid w:val="0060190C"/>
    <w:rsid w:val="006026EE"/>
    <w:rsid w:val="00602D30"/>
    <w:rsid w:val="00602D77"/>
    <w:rsid w:val="006034EE"/>
    <w:rsid w:val="006035F4"/>
    <w:rsid w:val="006036BA"/>
    <w:rsid w:val="006036E1"/>
    <w:rsid w:val="006039EA"/>
    <w:rsid w:val="00603C3E"/>
    <w:rsid w:val="006044CA"/>
    <w:rsid w:val="0060464B"/>
    <w:rsid w:val="00604B12"/>
    <w:rsid w:val="00604D0A"/>
    <w:rsid w:val="00604E22"/>
    <w:rsid w:val="00604EFD"/>
    <w:rsid w:val="006050F6"/>
    <w:rsid w:val="0060571E"/>
    <w:rsid w:val="006058B0"/>
    <w:rsid w:val="006062B2"/>
    <w:rsid w:val="0060640C"/>
    <w:rsid w:val="006069EB"/>
    <w:rsid w:val="00606F6D"/>
    <w:rsid w:val="00607117"/>
    <w:rsid w:val="006074C7"/>
    <w:rsid w:val="00607554"/>
    <w:rsid w:val="00607F08"/>
    <w:rsid w:val="006101FE"/>
    <w:rsid w:val="006102EA"/>
    <w:rsid w:val="0061037E"/>
    <w:rsid w:val="00610C33"/>
    <w:rsid w:val="00610EAB"/>
    <w:rsid w:val="00610F8E"/>
    <w:rsid w:val="00611707"/>
    <w:rsid w:val="006117A2"/>
    <w:rsid w:val="00611B28"/>
    <w:rsid w:val="00611D14"/>
    <w:rsid w:val="006127D9"/>
    <w:rsid w:val="00612972"/>
    <w:rsid w:val="00612C74"/>
    <w:rsid w:val="00612E1E"/>
    <w:rsid w:val="00613698"/>
    <w:rsid w:val="00613BB3"/>
    <w:rsid w:val="00613EF3"/>
    <w:rsid w:val="00613FA7"/>
    <w:rsid w:val="0061403F"/>
    <w:rsid w:val="00614655"/>
    <w:rsid w:val="00614658"/>
    <w:rsid w:val="00614872"/>
    <w:rsid w:val="00614975"/>
    <w:rsid w:val="00614BFF"/>
    <w:rsid w:val="00614DAF"/>
    <w:rsid w:val="006151EB"/>
    <w:rsid w:val="006154B8"/>
    <w:rsid w:val="006157B2"/>
    <w:rsid w:val="006163A3"/>
    <w:rsid w:val="0061649C"/>
    <w:rsid w:val="0061649E"/>
    <w:rsid w:val="006164F8"/>
    <w:rsid w:val="00616ED5"/>
    <w:rsid w:val="006173D1"/>
    <w:rsid w:val="0061754B"/>
    <w:rsid w:val="00617692"/>
    <w:rsid w:val="00617798"/>
    <w:rsid w:val="00617BBC"/>
    <w:rsid w:val="0062025E"/>
    <w:rsid w:val="00620292"/>
    <w:rsid w:val="00620658"/>
    <w:rsid w:val="00620DC8"/>
    <w:rsid w:val="00621DDA"/>
    <w:rsid w:val="0062283C"/>
    <w:rsid w:val="00622894"/>
    <w:rsid w:val="00622A3B"/>
    <w:rsid w:val="00622A4C"/>
    <w:rsid w:val="006232E5"/>
    <w:rsid w:val="0062347E"/>
    <w:rsid w:val="006234FC"/>
    <w:rsid w:val="0062369D"/>
    <w:rsid w:val="006236EE"/>
    <w:rsid w:val="006239B7"/>
    <w:rsid w:val="00623A18"/>
    <w:rsid w:val="00623A4D"/>
    <w:rsid w:val="00623BB6"/>
    <w:rsid w:val="00623F09"/>
    <w:rsid w:val="00623F5E"/>
    <w:rsid w:val="0062420C"/>
    <w:rsid w:val="006242DB"/>
    <w:rsid w:val="00625796"/>
    <w:rsid w:val="006257FF"/>
    <w:rsid w:val="0062585B"/>
    <w:rsid w:val="006258B7"/>
    <w:rsid w:val="006259CC"/>
    <w:rsid w:val="00625DB1"/>
    <w:rsid w:val="00625EEF"/>
    <w:rsid w:val="0062658F"/>
    <w:rsid w:val="006265EF"/>
    <w:rsid w:val="00626EED"/>
    <w:rsid w:val="00627BE1"/>
    <w:rsid w:val="00627D04"/>
    <w:rsid w:val="0063037F"/>
    <w:rsid w:val="0063049C"/>
    <w:rsid w:val="0063053B"/>
    <w:rsid w:val="006305DE"/>
    <w:rsid w:val="00630755"/>
    <w:rsid w:val="00630DEC"/>
    <w:rsid w:val="00630DF2"/>
    <w:rsid w:val="006312D5"/>
    <w:rsid w:val="00631658"/>
    <w:rsid w:val="006317BA"/>
    <w:rsid w:val="00631957"/>
    <w:rsid w:val="00631A8D"/>
    <w:rsid w:val="00631E0B"/>
    <w:rsid w:val="006324D0"/>
    <w:rsid w:val="006324E1"/>
    <w:rsid w:val="00632832"/>
    <w:rsid w:val="0063291E"/>
    <w:rsid w:val="00632BCF"/>
    <w:rsid w:val="006334FA"/>
    <w:rsid w:val="00633A97"/>
    <w:rsid w:val="0063440A"/>
    <w:rsid w:val="0063451C"/>
    <w:rsid w:val="00634520"/>
    <w:rsid w:val="0063454A"/>
    <w:rsid w:val="006345A3"/>
    <w:rsid w:val="00634DAB"/>
    <w:rsid w:val="00634FB2"/>
    <w:rsid w:val="0063504E"/>
    <w:rsid w:val="00635391"/>
    <w:rsid w:val="006353E9"/>
    <w:rsid w:val="0063559E"/>
    <w:rsid w:val="00636309"/>
    <w:rsid w:val="00636953"/>
    <w:rsid w:val="006369DE"/>
    <w:rsid w:val="00636B5E"/>
    <w:rsid w:val="00636B6F"/>
    <w:rsid w:val="00636CDB"/>
    <w:rsid w:val="006371A8"/>
    <w:rsid w:val="00637204"/>
    <w:rsid w:val="006372A9"/>
    <w:rsid w:val="00637443"/>
    <w:rsid w:val="006374A4"/>
    <w:rsid w:val="00637AD3"/>
    <w:rsid w:val="00637F52"/>
    <w:rsid w:val="006401B8"/>
    <w:rsid w:val="0064048D"/>
    <w:rsid w:val="006408A6"/>
    <w:rsid w:val="006410E5"/>
    <w:rsid w:val="0064146B"/>
    <w:rsid w:val="006416B1"/>
    <w:rsid w:val="0064177A"/>
    <w:rsid w:val="0064180A"/>
    <w:rsid w:val="00642141"/>
    <w:rsid w:val="0064217B"/>
    <w:rsid w:val="00642338"/>
    <w:rsid w:val="006423E9"/>
    <w:rsid w:val="00642E6B"/>
    <w:rsid w:val="006431D4"/>
    <w:rsid w:val="0064320E"/>
    <w:rsid w:val="00643728"/>
    <w:rsid w:val="0064388C"/>
    <w:rsid w:val="00644482"/>
    <w:rsid w:val="0064482A"/>
    <w:rsid w:val="00644B2F"/>
    <w:rsid w:val="00644B6A"/>
    <w:rsid w:val="00645009"/>
    <w:rsid w:val="0064530D"/>
    <w:rsid w:val="00645B4B"/>
    <w:rsid w:val="00645BEE"/>
    <w:rsid w:val="00646016"/>
    <w:rsid w:val="0064628E"/>
    <w:rsid w:val="006463EF"/>
    <w:rsid w:val="0064667F"/>
    <w:rsid w:val="006466BB"/>
    <w:rsid w:val="00646A6E"/>
    <w:rsid w:val="00646E8D"/>
    <w:rsid w:val="0064790B"/>
    <w:rsid w:val="00647ABB"/>
    <w:rsid w:val="00647B7B"/>
    <w:rsid w:val="00647D8E"/>
    <w:rsid w:val="00647DB6"/>
    <w:rsid w:val="00647DCB"/>
    <w:rsid w:val="00650342"/>
    <w:rsid w:val="0065034D"/>
    <w:rsid w:val="006505E0"/>
    <w:rsid w:val="006505E5"/>
    <w:rsid w:val="00650734"/>
    <w:rsid w:val="0065091C"/>
    <w:rsid w:val="0065094C"/>
    <w:rsid w:val="00650A2A"/>
    <w:rsid w:val="00650A9B"/>
    <w:rsid w:val="00650DFD"/>
    <w:rsid w:val="006511AB"/>
    <w:rsid w:val="00651705"/>
    <w:rsid w:val="006517A0"/>
    <w:rsid w:val="00651C6D"/>
    <w:rsid w:val="00651DB2"/>
    <w:rsid w:val="00651DC7"/>
    <w:rsid w:val="006520B6"/>
    <w:rsid w:val="0065291F"/>
    <w:rsid w:val="00652B64"/>
    <w:rsid w:val="00652F07"/>
    <w:rsid w:val="00653212"/>
    <w:rsid w:val="00653A00"/>
    <w:rsid w:val="006546F2"/>
    <w:rsid w:val="0065507E"/>
    <w:rsid w:val="00655B52"/>
    <w:rsid w:val="0065660B"/>
    <w:rsid w:val="00656A16"/>
    <w:rsid w:val="0065778F"/>
    <w:rsid w:val="00657ABF"/>
    <w:rsid w:val="00657B6B"/>
    <w:rsid w:val="00657F6A"/>
    <w:rsid w:val="0066092E"/>
    <w:rsid w:val="00660946"/>
    <w:rsid w:val="00660E7C"/>
    <w:rsid w:val="00660FCE"/>
    <w:rsid w:val="00661235"/>
    <w:rsid w:val="00661795"/>
    <w:rsid w:val="00661839"/>
    <w:rsid w:val="00661840"/>
    <w:rsid w:val="00661FF9"/>
    <w:rsid w:val="006628F2"/>
    <w:rsid w:val="00662AEB"/>
    <w:rsid w:val="0066320A"/>
    <w:rsid w:val="006633FE"/>
    <w:rsid w:val="006636CA"/>
    <w:rsid w:val="0066377A"/>
    <w:rsid w:val="00663886"/>
    <w:rsid w:val="0066413B"/>
    <w:rsid w:val="00664681"/>
    <w:rsid w:val="006655A3"/>
    <w:rsid w:val="006655FB"/>
    <w:rsid w:val="006657C0"/>
    <w:rsid w:val="00665991"/>
    <w:rsid w:val="00665AFC"/>
    <w:rsid w:val="00666194"/>
    <w:rsid w:val="00666453"/>
    <w:rsid w:val="00666518"/>
    <w:rsid w:val="00667193"/>
    <w:rsid w:val="006672BB"/>
    <w:rsid w:val="00670199"/>
    <w:rsid w:val="006701E0"/>
    <w:rsid w:val="00670365"/>
    <w:rsid w:val="00670635"/>
    <w:rsid w:val="00670806"/>
    <w:rsid w:val="006708A7"/>
    <w:rsid w:val="0067113E"/>
    <w:rsid w:val="006719D7"/>
    <w:rsid w:val="006719F3"/>
    <w:rsid w:val="00671A49"/>
    <w:rsid w:val="00671B18"/>
    <w:rsid w:val="006726E7"/>
    <w:rsid w:val="0067281D"/>
    <w:rsid w:val="0067291F"/>
    <w:rsid w:val="00672CC5"/>
    <w:rsid w:val="00672D31"/>
    <w:rsid w:val="00672E46"/>
    <w:rsid w:val="00672E56"/>
    <w:rsid w:val="00673645"/>
    <w:rsid w:val="006737FA"/>
    <w:rsid w:val="00673927"/>
    <w:rsid w:val="00673B2F"/>
    <w:rsid w:val="00673E23"/>
    <w:rsid w:val="006741E1"/>
    <w:rsid w:val="006746BC"/>
    <w:rsid w:val="00674932"/>
    <w:rsid w:val="00674E70"/>
    <w:rsid w:val="00675086"/>
    <w:rsid w:val="006754D8"/>
    <w:rsid w:val="006755A0"/>
    <w:rsid w:val="00675811"/>
    <w:rsid w:val="00675B26"/>
    <w:rsid w:val="00676130"/>
    <w:rsid w:val="0067674D"/>
    <w:rsid w:val="00676C98"/>
    <w:rsid w:val="00676E3D"/>
    <w:rsid w:val="006773C7"/>
    <w:rsid w:val="00677833"/>
    <w:rsid w:val="00677A8A"/>
    <w:rsid w:val="00677D95"/>
    <w:rsid w:val="00677DBB"/>
    <w:rsid w:val="00680C91"/>
    <w:rsid w:val="00680FE3"/>
    <w:rsid w:val="006810F9"/>
    <w:rsid w:val="0068145D"/>
    <w:rsid w:val="006814D4"/>
    <w:rsid w:val="0068165D"/>
    <w:rsid w:val="0068191E"/>
    <w:rsid w:val="00681A61"/>
    <w:rsid w:val="00681B2F"/>
    <w:rsid w:val="00682091"/>
    <w:rsid w:val="0068221A"/>
    <w:rsid w:val="00682902"/>
    <w:rsid w:val="00682B0F"/>
    <w:rsid w:val="00682E5D"/>
    <w:rsid w:val="00683268"/>
    <w:rsid w:val="00683352"/>
    <w:rsid w:val="0068359D"/>
    <w:rsid w:val="00683972"/>
    <w:rsid w:val="00683BD7"/>
    <w:rsid w:val="00683F40"/>
    <w:rsid w:val="00683FAE"/>
    <w:rsid w:val="006847FE"/>
    <w:rsid w:val="00684824"/>
    <w:rsid w:val="00684EE4"/>
    <w:rsid w:val="00685365"/>
    <w:rsid w:val="0068544E"/>
    <w:rsid w:val="006854E7"/>
    <w:rsid w:val="00685727"/>
    <w:rsid w:val="00685B3A"/>
    <w:rsid w:val="0068618F"/>
    <w:rsid w:val="006863D3"/>
    <w:rsid w:val="0068664F"/>
    <w:rsid w:val="00686885"/>
    <w:rsid w:val="006868C6"/>
    <w:rsid w:val="00686AAC"/>
    <w:rsid w:val="00686D03"/>
    <w:rsid w:val="00686FDA"/>
    <w:rsid w:val="006870B0"/>
    <w:rsid w:val="0068758D"/>
    <w:rsid w:val="006878B6"/>
    <w:rsid w:val="006879C3"/>
    <w:rsid w:val="00690342"/>
    <w:rsid w:val="00690C9F"/>
    <w:rsid w:val="00690D2F"/>
    <w:rsid w:val="0069163F"/>
    <w:rsid w:val="00691A5C"/>
    <w:rsid w:val="00691BBF"/>
    <w:rsid w:val="00691D66"/>
    <w:rsid w:val="006924C4"/>
    <w:rsid w:val="00692761"/>
    <w:rsid w:val="00692FCC"/>
    <w:rsid w:val="0069339F"/>
    <w:rsid w:val="006933B6"/>
    <w:rsid w:val="00693404"/>
    <w:rsid w:val="0069348B"/>
    <w:rsid w:val="00693A3D"/>
    <w:rsid w:val="00693A6C"/>
    <w:rsid w:val="00694180"/>
    <w:rsid w:val="00694229"/>
    <w:rsid w:val="006946A6"/>
    <w:rsid w:val="006946ED"/>
    <w:rsid w:val="00694EBD"/>
    <w:rsid w:val="00695093"/>
    <w:rsid w:val="006957D6"/>
    <w:rsid w:val="00695E10"/>
    <w:rsid w:val="00695F85"/>
    <w:rsid w:val="0069612B"/>
    <w:rsid w:val="00696368"/>
    <w:rsid w:val="006966E0"/>
    <w:rsid w:val="00696AB4"/>
    <w:rsid w:val="00696BDF"/>
    <w:rsid w:val="00696C58"/>
    <w:rsid w:val="00697790"/>
    <w:rsid w:val="00697937"/>
    <w:rsid w:val="0069793C"/>
    <w:rsid w:val="00697E5A"/>
    <w:rsid w:val="00697F41"/>
    <w:rsid w:val="006A05A9"/>
    <w:rsid w:val="006A0709"/>
    <w:rsid w:val="006A0AA9"/>
    <w:rsid w:val="006A0BE4"/>
    <w:rsid w:val="006A1131"/>
    <w:rsid w:val="006A13CB"/>
    <w:rsid w:val="006A1835"/>
    <w:rsid w:val="006A1F38"/>
    <w:rsid w:val="006A1F8A"/>
    <w:rsid w:val="006A200C"/>
    <w:rsid w:val="006A2162"/>
    <w:rsid w:val="006A2518"/>
    <w:rsid w:val="006A3261"/>
    <w:rsid w:val="006A38E9"/>
    <w:rsid w:val="006A44B9"/>
    <w:rsid w:val="006A47C5"/>
    <w:rsid w:val="006A49A6"/>
    <w:rsid w:val="006A4B30"/>
    <w:rsid w:val="006A4EF0"/>
    <w:rsid w:val="006A4FAB"/>
    <w:rsid w:val="006A5122"/>
    <w:rsid w:val="006A52AF"/>
    <w:rsid w:val="006A58DC"/>
    <w:rsid w:val="006A59BB"/>
    <w:rsid w:val="006A5AE6"/>
    <w:rsid w:val="006A5ECA"/>
    <w:rsid w:val="006A6287"/>
    <w:rsid w:val="006A6AFF"/>
    <w:rsid w:val="006A6EF5"/>
    <w:rsid w:val="006A6FC9"/>
    <w:rsid w:val="006A726C"/>
    <w:rsid w:val="006A773B"/>
    <w:rsid w:val="006A78F7"/>
    <w:rsid w:val="006A7B60"/>
    <w:rsid w:val="006A7C60"/>
    <w:rsid w:val="006A7E49"/>
    <w:rsid w:val="006B1165"/>
    <w:rsid w:val="006B173D"/>
    <w:rsid w:val="006B18B2"/>
    <w:rsid w:val="006B1A1D"/>
    <w:rsid w:val="006B1ACB"/>
    <w:rsid w:val="006B1F5D"/>
    <w:rsid w:val="006B22A9"/>
    <w:rsid w:val="006B2885"/>
    <w:rsid w:val="006B2D70"/>
    <w:rsid w:val="006B34BF"/>
    <w:rsid w:val="006B3DD6"/>
    <w:rsid w:val="006B3ECC"/>
    <w:rsid w:val="006B41B6"/>
    <w:rsid w:val="006B4245"/>
    <w:rsid w:val="006B43F8"/>
    <w:rsid w:val="006B4996"/>
    <w:rsid w:val="006B4A2C"/>
    <w:rsid w:val="006B4A73"/>
    <w:rsid w:val="006B4AE1"/>
    <w:rsid w:val="006B4BB0"/>
    <w:rsid w:val="006B5010"/>
    <w:rsid w:val="006B50CC"/>
    <w:rsid w:val="006B515A"/>
    <w:rsid w:val="006B5235"/>
    <w:rsid w:val="006B61AD"/>
    <w:rsid w:val="006B61E1"/>
    <w:rsid w:val="006B6AD6"/>
    <w:rsid w:val="006B6E28"/>
    <w:rsid w:val="006B6EE7"/>
    <w:rsid w:val="006B7171"/>
    <w:rsid w:val="006B78FD"/>
    <w:rsid w:val="006B7CB6"/>
    <w:rsid w:val="006C1073"/>
    <w:rsid w:val="006C1602"/>
    <w:rsid w:val="006C16ED"/>
    <w:rsid w:val="006C1E9D"/>
    <w:rsid w:val="006C2569"/>
    <w:rsid w:val="006C2FD4"/>
    <w:rsid w:val="006C3100"/>
    <w:rsid w:val="006C313E"/>
    <w:rsid w:val="006C31D7"/>
    <w:rsid w:val="006C34FB"/>
    <w:rsid w:val="006C3792"/>
    <w:rsid w:val="006C392E"/>
    <w:rsid w:val="006C4672"/>
    <w:rsid w:val="006C4934"/>
    <w:rsid w:val="006C4E61"/>
    <w:rsid w:val="006C4F3B"/>
    <w:rsid w:val="006C5045"/>
    <w:rsid w:val="006C54E2"/>
    <w:rsid w:val="006C55FD"/>
    <w:rsid w:val="006C575D"/>
    <w:rsid w:val="006C59B5"/>
    <w:rsid w:val="006C5B6A"/>
    <w:rsid w:val="006C5BE1"/>
    <w:rsid w:val="006C5D2C"/>
    <w:rsid w:val="006C6776"/>
    <w:rsid w:val="006C67D6"/>
    <w:rsid w:val="006C6A01"/>
    <w:rsid w:val="006C6A37"/>
    <w:rsid w:val="006C73B1"/>
    <w:rsid w:val="006C7B36"/>
    <w:rsid w:val="006C7F48"/>
    <w:rsid w:val="006D02D6"/>
    <w:rsid w:val="006D0478"/>
    <w:rsid w:val="006D0940"/>
    <w:rsid w:val="006D0AF3"/>
    <w:rsid w:val="006D12AE"/>
    <w:rsid w:val="006D14D6"/>
    <w:rsid w:val="006D1CE0"/>
    <w:rsid w:val="006D266B"/>
    <w:rsid w:val="006D2687"/>
    <w:rsid w:val="006D2CEE"/>
    <w:rsid w:val="006D2D44"/>
    <w:rsid w:val="006D3181"/>
    <w:rsid w:val="006D3BEB"/>
    <w:rsid w:val="006D3D7A"/>
    <w:rsid w:val="006D4239"/>
    <w:rsid w:val="006D43C7"/>
    <w:rsid w:val="006D43E8"/>
    <w:rsid w:val="006D45DA"/>
    <w:rsid w:val="006D4700"/>
    <w:rsid w:val="006D4820"/>
    <w:rsid w:val="006D4B13"/>
    <w:rsid w:val="006D5494"/>
    <w:rsid w:val="006D5643"/>
    <w:rsid w:val="006D584E"/>
    <w:rsid w:val="006D5D16"/>
    <w:rsid w:val="006D6249"/>
    <w:rsid w:val="006D6B8D"/>
    <w:rsid w:val="006D6D08"/>
    <w:rsid w:val="006E0072"/>
    <w:rsid w:val="006E018F"/>
    <w:rsid w:val="006E034C"/>
    <w:rsid w:val="006E05BA"/>
    <w:rsid w:val="006E0C1C"/>
    <w:rsid w:val="006E0F70"/>
    <w:rsid w:val="006E1052"/>
    <w:rsid w:val="006E1299"/>
    <w:rsid w:val="006E17AA"/>
    <w:rsid w:val="006E1E9D"/>
    <w:rsid w:val="006E1FE3"/>
    <w:rsid w:val="006E2490"/>
    <w:rsid w:val="006E289E"/>
    <w:rsid w:val="006E293C"/>
    <w:rsid w:val="006E2CCB"/>
    <w:rsid w:val="006E2EDF"/>
    <w:rsid w:val="006E3048"/>
    <w:rsid w:val="006E35B7"/>
    <w:rsid w:val="006E3734"/>
    <w:rsid w:val="006E3D31"/>
    <w:rsid w:val="006E4051"/>
    <w:rsid w:val="006E4089"/>
    <w:rsid w:val="006E5245"/>
    <w:rsid w:val="006E59E1"/>
    <w:rsid w:val="006E5E71"/>
    <w:rsid w:val="006E6AFD"/>
    <w:rsid w:val="006E6C1A"/>
    <w:rsid w:val="006E7009"/>
    <w:rsid w:val="006E7278"/>
    <w:rsid w:val="006E74A7"/>
    <w:rsid w:val="006E74C5"/>
    <w:rsid w:val="006E7C2D"/>
    <w:rsid w:val="006F0108"/>
    <w:rsid w:val="006F1469"/>
    <w:rsid w:val="006F155E"/>
    <w:rsid w:val="006F1A49"/>
    <w:rsid w:val="006F1B9E"/>
    <w:rsid w:val="006F1FB3"/>
    <w:rsid w:val="006F2087"/>
    <w:rsid w:val="006F2BAF"/>
    <w:rsid w:val="006F2E0B"/>
    <w:rsid w:val="006F2E41"/>
    <w:rsid w:val="006F2E5C"/>
    <w:rsid w:val="006F3442"/>
    <w:rsid w:val="006F38FF"/>
    <w:rsid w:val="006F3FDF"/>
    <w:rsid w:val="006F40BD"/>
    <w:rsid w:val="006F414A"/>
    <w:rsid w:val="006F45F0"/>
    <w:rsid w:val="006F476C"/>
    <w:rsid w:val="006F4A57"/>
    <w:rsid w:val="006F4C10"/>
    <w:rsid w:val="006F4E2A"/>
    <w:rsid w:val="006F4FC5"/>
    <w:rsid w:val="006F526E"/>
    <w:rsid w:val="006F580A"/>
    <w:rsid w:val="006F59E1"/>
    <w:rsid w:val="006F5DB4"/>
    <w:rsid w:val="006F5F51"/>
    <w:rsid w:val="006F5F62"/>
    <w:rsid w:val="006F608B"/>
    <w:rsid w:val="006F61BF"/>
    <w:rsid w:val="006F744E"/>
    <w:rsid w:val="006F757D"/>
    <w:rsid w:val="006F75CC"/>
    <w:rsid w:val="006F7911"/>
    <w:rsid w:val="006F7C0D"/>
    <w:rsid w:val="006F7DF2"/>
    <w:rsid w:val="007005B5"/>
    <w:rsid w:val="00701024"/>
    <w:rsid w:val="00701671"/>
    <w:rsid w:val="007016A4"/>
    <w:rsid w:val="00701DEF"/>
    <w:rsid w:val="00702556"/>
    <w:rsid w:val="00702B61"/>
    <w:rsid w:val="00702DA5"/>
    <w:rsid w:val="00702EF3"/>
    <w:rsid w:val="00702F3A"/>
    <w:rsid w:val="00703008"/>
    <w:rsid w:val="00703431"/>
    <w:rsid w:val="0070385A"/>
    <w:rsid w:val="007038D2"/>
    <w:rsid w:val="007042A6"/>
    <w:rsid w:val="007046B0"/>
    <w:rsid w:val="00704F0A"/>
    <w:rsid w:val="007050EE"/>
    <w:rsid w:val="007052B3"/>
    <w:rsid w:val="0070533D"/>
    <w:rsid w:val="007055FA"/>
    <w:rsid w:val="007059FB"/>
    <w:rsid w:val="00705ABF"/>
    <w:rsid w:val="00706008"/>
    <w:rsid w:val="00706086"/>
    <w:rsid w:val="007061AD"/>
    <w:rsid w:val="00706321"/>
    <w:rsid w:val="007063C0"/>
    <w:rsid w:val="00706A16"/>
    <w:rsid w:val="00706A30"/>
    <w:rsid w:val="00706F51"/>
    <w:rsid w:val="00707A6E"/>
    <w:rsid w:val="00707E0D"/>
    <w:rsid w:val="007100BD"/>
    <w:rsid w:val="00710958"/>
    <w:rsid w:val="00710DE4"/>
    <w:rsid w:val="007112E4"/>
    <w:rsid w:val="0071187B"/>
    <w:rsid w:val="00711F5C"/>
    <w:rsid w:val="007122BB"/>
    <w:rsid w:val="00712F9A"/>
    <w:rsid w:val="00713301"/>
    <w:rsid w:val="0071370C"/>
    <w:rsid w:val="00713B60"/>
    <w:rsid w:val="00713FFC"/>
    <w:rsid w:val="00714048"/>
    <w:rsid w:val="0071446E"/>
    <w:rsid w:val="0071493E"/>
    <w:rsid w:val="00714B54"/>
    <w:rsid w:val="00714D8F"/>
    <w:rsid w:val="00714DEA"/>
    <w:rsid w:val="0071535A"/>
    <w:rsid w:val="007158CB"/>
    <w:rsid w:val="00715A33"/>
    <w:rsid w:val="00716B44"/>
    <w:rsid w:val="00716B52"/>
    <w:rsid w:val="00716F6F"/>
    <w:rsid w:val="00716F93"/>
    <w:rsid w:val="00717410"/>
    <w:rsid w:val="007175FE"/>
    <w:rsid w:val="00717B37"/>
    <w:rsid w:val="00717D24"/>
    <w:rsid w:val="00720020"/>
    <w:rsid w:val="00720794"/>
    <w:rsid w:val="0072094C"/>
    <w:rsid w:val="00720CAA"/>
    <w:rsid w:val="0072152E"/>
    <w:rsid w:val="00721631"/>
    <w:rsid w:val="00722522"/>
    <w:rsid w:val="00722712"/>
    <w:rsid w:val="00722946"/>
    <w:rsid w:val="00722C73"/>
    <w:rsid w:val="00722DE0"/>
    <w:rsid w:val="00723311"/>
    <w:rsid w:val="0072339D"/>
    <w:rsid w:val="007233DC"/>
    <w:rsid w:val="00723526"/>
    <w:rsid w:val="00723886"/>
    <w:rsid w:val="00723ADF"/>
    <w:rsid w:val="00723F74"/>
    <w:rsid w:val="0072402F"/>
    <w:rsid w:val="0072431D"/>
    <w:rsid w:val="00724838"/>
    <w:rsid w:val="00724986"/>
    <w:rsid w:val="00724C57"/>
    <w:rsid w:val="00724D11"/>
    <w:rsid w:val="00724F8B"/>
    <w:rsid w:val="007250D5"/>
    <w:rsid w:val="00725519"/>
    <w:rsid w:val="00725CA3"/>
    <w:rsid w:val="007262CD"/>
    <w:rsid w:val="007274A4"/>
    <w:rsid w:val="0072789E"/>
    <w:rsid w:val="00727B3D"/>
    <w:rsid w:val="007300C2"/>
    <w:rsid w:val="007308DB"/>
    <w:rsid w:val="00730C7D"/>
    <w:rsid w:val="00730E51"/>
    <w:rsid w:val="0073164E"/>
    <w:rsid w:val="00731D33"/>
    <w:rsid w:val="00731DCF"/>
    <w:rsid w:val="007321A4"/>
    <w:rsid w:val="0073223D"/>
    <w:rsid w:val="0073244C"/>
    <w:rsid w:val="0073294D"/>
    <w:rsid w:val="00733594"/>
    <w:rsid w:val="00733758"/>
    <w:rsid w:val="007338D0"/>
    <w:rsid w:val="0073391B"/>
    <w:rsid w:val="00734157"/>
    <w:rsid w:val="007342D2"/>
    <w:rsid w:val="007343A2"/>
    <w:rsid w:val="007346D4"/>
    <w:rsid w:val="00735186"/>
    <w:rsid w:val="00735BF0"/>
    <w:rsid w:val="00735CE4"/>
    <w:rsid w:val="0073619D"/>
    <w:rsid w:val="007364E1"/>
    <w:rsid w:val="00736B16"/>
    <w:rsid w:val="007371C5"/>
    <w:rsid w:val="00737606"/>
    <w:rsid w:val="0073760E"/>
    <w:rsid w:val="007378EE"/>
    <w:rsid w:val="00737A8C"/>
    <w:rsid w:val="0074001F"/>
    <w:rsid w:val="0074152F"/>
    <w:rsid w:val="007417FE"/>
    <w:rsid w:val="00741863"/>
    <w:rsid w:val="00741E25"/>
    <w:rsid w:val="00741E79"/>
    <w:rsid w:val="00741F42"/>
    <w:rsid w:val="007423CE"/>
    <w:rsid w:val="00742925"/>
    <w:rsid w:val="00742A65"/>
    <w:rsid w:val="00743466"/>
    <w:rsid w:val="00744174"/>
    <w:rsid w:val="00744231"/>
    <w:rsid w:val="007442EB"/>
    <w:rsid w:val="0074456A"/>
    <w:rsid w:val="00744671"/>
    <w:rsid w:val="0074486F"/>
    <w:rsid w:val="00744B26"/>
    <w:rsid w:val="00744F67"/>
    <w:rsid w:val="00745427"/>
    <w:rsid w:val="00745488"/>
    <w:rsid w:val="007455AA"/>
    <w:rsid w:val="00745B7E"/>
    <w:rsid w:val="00745DE2"/>
    <w:rsid w:val="00745F19"/>
    <w:rsid w:val="00746380"/>
    <w:rsid w:val="00746985"/>
    <w:rsid w:val="007474D3"/>
    <w:rsid w:val="00747511"/>
    <w:rsid w:val="007477CA"/>
    <w:rsid w:val="00747BC2"/>
    <w:rsid w:val="00747EC2"/>
    <w:rsid w:val="00750BAA"/>
    <w:rsid w:val="00750CBD"/>
    <w:rsid w:val="00750DB3"/>
    <w:rsid w:val="00751021"/>
    <w:rsid w:val="00751134"/>
    <w:rsid w:val="0075193A"/>
    <w:rsid w:val="00751AA9"/>
    <w:rsid w:val="00751AAC"/>
    <w:rsid w:val="00751F55"/>
    <w:rsid w:val="00751F72"/>
    <w:rsid w:val="00751F8C"/>
    <w:rsid w:val="00752266"/>
    <w:rsid w:val="00752351"/>
    <w:rsid w:val="0075277E"/>
    <w:rsid w:val="007530BB"/>
    <w:rsid w:val="00753208"/>
    <w:rsid w:val="00753232"/>
    <w:rsid w:val="00753D0D"/>
    <w:rsid w:val="00753D5B"/>
    <w:rsid w:val="0075473C"/>
    <w:rsid w:val="007548E7"/>
    <w:rsid w:val="00754D1B"/>
    <w:rsid w:val="007550BC"/>
    <w:rsid w:val="007550EF"/>
    <w:rsid w:val="0075513F"/>
    <w:rsid w:val="0075583B"/>
    <w:rsid w:val="00756057"/>
    <w:rsid w:val="007561E8"/>
    <w:rsid w:val="0075643C"/>
    <w:rsid w:val="00756734"/>
    <w:rsid w:val="007575AB"/>
    <w:rsid w:val="0075776A"/>
    <w:rsid w:val="007577C7"/>
    <w:rsid w:val="0075788E"/>
    <w:rsid w:val="00757972"/>
    <w:rsid w:val="00757ADE"/>
    <w:rsid w:val="00757FC9"/>
    <w:rsid w:val="00760358"/>
    <w:rsid w:val="007603CE"/>
    <w:rsid w:val="0076056C"/>
    <w:rsid w:val="00760610"/>
    <w:rsid w:val="0076065D"/>
    <w:rsid w:val="007608EF"/>
    <w:rsid w:val="00760ADB"/>
    <w:rsid w:val="00760C42"/>
    <w:rsid w:val="00761212"/>
    <w:rsid w:val="00761BD3"/>
    <w:rsid w:val="00761D56"/>
    <w:rsid w:val="0076238C"/>
    <w:rsid w:val="007623AE"/>
    <w:rsid w:val="00763362"/>
    <w:rsid w:val="0076355C"/>
    <w:rsid w:val="0076399B"/>
    <w:rsid w:val="00763AA2"/>
    <w:rsid w:val="00763BC7"/>
    <w:rsid w:val="00763D76"/>
    <w:rsid w:val="00763EBF"/>
    <w:rsid w:val="0076427E"/>
    <w:rsid w:val="007642E0"/>
    <w:rsid w:val="00764409"/>
    <w:rsid w:val="00764747"/>
    <w:rsid w:val="00765017"/>
    <w:rsid w:val="007656E0"/>
    <w:rsid w:val="00765DB9"/>
    <w:rsid w:val="00766315"/>
    <w:rsid w:val="0076638B"/>
    <w:rsid w:val="0076665A"/>
    <w:rsid w:val="0076696D"/>
    <w:rsid w:val="00766A14"/>
    <w:rsid w:val="00766B57"/>
    <w:rsid w:val="00766B58"/>
    <w:rsid w:val="00766F90"/>
    <w:rsid w:val="007670D1"/>
    <w:rsid w:val="00767515"/>
    <w:rsid w:val="007675CD"/>
    <w:rsid w:val="00767BEA"/>
    <w:rsid w:val="00770012"/>
    <w:rsid w:val="007701AE"/>
    <w:rsid w:val="0077045E"/>
    <w:rsid w:val="00770D49"/>
    <w:rsid w:val="00770F8A"/>
    <w:rsid w:val="007712AD"/>
    <w:rsid w:val="0077149B"/>
    <w:rsid w:val="0077150F"/>
    <w:rsid w:val="0077155F"/>
    <w:rsid w:val="00771DF6"/>
    <w:rsid w:val="00771EEC"/>
    <w:rsid w:val="007722DA"/>
    <w:rsid w:val="00772638"/>
    <w:rsid w:val="00772994"/>
    <w:rsid w:val="00772CB2"/>
    <w:rsid w:val="00773189"/>
    <w:rsid w:val="007732FA"/>
    <w:rsid w:val="00773301"/>
    <w:rsid w:val="00773598"/>
    <w:rsid w:val="00773CEC"/>
    <w:rsid w:val="00773E35"/>
    <w:rsid w:val="00773F43"/>
    <w:rsid w:val="007740A3"/>
    <w:rsid w:val="007740F5"/>
    <w:rsid w:val="00774159"/>
    <w:rsid w:val="00774808"/>
    <w:rsid w:val="00774BC2"/>
    <w:rsid w:val="007751C3"/>
    <w:rsid w:val="0077556B"/>
    <w:rsid w:val="0077566A"/>
    <w:rsid w:val="0077571B"/>
    <w:rsid w:val="0077587F"/>
    <w:rsid w:val="00775B0C"/>
    <w:rsid w:val="00775C5E"/>
    <w:rsid w:val="00775ECE"/>
    <w:rsid w:val="00776172"/>
    <w:rsid w:val="0077640E"/>
    <w:rsid w:val="00776522"/>
    <w:rsid w:val="00776917"/>
    <w:rsid w:val="00776944"/>
    <w:rsid w:val="00776971"/>
    <w:rsid w:val="00776EA6"/>
    <w:rsid w:val="00777391"/>
    <w:rsid w:val="007773EE"/>
    <w:rsid w:val="00777EEA"/>
    <w:rsid w:val="00780183"/>
    <w:rsid w:val="0078026B"/>
    <w:rsid w:val="0078044D"/>
    <w:rsid w:val="007809B6"/>
    <w:rsid w:val="00781133"/>
    <w:rsid w:val="00781333"/>
    <w:rsid w:val="00782017"/>
    <w:rsid w:val="00782019"/>
    <w:rsid w:val="007820D8"/>
    <w:rsid w:val="007821DF"/>
    <w:rsid w:val="00782259"/>
    <w:rsid w:val="007822AF"/>
    <w:rsid w:val="007825B7"/>
    <w:rsid w:val="0078298B"/>
    <w:rsid w:val="00782DE3"/>
    <w:rsid w:val="007830C8"/>
    <w:rsid w:val="007833BB"/>
    <w:rsid w:val="0078343C"/>
    <w:rsid w:val="00783AFD"/>
    <w:rsid w:val="00783D8E"/>
    <w:rsid w:val="00783E0E"/>
    <w:rsid w:val="00783E29"/>
    <w:rsid w:val="00784314"/>
    <w:rsid w:val="0078467D"/>
    <w:rsid w:val="00784BDA"/>
    <w:rsid w:val="00784E92"/>
    <w:rsid w:val="0078523D"/>
    <w:rsid w:val="007852B3"/>
    <w:rsid w:val="0078533F"/>
    <w:rsid w:val="007854EF"/>
    <w:rsid w:val="0078552F"/>
    <w:rsid w:val="00785652"/>
    <w:rsid w:val="0078670A"/>
    <w:rsid w:val="0078679F"/>
    <w:rsid w:val="0078682E"/>
    <w:rsid w:val="00786C79"/>
    <w:rsid w:val="0078709D"/>
    <w:rsid w:val="007877C7"/>
    <w:rsid w:val="007879EA"/>
    <w:rsid w:val="00790004"/>
    <w:rsid w:val="00790086"/>
    <w:rsid w:val="0079014E"/>
    <w:rsid w:val="007903A9"/>
    <w:rsid w:val="00790636"/>
    <w:rsid w:val="0079070D"/>
    <w:rsid w:val="007907BA"/>
    <w:rsid w:val="00790AE8"/>
    <w:rsid w:val="00790C20"/>
    <w:rsid w:val="00791119"/>
    <w:rsid w:val="007916EE"/>
    <w:rsid w:val="00791DAC"/>
    <w:rsid w:val="00791EA2"/>
    <w:rsid w:val="00791F0E"/>
    <w:rsid w:val="00792109"/>
    <w:rsid w:val="00792383"/>
    <w:rsid w:val="0079261E"/>
    <w:rsid w:val="00792E0E"/>
    <w:rsid w:val="00792F15"/>
    <w:rsid w:val="00793212"/>
    <w:rsid w:val="00793251"/>
    <w:rsid w:val="00793335"/>
    <w:rsid w:val="00793482"/>
    <w:rsid w:val="007939D2"/>
    <w:rsid w:val="0079454F"/>
    <w:rsid w:val="00794560"/>
    <w:rsid w:val="00794662"/>
    <w:rsid w:val="007949E9"/>
    <w:rsid w:val="00794A2F"/>
    <w:rsid w:val="00794A95"/>
    <w:rsid w:val="0079506A"/>
    <w:rsid w:val="007957FA"/>
    <w:rsid w:val="00795C82"/>
    <w:rsid w:val="00795E57"/>
    <w:rsid w:val="0079673F"/>
    <w:rsid w:val="007969EC"/>
    <w:rsid w:val="00796B81"/>
    <w:rsid w:val="0079721A"/>
    <w:rsid w:val="00797498"/>
    <w:rsid w:val="007975B9"/>
    <w:rsid w:val="007977F9"/>
    <w:rsid w:val="00797897"/>
    <w:rsid w:val="007A0014"/>
    <w:rsid w:val="007A008D"/>
    <w:rsid w:val="007A03C5"/>
    <w:rsid w:val="007A0469"/>
    <w:rsid w:val="007A04C6"/>
    <w:rsid w:val="007A0621"/>
    <w:rsid w:val="007A06BB"/>
    <w:rsid w:val="007A07FC"/>
    <w:rsid w:val="007A0A6E"/>
    <w:rsid w:val="007A0D31"/>
    <w:rsid w:val="007A11ED"/>
    <w:rsid w:val="007A13AF"/>
    <w:rsid w:val="007A1631"/>
    <w:rsid w:val="007A1796"/>
    <w:rsid w:val="007A1B1F"/>
    <w:rsid w:val="007A221A"/>
    <w:rsid w:val="007A2402"/>
    <w:rsid w:val="007A251F"/>
    <w:rsid w:val="007A25D5"/>
    <w:rsid w:val="007A2647"/>
    <w:rsid w:val="007A265D"/>
    <w:rsid w:val="007A2DAB"/>
    <w:rsid w:val="007A3433"/>
    <w:rsid w:val="007A3652"/>
    <w:rsid w:val="007A388E"/>
    <w:rsid w:val="007A38D4"/>
    <w:rsid w:val="007A398C"/>
    <w:rsid w:val="007A3C90"/>
    <w:rsid w:val="007A3D1F"/>
    <w:rsid w:val="007A3E8D"/>
    <w:rsid w:val="007A3EB6"/>
    <w:rsid w:val="007A3FC6"/>
    <w:rsid w:val="007A4128"/>
    <w:rsid w:val="007A41B1"/>
    <w:rsid w:val="007A425A"/>
    <w:rsid w:val="007A5527"/>
    <w:rsid w:val="007A56AD"/>
    <w:rsid w:val="007A5A41"/>
    <w:rsid w:val="007A5BCD"/>
    <w:rsid w:val="007A5CF8"/>
    <w:rsid w:val="007A5E0C"/>
    <w:rsid w:val="007A5E5A"/>
    <w:rsid w:val="007A630E"/>
    <w:rsid w:val="007A63E6"/>
    <w:rsid w:val="007A6405"/>
    <w:rsid w:val="007A6757"/>
    <w:rsid w:val="007A676B"/>
    <w:rsid w:val="007A68A0"/>
    <w:rsid w:val="007A6B37"/>
    <w:rsid w:val="007A7003"/>
    <w:rsid w:val="007A791E"/>
    <w:rsid w:val="007A7AAC"/>
    <w:rsid w:val="007A7C03"/>
    <w:rsid w:val="007A7EC5"/>
    <w:rsid w:val="007B0048"/>
    <w:rsid w:val="007B05D1"/>
    <w:rsid w:val="007B0A48"/>
    <w:rsid w:val="007B0AE0"/>
    <w:rsid w:val="007B0D77"/>
    <w:rsid w:val="007B121D"/>
    <w:rsid w:val="007B1224"/>
    <w:rsid w:val="007B13BE"/>
    <w:rsid w:val="007B21D7"/>
    <w:rsid w:val="007B22C4"/>
    <w:rsid w:val="007B278E"/>
    <w:rsid w:val="007B2925"/>
    <w:rsid w:val="007B2B93"/>
    <w:rsid w:val="007B2DFF"/>
    <w:rsid w:val="007B366F"/>
    <w:rsid w:val="007B3909"/>
    <w:rsid w:val="007B3C15"/>
    <w:rsid w:val="007B418B"/>
    <w:rsid w:val="007B4696"/>
    <w:rsid w:val="007B4806"/>
    <w:rsid w:val="007B5162"/>
    <w:rsid w:val="007B5225"/>
    <w:rsid w:val="007B5B6C"/>
    <w:rsid w:val="007B5C08"/>
    <w:rsid w:val="007B5C63"/>
    <w:rsid w:val="007B5DFF"/>
    <w:rsid w:val="007B6144"/>
    <w:rsid w:val="007B637D"/>
    <w:rsid w:val="007B6954"/>
    <w:rsid w:val="007B6DA6"/>
    <w:rsid w:val="007B7AE4"/>
    <w:rsid w:val="007B7BAB"/>
    <w:rsid w:val="007B7BD7"/>
    <w:rsid w:val="007B7DE2"/>
    <w:rsid w:val="007C0935"/>
    <w:rsid w:val="007C0AD2"/>
    <w:rsid w:val="007C0D7E"/>
    <w:rsid w:val="007C0F9D"/>
    <w:rsid w:val="007C1030"/>
    <w:rsid w:val="007C1081"/>
    <w:rsid w:val="007C1360"/>
    <w:rsid w:val="007C15DF"/>
    <w:rsid w:val="007C165B"/>
    <w:rsid w:val="007C170E"/>
    <w:rsid w:val="007C17BD"/>
    <w:rsid w:val="007C1899"/>
    <w:rsid w:val="007C20A7"/>
    <w:rsid w:val="007C2118"/>
    <w:rsid w:val="007C220D"/>
    <w:rsid w:val="007C2323"/>
    <w:rsid w:val="007C233D"/>
    <w:rsid w:val="007C26D4"/>
    <w:rsid w:val="007C2B2B"/>
    <w:rsid w:val="007C2C20"/>
    <w:rsid w:val="007C30B0"/>
    <w:rsid w:val="007C30B9"/>
    <w:rsid w:val="007C3162"/>
    <w:rsid w:val="007C31AB"/>
    <w:rsid w:val="007C370A"/>
    <w:rsid w:val="007C3A87"/>
    <w:rsid w:val="007C3B7E"/>
    <w:rsid w:val="007C4C17"/>
    <w:rsid w:val="007C51E3"/>
    <w:rsid w:val="007C5237"/>
    <w:rsid w:val="007C54AF"/>
    <w:rsid w:val="007C573E"/>
    <w:rsid w:val="007C5CCA"/>
    <w:rsid w:val="007C5CED"/>
    <w:rsid w:val="007C6671"/>
    <w:rsid w:val="007C725B"/>
    <w:rsid w:val="007C7388"/>
    <w:rsid w:val="007C7506"/>
    <w:rsid w:val="007C771D"/>
    <w:rsid w:val="007C7F8A"/>
    <w:rsid w:val="007D0050"/>
    <w:rsid w:val="007D0338"/>
    <w:rsid w:val="007D03EB"/>
    <w:rsid w:val="007D07E8"/>
    <w:rsid w:val="007D0B6A"/>
    <w:rsid w:val="007D0BA8"/>
    <w:rsid w:val="007D104A"/>
    <w:rsid w:val="007D1387"/>
    <w:rsid w:val="007D1AE2"/>
    <w:rsid w:val="007D1B34"/>
    <w:rsid w:val="007D1BB7"/>
    <w:rsid w:val="007D1C8F"/>
    <w:rsid w:val="007D1D99"/>
    <w:rsid w:val="007D1F25"/>
    <w:rsid w:val="007D2154"/>
    <w:rsid w:val="007D2EA0"/>
    <w:rsid w:val="007D315A"/>
    <w:rsid w:val="007D3283"/>
    <w:rsid w:val="007D32B1"/>
    <w:rsid w:val="007D3A56"/>
    <w:rsid w:val="007D444C"/>
    <w:rsid w:val="007D4C22"/>
    <w:rsid w:val="007D4D8A"/>
    <w:rsid w:val="007D4F2E"/>
    <w:rsid w:val="007D5844"/>
    <w:rsid w:val="007D584F"/>
    <w:rsid w:val="007D5AA3"/>
    <w:rsid w:val="007D5E50"/>
    <w:rsid w:val="007D61B0"/>
    <w:rsid w:val="007D666C"/>
    <w:rsid w:val="007D6755"/>
    <w:rsid w:val="007D6B32"/>
    <w:rsid w:val="007D6E5D"/>
    <w:rsid w:val="007D7047"/>
    <w:rsid w:val="007D75C8"/>
    <w:rsid w:val="007D76C1"/>
    <w:rsid w:val="007D7F16"/>
    <w:rsid w:val="007E02DE"/>
    <w:rsid w:val="007E055D"/>
    <w:rsid w:val="007E0997"/>
    <w:rsid w:val="007E0DB0"/>
    <w:rsid w:val="007E10D8"/>
    <w:rsid w:val="007E1726"/>
    <w:rsid w:val="007E1778"/>
    <w:rsid w:val="007E1927"/>
    <w:rsid w:val="007E1BCB"/>
    <w:rsid w:val="007E1BF3"/>
    <w:rsid w:val="007E1C4F"/>
    <w:rsid w:val="007E1D01"/>
    <w:rsid w:val="007E2297"/>
    <w:rsid w:val="007E265F"/>
    <w:rsid w:val="007E26D7"/>
    <w:rsid w:val="007E2725"/>
    <w:rsid w:val="007E27B8"/>
    <w:rsid w:val="007E2EC6"/>
    <w:rsid w:val="007E2FE8"/>
    <w:rsid w:val="007E3083"/>
    <w:rsid w:val="007E3291"/>
    <w:rsid w:val="007E3CC5"/>
    <w:rsid w:val="007E3F78"/>
    <w:rsid w:val="007E4211"/>
    <w:rsid w:val="007E4394"/>
    <w:rsid w:val="007E4C51"/>
    <w:rsid w:val="007E4CF4"/>
    <w:rsid w:val="007E4E7E"/>
    <w:rsid w:val="007E5956"/>
    <w:rsid w:val="007E602B"/>
    <w:rsid w:val="007E6070"/>
    <w:rsid w:val="007E6880"/>
    <w:rsid w:val="007E6B3F"/>
    <w:rsid w:val="007E6E58"/>
    <w:rsid w:val="007E6F6E"/>
    <w:rsid w:val="007E7356"/>
    <w:rsid w:val="007E73AE"/>
    <w:rsid w:val="007E7AA1"/>
    <w:rsid w:val="007E7E69"/>
    <w:rsid w:val="007F00AF"/>
    <w:rsid w:val="007F0494"/>
    <w:rsid w:val="007F080C"/>
    <w:rsid w:val="007F1265"/>
    <w:rsid w:val="007F1407"/>
    <w:rsid w:val="007F1801"/>
    <w:rsid w:val="007F19F9"/>
    <w:rsid w:val="007F1E06"/>
    <w:rsid w:val="007F2126"/>
    <w:rsid w:val="007F226A"/>
    <w:rsid w:val="007F269E"/>
    <w:rsid w:val="007F2931"/>
    <w:rsid w:val="007F29E2"/>
    <w:rsid w:val="007F2A60"/>
    <w:rsid w:val="007F2AF6"/>
    <w:rsid w:val="007F2C6B"/>
    <w:rsid w:val="007F2F07"/>
    <w:rsid w:val="007F362C"/>
    <w:rsid w:val="007F5051"/>
    <w:rsid w:val="007F54B7"/>
    <w:rsid w:val="007F5DD6"/>
    <w:rsid w:val="007F6041"/>
    <w:rsid w:val="007F616F"/>
    <w:rsid w:val="007F6726"/>
    <w:rsid w:val="007F6EC3"/>
    <w:rsid w:val="007F6FDA"/>
    <w:rsid w:val="007F7077"/>
    <w:rsid w:val="007F7233"/>
    <w:rsid w:val="007F74D5"/>
    <w:rsid w:val="007F7737"/>
    <w:rsid w:val="007F7A04"/>
    <w:rsid w:val="007F7BE7"/>
    <w:rsid w:val="007F7D29"/>
    <w:rsid w:val="007F7D3A"/>
    <w:rsid w:val="007F7F25"/>
    <w:rsid w:val="008000F7"/>
    <w:rsid w:val="0080073D"/>
    <w:rsid w:val="008008DD"/>
    <w:rsid w:val="00800947"/>
    <w:rsid w:val="00800B9D"/>
    <w:rsid w:val="00801224"/>
    <w:rsid w:val="008013C7"/>
    <w:rsid w:val="00801A0A"/>
    <w:rsid w:val="008021AE"/>
    <w:rsid w:val="00802C1A"/>
    <w:rsid w:val="0080307A"/>
    <w:rsid w:val="008035CD"/>
    <w:rsid w:val="00803836"/>
    <w:rsid w:val="00804679"/>
    <w:rsid w:val="00804AE9"/>
    <w:rsid w:val="00805120"/>
    <w:rsid w:val="00805282"/>
    <w:rsid w:val="008054C9"/>
    <w:rsid w:val="008057AB"/>
    <w:rsid w:val="00805816"/>
    <w:rsid w:val="008059C5"/>
    <w:rsid w:val="00805C36"/>
    <w:rsid w:val="00805D1F"/>
    <w:rsid w:val="00805E8E"/>
    <w:rsid w:val="00806213"/>
    <w:rsid w:val="0080626B"/>
    <w:rsid w:val="008062D9"/>
    <w:rsid w:val="00806B06"/>
    <w:rsid w:val="008074F6"/>
    <w:rsid w:val="00807ABF"/>
    <w:rsid w:val="00807BF3"/>
    <w:rsid w:val="00807DE7"/>
    <w:rsid w:val="0081007D"/>
    <w:rsid w:val="00810199"/>
    <w:rsid w:val="008102EE"/>
    <w:rsid w:val="008104AD"/>
    <w:rsid w:val="00810919"/>
    <w:rsid w:val="00810AEA"/>
    <w:rsid w:val="00810C0C"/>
    <w:rsid w:val="008111E8"/>
    <w:rsid w:val="0081162C"/>
    <w:rsid w:val="00811D9D"/>
    <w:rsid w:val="00812342"/>
    <w:rsid w:val="0081270B"/>
    <w:rsid w:val="00812D7C"/>
    <w:rsid w:val="008138E3"/>
    <w:rsid w:val="00813923"/>
    <w:rsid w:val="00813CA0"/>
    <w:rsid w:val="00814267"/>
    <w:rsid w:val="00814749"/>
    <w:rsid w:val="0081502D"/>
    <w:rsid w:val="00815153"/>
    <w:rsid w:val="00815AA5"/>
    <w:rsid w:val="0081607A"/>
    <w:rsid w:val="0081611C"/>
    <w:rsid w:val="0081678B"/>
    <w:rsid w:val="0081698D"/>
    <w:rsid w:val="00816DFE"/>
    <w:rsid w:val="00817642"/>
    <w:rsid w:val="00817988"/>
    <w:rsid w:val="0082053B"/>
    <w:rsid w:val="00820A9B"/>
    <w:rsid w:val="00820BB9"/>
    <w:rsid w:val="00821197"/>
    <w:rsid w:val="008211DC"/>
    <w:rsid w:val="008216E6"/>
    <w:rsid w:val="008218D9"/>
    <w:rsid w:val="00821986"/>
    <w:rsid w:val="00822607"/>
    <w:rsid w:val="00822E66"/>
    <w:rsid w:val="00823895"/>
    <w:rsid w:val="00823B5E"/>
    <w:rsid w:val="00823BFE"/>
    <w:rsid w:val="00823D4B"/>
    <w:rsid w:val="008245A3"/>
    <w:rsid w:val="008247C9"/>
    <w:rsid w:val="008247D6"/>
    <w:rsid w:val="00824CFC"/>
    <w:rsid w:val="00825175"/>
    <w:rsid w:val="00825470"/>
    <w:rsid w:val="00825591"/>
    <w:rsid w:val="008255DC"/>
    <w:rsid w:val="0082622C"/>
    <w:rsid w:val="008264A0"/>
    <w:rsid w:val="008269CD"/>
    <w:rsid w:val="00826AAB"/>
    <w:rsid w:val="00827308"/>
    <w:rsid w:val="00827408"/>
    <w:rsid w:val="00827B69"/>
    <w:rsid w:val="00827DA4"/>
    <w:rsid w:val="00830420"/>
    <w:rsid w:val="0083049D"/>
    <w:rsid w:val="008305DA"/>
    <w:rsid w:val="0083062E"/>
    <w:rsid w:val="00830978"/>
    <w:rsid w:val="0083126C"/>
    <w:rsid w:val="00831681"/>
    <w:rsid w:val="008317F6"/>
    <w:rsid w:val="00831BC5"/>
    <w:rsid w:val="00831E76"/>
    <w:rsid w:val="00832392"/>
    <w:rsid w:val="008325DF"/>
    <w:rsid w:val="00832655"/>
    <w:rsid w:val="00832805"/>
    <w:rsid w:val="00832B31"/>
    <w:rsid w:val="00832F83"/>
    <w:rsid w:val="00833668"/>
    <w:rsid w:val="00833CD3"/>
    <w:rsid w:val="00833E37"/>
    <w:rsid w:val="0083418C"/>
    <w:rsid w:val="00834297"/>
    <w:rsid w:val="00834476"/>
    <w:rsid w:val="0083477B"/>
    <w:rsid w:val="00835087"/>
    <w:rsid w:val="00835103"/>
    <w:rsid w:val="008357D8"/>
    <w:rsid w:val="00836025"/>
    <w:rsid w:val="00836084"/>
    <w:rsid w:val="008362F8"/>
    <w:rsid w:val="00836D6B"/>
    <w:rsid w:val="00836E15"/>
    <w:rsid w:val="0083731D"/>
    <w:rsid w:val="0083736F"/>
    <w:rsid w:val="00837613"/>
    <w:rsid w:val="00837CC5"/>
    <w:rsid w:val="00837E14"/>
    <w:rsid w:val="008401B7"/>
    <w:rsid w:val="00840B18"/>
    <w:rsid w:val="00840B23"/>
    <w:rsid w:val="00840B26"/>
    <w:rsid w:val="00840E33"/>
    <w:rsid w:val="00840F3C"/>
    <w:rsid w:val="008411C3"/>
    <w:rsid w:val="008412C0"/>
    <w:rsid w:val="0084188D"/>
    <w:rsid w:val="00842376"/>
    <w:rsid w:val="00842E7B"/>
    <w:rsid w:val="00842ECF"/>
    <w:rsid w:val="00842EF6"/>
    <w:rsid w:val="00843154"/>
    <w:rsid w:val="00843417"/>
    <w:rsid w:val="00843613"/>
    <w:rsid w:val="00843740"/>
    <w:rsid w:val="00843A87"/>
    <w:rsid w:val="00843CC0"/>
    <w:rsid w:val="00843F4C"/>
    <w:rsid w:val="008441C9"/>
    <w:rsid w:val="008444DF"/>
    <w:rsid w:val="0084478A"/>
    <w:rsid w:val="0084485F"/>
    <w:rsid w:val="00844B07"/>
    <w:rsid w:val="00844C8C"/>
    <w:rsid w:val="00844F80"/>
    <w:rsid w:val="008459FD"/>
    <w:rsid w:val="00845DBA"/>
    <w:rsid w:val="00845FF9"/>
    <w:rsid w:val="00846EF2"/>
    <w:rsid w:val="00847107"/>
    <w:rsid w:val="00847330"/>
    <w:rsid w:val="00847529"/>
    <w:rsid w:val="008475C9"/>
    <w:rsid w:val="008476B0"/>
    <w:rsid w:val="00847721"/>
    <w:rsid w:val="00847ABF"/>
    <w:rsid w:val="00847E2F"/>
    <w:rsid w:val="008502D9"/>
    <w:rsid w:val="00850348"/>
    <w:rsid w:val="00850666"/>
    <w:rsid w:val="00851821"/>
    <w:rsid w:val="00851A54"/>
    <w:rsid w:val="00851B81"/>
    <w:rsid w:val="00852226"/>
    <w:rsid w:val="0085281D"/>
    <w:rsid w:val="00852A96"/>
    <w:rsid w:val="00853682"/>
    <w:rsid w:val="00853BA0"/>
    <w:rsid w:val="00853C63"/>
    <w:rsid w:val="00853F5E"/>
    <w:rsid w:val="00854026"/>
    <w:rsid w:val="00854118"/>
    <w:rsid w:val="00854688"/>
    <w:rsid w:val="008548DE"/>
    <w:rsid w:val="00854CF4"/>
    <w:rsid w:val="00854E39"/>
    <w:rsid w:val="008550A6"/>
    <w:rsid w:val="00855320"/>
    <w:rsid w:val="00855577"/>
    <w:rsid w:val="008555A9"/>
    <w:rsid w:val="008555DB"/>
    <w:rsid w:val="008556A3"/>
    <w:rsid w:val="00855959"/>
    <w:rsid w:val="008559B3"/>
    <w:rsid w:val="00855A1F"/>
    <w:rsid w:val="00855A83"/>
    <w:rsid w:val="00855ADE"/>
    <w:rsid w:val="00856437"/>
    <w:rsid w:val="00856524"/>
    <w:rsid w:val="0085663A"/>
    <w:rsid w:val="00856666"/>
    <w:rsid w:val="00856980"/>
    <w:rsid w:val="00856C88"/>
    <w:rsid w:val="00857142"/>
    <w:rsid w:val="008573C1"/>
    <w:rsid w:val="00857C97"/>
    <w:rsid w:val="008600AF"/>
    <w:rsid w:val="008602C3"/>
    <w:rsid w:val="008604CC"/>
    <w:rsid w:val="0086069A"/>
    <w:rsid w:val="00860B23"/>
    <w:rsid w:val="00860F7F"/>
    <w:rsid w:val="00861056"/>
    <w:rsid w:val="008615A0"/>
    <w:rsid w:val="0086176A"/>
    <w:rsid w:val="008619CF"/>
    <w:rsid w:val="00861A46"/>
    <w:rsid w:val="00861C11"/>
    <w:rsid w:val="00861DD7"/>
    <w:rsid w:val="00862030"/>
    <w:rsid w:val="00862417"/>
    <w:rsid w:val="00862598"/>
    <w:rsid w:val="00862855"/>
    <w:rsid w:val="00862BC0"/>
    <w:rsid w:val="0086318C"/>
    <w:rsid w:val="008632F4"/>
    <w:rsid w:val="008634D0"/>
    <w:rsid w:val="008634DB"/>
    <w:rsid w:val="00863781"/>
    <w:rsid w:val="008639C8"/>
    <w:rsid w:val="00863BC0"/>
    <w:rsid w:val="00863FF2"/>
    <w:rsid w:val="00864087"/>
    <w:rsid w:val="0086417B"/>
    <w:rsid w:val="0086433B"/>
    <w:rsid w:val="00864468"/>
    <w:rsid w:val="008645DD"/>
    <w:rsid w:val="00864632"/>
    <w:rsid w:val="00864A15"/>
    <w:rsid w:val="00864A62"/>
    <w:rsid w:val="00864E8C"/>
    <w:rsid w:val="00864F22"/>
    <w:rsid w:val="008651A4"/>
    <w:rsid w:val="00865A0B"/>
    <w:rsid w:val="00865D10"/>
    <w:rsid w:val="00865D11"/>
    <w:rsid w:val="00865D6D"/>
    <w:rsid w:val="00865E35"/>
    <w:rsid w:val="00865E87"/>
    <w:rsid w:val="00866C6C"/>
    <w:rsid w:val="00866D65"/>
    <w:rsid w:val="00866DCB"/>
    <w:rsid w:val="00866FDD"/>
    <w:rsid w:val="00866FFE"/>
    <w:rsid w:val="008670F4"/>
    <w:rsid w:val="00867248"/>
    <w:rsid w:val="00867839"/>
    <w:rsid w:val="008679C0"/>
    <w:rsid w:val="008679E2"/>
    <w:rsid w:val="00867A86"/>
    <w:rsid w:val="00867D32"/>
    <w:rsid w:val="00870052"/>
    <w:rsid w:val="00870063"/>
    <w:rsid w:val="008701BF"/>
    <w:rsid w:val="00870725"/>
    <w:rsid w:val="008707AC"/>
    <w:rsid w:val="00870AD0"/>
    <w:rsid w:val="00870DE9"/>
    <w:rsid w:val="00871024"/>
    <w:rsid w:val="00871344"/>
    <w:rsid w:val="0087141B"/>
    <w:rsid w:val="0087174B"/>
    <w:rsid w:val="0087177F"/>
    <w:rsid w:val="00871899"/>
    <w:rsid w:val="00871BFF"/>
    <w:rsid w:val="00872034"/>
    <w:rsid w:val="008725B5"/>
    <w:rsid w:val="0087376E"/>
    <w:rsid w:val="00873777"/>
    <w:rsid w:val="00873D0A"/>
    <w:rsid w:val="00873DC9"/>
    <w:rsid w:val="00873E9D"/>
    <w:rsid w:val="00873EBD"/>
    <w:rsid w:val="008741E8"/>
    <w:rsid w:val="00874C3A"/>
    <w:rsid w:val="00874E2F"/>
    <w:rsid w:val="0087507E"/>
    <w:rsid w:val="0087511B"/>
    <w:rsid w:val="00875510"/>
    <w:rsid w:val="00875C01"/>
    <w:rsid w:val="00875D9D"/>
    <w:rsid w:val="00876411"/>
    <w:rsid w:val="00876557"/>
    <w:rsid w:val="0087668E"/>
    <w:rsid w:val="008766D1"/>
    <w:rsid w:val="00876ECA"/>
    <w:rsid w:val="0087721C"/>
    <w:rsid w:val="0087750B"/>
    <w:rsid w:val="0087771B"/>
    <w:rsid w:val="00877C8A"/>
    <w:rsid w:val="00880411"/>
    <w:rsid w:val="008804B4"/>
    <w:rsid w:val="00880609"/>
    <w:rsid w:val="00880A6A"/>
    <w:rsid w:val="00880A93"/>
    <w:rsid w:val="00880B10"/>
    <w:rsid w:val="00880D80"/>
    <w:rsid w:val="00880D8D"/>
    <w:rsid w:val="00880F3E"/>
    <w:rsid w:val="008818A9"/>
    <w:rsid w:val="008818FE"/>
    <w:rsid w:val="00881A78"/>
    <w:rsid w:val="00881BC7"/>
    <w:rsid w:val="00881E54"/>
    <w:rsid w:val="0088203C"/>
    <w:rsid w:val="008822F6"/>
    <w:rsid w:val="00882634"/>
    <w:rsid w:val="00882998"/>
    <w:rsid w:val="00882CAA"/>
    <w:rsid w:val="0088304B"/>
    <w:rsid w:val="008830D8"/>
    <w:rsid w:val="00883180"/>
    <w:rsid w:val="0088329E"/>
    <w:rsid w:val="00883473"/>
    <w:rsid w:val="00883489"/>
    <w:rsid w:val="008835BA"/>
    <w:rsid w:val="008838FB"/>
    <w:rsid w:val="0088518C"/>
    <w:rsid w:val="0088585C"/>
    <w:rsid w:val="00885944"/>
    <w:rsid w:val="00885A61"/>
    <w:rsid w:val="00885C83"/>
    <w:rsid w:val="008860C7"/>
    <w:rsid w:val="0088611F"/>
    <w:rsid w:val="008861BA"/>
    <w:rsid w:val="00886225"/>
    <w:rsid w:val="00886681"/>
    <w:rsid w:val="008870DF"/>
    <w:rsid w:val="008875E1"/>
    <w:rsid w:val="0089024D"/>
    <w:rsid w:val="008902DA"/>
    <w:rsid w:val="008907F0"/>
    <w:rsid w:val="008909DA"/>
    <w:rsid w:val="00890F30"/>
    <w:rsid w:val="00891AA8"/>
    <w:rsid w:val="0089235A"/>
    <w:rsid w:val="008926DD"/>
    <w:rsid w:val="00892A24"/>
    <w:rsid w:val="00892C9C"/>
    <w:rsid w:val="00892C9F"/>
    <w:rsid w:val="00892CDE"/>
    <w:rsid w:val="00892E52"/>
    <w:rsid w:val="00892FBD"/>
    <w:rsid w:val="00893282"/>
    <w:rsid w:val="008936FC"/>
    <w:rsid w:val="00893A48"/>
    <w:rsid w:val="00893C90"/>
    <w:rsid w:val="00893FD0"/>
    <w:rsid w:val="008943E5"/>
    <w:rsid w:val="00894BB9"/>
    <w:rsid w:val="00894C9F"/>
    <w:rsid w:val="008957ED"/>
    <w:rsid w:val="0089681C"/>
    <w:rsid w:val="00896C16"/>
    <w:rsid w:val="00896F7D"/>
    <w:rsid w:val="00897751"/>
    <w:rsid w:val="00897802"/>
    <w:rsid w:val="00897B01"/>
    <w:rsid w:val="00897BC9"/>
    <w:rsid w:val="00897E18"/>
    <w:rsid w:val="00897F68"/>
    <w:rsid w:val="008A06D3"/>
    <w:rsid w:val="008A0842"/>
    <w:rsid w:val="008A0B6C"/>
    <w:rsid w:val="008A0F0B"/>
    <w:rsid w:val="008A0F2D"/>
    <w:rsid w:val="008A0FD8"/>
    <w:rsid w:val="008A10E4"/>
    <w:rsid w:val="008A1B85"/>
    <w:rsid w:val="008A1D94"/>
    <w:rsid w:val="008A2BD0"/>
    <w:rsid w:val="008A2CFB"/>
    <w:rsid w:val="008A2EF5"/>
    <w:rsid w:val="008A33DF"/>
    <w:rsid w:val="008A42CD"/>
    <w:rsid w:val="008A4686"/>
    <w:rsid w:val="008A5968"/>
    <w:rsid w:val="008A5A1F"/>
    <w:rsid w:val="008A62DC"/>
    <w:rsid w:val="008A65D8"/>
    <w:rsid w:val="008A68CD"/>
    <w:rsid w:val="008A6974"/>
    <w:rsid w:val="008A7494"/>
    <w:rsid w:val="008A7609"/>
    <w:rsid w:val="008A773C"/>
    <w:rsid w:val="008A780C"/>
    <w:rsid w:val="008A7B2F"/>
    <w:rsid w:val="008A7BC5"/>
    <w:rsid w:val="008B01AD"/>
    <w:rsid w:val="008B06E0"/>
    <w:rsid w:val="008B0745"/>
    <w:rsid w:val="008B0A65"/>
    <w:rsid w:val="008B0B2E"/>
    <w:rsid w:val="008B0C53"/>
    <w:rsid w:val="008B0DD6"/>
    <w:rsid w:val="008B0EE6"/>
    <w:rsid w:val="008B0FE6"/>
    <w:rsid w:val="008B1286"/>
    <w:rsid w:val="008B1895"/>
    <w:rsid w:val="008B195F"/>
    <w:rsid w:val="008B19BE"/>
    <w:rsid w:val="008B19D2"/>
    <w:rsid w:val="008B21E9"/>
    <w:rsid w:val="008B2678"/>
    <w:rsid w:val="008B33CE"/>
    <w:rsid w:val="008B36B6"/>
    <w:rsid w:val="008B4216"/>
    <w:rsid w:val="008B425A"/>
    <w:rsid w:val="008B4727"/>
    <w:rsid w:val="008B48CE"/>
    <w:rsid w:val="008B4C6D"/>
    <w:rsid w:val="008B4CD8"/>
    <w:rsid w:val="008B4FD3"/>
    <w:rsid w:val="008B52E5"/>
    <w:rsid w:val="008B52EF"/>
    <w:rsid w:val="008B5313"/>
    <w:rsid w:val="008B5813"/>
    <w:rsid w:val="008B5A92"/>
    <w:rsid w:val="008B5C1C"/>
    <w:rsid w:val="008B622E"/>
    <w:rsid w:val="008B627D"/>
    <w:rsid w:val="008B6925"/>
    <w:rsid w:val="008B6AA7"/>
    <w:rsid w:val="008B6BD1"/>
    <w:rsid w:val="008B6C00"/>
    <w:rsid w:val="008B6DD3"/>
    <w:rsid w:val="008B7857"/>
    <w:rsid w:val="008B7A8E"/>
    <w:rsid w:val="008B7FCD"/>
    <w:rsid w:val="008C0326"/>
    <w:rsid w:val="008C0554"/>
    <w:rsid w:val="008C0AD1"/>
    <w:rsid w:val="008C0CAA"/>
    <w:rsid w:val="008C0DC4"/>
    <w:rsid w:val="008C12CF"/>
    <w:rsid w:val="008C1A43"/>
    <w:rsid w:val="008C206B"/>
    <w:rsid w:val="008C21D2"/>
    <w:rsid w:val="008C2A0E"/>
    <w:rsid w:val="008C2C59"/>
    <w:rsid w:val="008C2D67"/>
    <w:rsid w:val="008C2FA2"/>
    <w:rsid w:val="008C33E1"/>
    <w:rsid w:val="008C342C"/>
    <w:rsid w:val="008C39C7"/>
    <w:rsid w:val="008C3A16"/>
    <w:rsid w:val="008C3CAF"/>
    <w:rsid w:val="008C42EC"/>
    <w:rsid w:val="008C4418"/>
    <w:rsid w:val="008C4704"/>
    <w:rsid w:val="008C4949"/>
    <w:rsid w:val="008C4C7E"/>
    <w:rsid w:val="008C4D37"/>
    <w:rsid w:val="008C5118"/>
    <w:rsid w:val="008C51DA"/>
    <w:rsid w:val="008C54A3"/>
    <w:rsid w:val="008C572E"/>
    <w:rsid w:val="008C5A96"/>
    <w:rsid w:val="008C5DA0"/>
    <w:rsid w:val="008C604A"/>
    <w:rsid w:val="008C6295"/>
    <w:rsid w:val="008C62F0"/>
    <w:rsid w:val="008C63A6"/>
    <w:rsid w:val="008C64EE"/>
    <w:rsid w:val="008C65DB"/>
    <w:rsid w:val="008C6656"/>
    <w:rsid w:val="008C686C"/>
    <w:rsid w:val="008C68E0"/>
    <w:rsid w:val="008C6959"/>
    <w:rsid w:val="008C7023"/>
    <w:rsid w:val="008C71A2"/>
    <w:rsid w:val="008C7220"/>
    <w:rsid w:val="008C775F"/>
    <w:rsid w:val="008C7918"/>
    <w:rsid w:val="008C7A13"/>
    <w:rsid w:val="008D0611"/>
    <w:rsid w:val="008D0650"/>
    <w:rsid w:val="008D0EBE"/>
    <w:rsid w:val="008D0ED7"/>
    <w:rsid w:val="008D1220"/>
    <w:rsid w:val="008D16BF"/>
    <w:rsid w:val="008D1AAA"/>
    <w:rsid w:val="008D22BD"/>
    <w:rsid w:val="008D2585"/>
    <w:rsid w:val="008D267E"/>
    <w:rsid w:val="008D26CC"/>
    <w:rsid w:val="008D2ED8"/>
    <w:rsid w:val="008D2FFF"/>
    <w:rsid w:val="008D3160"/>
    <w:rsid w:val="008D3E49"/>
    <w:rsid w:val="008D400A"/>
    <w:rsid w:val="008D4505"/>
    <w:rsid w:val="008D45A5"/>
    <w:rsid w:val="008D47FE"/>
    <w:rsid w:val="008D4E62"/>
    <w:rsid w:val="008D4E95"/>
    <w:rsid w:val="008D5486"/>
    <w:rsid w:val="008D59CD"/>
    <w:rsid w:val="008D5CD0"/>
    <w:rsid w:val="008D6362"/>
    <w:rsid w:val="008D63DC"/>
    <w:rsid w:val="008D648F"/>
    <w:rsid w:val="008D64C0"/>
    <w:rsid w:val="008D672B"/>
    <w:rsid w:val="008D692D"/>
    <w:rsid w:val="008D6C32"/>
    <w:rsid w:val="008D6D70"/>
    <w:rsid w:val="008D6E3F"/>
    <w:rsid w:val="008D6F97"/>
    <w:rsid w:val="008D73DA"/>
    <w:rsid w:val="008D772C"/>
    <w:rsid w:val="008D7B87"/>
    <w:rsid w:val="008D7FCD"/>
    <w:rsid w:val="008E0429"/>
    <w:rsid w:val="008E0691"/>
    <w:rsid w:val="008E1526"/>
    <w:rsid w:val="008E16D4"/>
    <w:rsid w:val="008E176E"/>
    <w:rsid w:val="008E1C76"/>
    <w:rsid w:val="008E1F87"/>
    <w:rsid w:val="008E2744"/>
    <w:rsid w:val="008E27D0"/>
    <w:rsid w:val="008E28C2"/>
    <w:rsid w:val="008E296B"/>
    <w:rsid w:val="008E2AAE"/>
    <w:rsid w:val="008E2FB4"/>
    <w:rsid w:val="008E3047"/>
    <w:rsid w:val="008E3461"/>
    <w:rsid w:val="008E36E4"/>
    <w:rsid w:val="008E3815"/>
    <w:rsid w:val="008E39A4"/>
    <w:rsid w:val="008E3D45"/>
    <w:rsid w:val="008E3F17"/>
    <w:rsid w:val="008E436C"/>
    <w:rsid w:val="008E4922"/>
    <w:rsid w:val="008E566A"/>
    <w:rsid w:val="008E5937"/>
    <w:rsid w:val="008E59B2"/>
    <w:rsid w:val="008E59CA"/>
    <w:rsid w:val="008E5D69"/>
    <w:rsid w:val="008E5F15"/>
    <w:rsid w:val="008E5F5A"/>
    <w:rsid w:val="008E618D"/>
    <w:rsid w:val="008E620D"/>
    <w:rsid w:val="008E66EE"/>
    <w:rsid w:val="008E6980"/>
    <w:rsid w:val="008E6B52"/>
    <w:rsid w:val="008E7026"/>
    <w:rsid w:val="008E7152"/>
    <w:rsid w:val="008E73E4"/>
    <w:rsid w:val="008E748D"/>
    <w:rsid w:val="008E7683"/>
    <w:rsid w:val="008E77BE"/>
    <w:rsid w:val="008E7839"/>
    <w:rsid w:val="008E7EC7"/>
    <w:rsid w:val="008F0720"/>
    <w:rsid w:val="008F0B17"/>
    <w:rsid w:val="008F0DD4"/>
    <w:rsid w:val="008F0E69"/>
    <w:rsid w:val="008F182E"/>
    <w:rsid w:val="008F1A95"/>
    <w:rsid w:val="008F1DDC"/>
    <w:rsid w:val="008F2516"/>
    <w:rsid w:val="008F25DF"/>
    <w:rsid w:val="008F2615"/>
    <w:rsid w:val="008F32A9"/>
    <w:rsid w:val="008F3909"/>
    <w:rsid w:val="008F3C40"/>
    <w:rsid w:val="008F459B"/>
    <w:rsid w:val="008F4979"/>
    <w:rsid w:val="008F4C8B"/>
    <w:rsid w:val="008F4CDC"/>
    <w:rsid w:val="008F4D06"/>
    <w:rsid w:val="008F5464"/>
    <w:rsid w:val="008F5AB4"/>
    <w:rsid w:val="008F5AEB"/>
    <w:rsid w:val="008F5F61"/>
    <w:rsid w:val="008F63BB"/>
    <w:rsid w:val="008F681E"/>
    <w:rsid w:val="008F6964"/>
    <w:rsid w:val="008F6C1E"/>
    <w:rsid w:val="008F7671"/>
    <w:rsid w:val="008F7B62"/>
    <w:rsid w:val="008F7B7E"/>
    <w:rsid w:val="008F7C3C"/>
    <w:rsid w:val="00900096"/>
    <w:rsid w:val="0090010B"/>
    <w:rsid w:val="0090060F"/>
    <w:rsid w:val="009009AD"/>
    <w:rsid w:val="009009C1"/>
    <w:rsid w:val="00900C2F"/>
    <w:rsid w:val="00900E78"/>
    <w:rsid w:val="0090117D"/>
    <w:rsid w:val="009013F8"/>
    <w:rsid w:val="0090158C"/>
    <w:rsid w:val="009016EC"/>
    <w:rsid w:val="0090174F"/>
    <w:rsid w:val="0090184D"/>
    <w:rsid w:val="00901FE3"/>
    <w:rsid w:val="00901FF8"/>
    <w:rsid w:val="009029AD"/>
    <w:rsid w:val="0090387E"/>
    <w:rsid w:val="00903E76"/>
    <w:rsid w:val="009045DE"/>
    <w:rsid w:val="00905308"/>
    <w:rsid w:val="009053D9"/>
    <w:rsid w:val="00905481"/>
    <w:rsid w:val="009055EF"/>
    <w:rsid w:val="009056A1"/>
    <w:rsid w:val="00905797"/>
    <w:rsid w:val="00905B80"/>
    <w:rsid w:val="00905B8A"/>
    <w:rsid w:val="00905E7B"/>
    <w:rsid w:val="0090764F"/>
    <w:rsid w:val="0090768D"/>
    <w:rsid w:val="00907979"/>
    <w:rsid w:val="00907D0F"/>
    <w:rsid w:val="0091111F"/>
    <w:rsid w:val="00912473"/>
    <w:rsid w:val="009125C9"/>
    <w:rsid w:val="00912B9E"/>
    <w:rsid w:val="00913059"/>
    <w:rsid w:val="00913199"/>
    <w:rsid w:val="009136B0"/>
    <w:rsid w:val="00913E46"/>
    <w:rsid w:val="00913E8A"/>
    <w:rsid w:val="00913F8B"/>
    <w:rsid w:val="00914166"/>
    <w:rsid w:val="009146F7"/>
    <w:rsid w:val="00914D4F"/>
    <w:rsid w:val="00914E5E"/>
    <w:rsid w:val="009156F8"/>
    <w:rsid w:val="00915B67"/>
    <w:rsid w:val="00915E8A"/>
    <w:rsid w:val="00915F2A"/>
    <w:rsid w:val="0091667B"/>
    <w:rsid w:val="00916976"/>
    <w:rsid w:val="009169D3"/>
    <w:rsid w:val="00916B1B"/>
    <w:rsid w:val="00916F62"/>
    <w:rsid w:val="009171C8"/>
    <w:rsid w:val="00917284"/>
    <w:rsid w:val="0091740B"/>
    <w:rsid w:val="009179BD"/>
    <w:rsid w:val="00917CFB"/>
    <w:rsid w:val="00917F23"/>
    <w:rsid w:val="009205EF"/>
    <w:rsid w:val="00920D78"/>
    <w:rsid w:val="00920EE3"/>
    <w:rsid w:val="00920EF2"/>
    <w:rsid w:val="0092105A"/>
    <w:rsid w:val="009211D7"/>
    <w:rsid w:val="0092126E"/>
    <w:rsid w:val="009213C6"/>
    <w:rsid w:val="0092146A"/>
    <w:rsid w:val="00921CE2"/>
    <w:rsid w:val="00921DE1"/>
    <w:rsid w:val="00921E86"/>
    <w:rsid w:val="00921FDD"/>
    <w:rsid w:val="00922155"/>
    <w:rsid w:val="0092224A"/>
    <w:rsid w:val="00922A90"/>
    <w:rsid w:val="0092326B"/>
    <w:rsid w:val="009243B7"/>
    <w:rsid w:val="009250DA"/>
    <w:rsid w:val="00925CA3"/>
    <w:rsid w:val="0092610A"/>
    <w:rsid w:val="009262B0"/>
    <w:rsid w:val="009263E8"/>
    <w:rsid w:val="009265C1"/>
    <w:rsid w:val="00926DEF"/>
    <w:rsid w:val="009274D9"/>
    <w:rsid w:val="00927A3C"/>
    <w:rsid w:val="00930208"/>
    <w:rsid w:val="0093047E"/>
    <w:rsid w:val="0093058A"/>
    <w:rsid w:val="00930D52"/>
    <w:rsid w:val="00930FC2"/>
    <w:rsid w:val="00931073"/>
    <w:rsid w:val="00931418"/>
    <w:rsid w:val="00931599"/>
    <w:rsid w:val="00931722"/>
    <w:rsid w:val="009318FC"/>
    <w:rsid w:val="009319AA"/>
    <w:rsid w:val="00931C21"/>
    <w:rsid w:val="00931F90"/>
    <w:rsid w:val="009323B8"/>
    <w:rsid w:val="00932462"/>
    <w:rsid w:val="009324AD"/>
    <w:rsid w:val="00932D8E"/>
    <w:rsid w:val="00932F79"/>
    <w:rsid w:val="00932F91"/>
    <w:rsid w:val="00933493"/>
    <w:rsid w:val="009334CF"/>
    <w:rsid w:val="00933C75"/>
    <w:rsid w:val="00933DBC"/>
    <w:rsid w:val="0093472E"/>
    <w:rsid w:val="00934CAB"/>
    <w:rsid w:val="00934CBE"/>
    <w:rsid w:val="00935057"/>
    <w:rsid w:val="00935989"/>
    <w:rsid w:val="00935EEF"/>
    <w:rsid w:val="00935F26"/>
    <w:rsid w:val="0093638A"/>
    <w:rsid w:val="00936435"/>
    <w:rsid w:val="00936C6B"/>
    <w:rsid w:val="00937569"/>
    <w:rsid w:val="009375B7"/>
    <w:rsid w:val="009378A1"/>
    <w:rsid w:val="009378FF"/>
    <w:rsid w:val="009379DD"/>
    <w:rsid w:val="00937A12"/>
    <w:rsid w:val="00937B34"/>
    <w:rsid w:val="00937D16"/>
    <w:rsid w:val="009404B2"/>
    <w:rsid w:val="009406E5"/>
    <w:rsid w:val="00940EB1"/>
    <w:rsid w:val="00941274"/>
    <w:rsid w:val="0094161C"/>
    <w:rsid w:val="00941EC4"/>
    <w:rsid w:val="009427A4"/>
    <w:rsid w:val="009428A5"/>
    <w:rsid w:val="009429C7"/>
    <w:rsid w:val="00942B2C"/>
    <w:rsid w:val="00942C60"/>
    <w:rsid w:val="009434B0"/>
    <w:rsid w:val="00943E6B"/>
    <w:rsid w:val="00944304"/>
    <w:rsid w:val="009443E5"/>
    <w:rsid w:val="009446AC"/>
    <w:rsid w:val="00944882"/>
    <w:rsid w:val="00944AF2"/>
    <w:rsid w:val="00944C51"/>
    <w:rsid w:val="00944ED1"/>
    <w:rsid w:val="009450FD"/>
    <w:rsid w:val="0094514C"/>
    <w:rsid w:val="009455D5"/>
    <w:rsid w:val="00946960"/>
    <w:rsid w:val="00946A57"/>
    <w:rsid w:val="00946A8D"/>
    <w:rsid w:val="00946BC4"/>
    <w:rsid w:val="00946EFA"/>
    <w:rsid w:val="00946F19"/>
    <w:rsid w:val="00947C5C"/>
    <w:rsid w:val="00947DFF"/>
    <w:rsid w:val="00947F11"/>
    <w:rsid w:val="009500BF"/>
    <w:rsid w:val="00950193"/>
    <w:rsid w:val="0095033F"/>
    <w:rsid w:val="00950543"/>
    <w:rsid w:val="009507F2"/>
    <w:rsid w:val="00950B8F"/>
    <w:rsid w:val="00950F37"/>
    <w:rsid w:val="00950FDE"/>
    <w:rsid w:val="0095101D"/>
    <w:rsid w:val="00951824"/>
    <w:rsid w:val="00951C4B"/>
    <w:rsid w:val="00951D5E"/>
    <w:rsid w:val="009522A6"/>
    <w:rsid w:val="009526CF"/>
    <w:rsid w:val="00952FD8"/>
    <w:rsid w:val="00953028"/>
    <w:rsid w:val="0095345F"/>
    <w:rsid w:val="00953736"/>
    <w:rsid w:val="009539EB"/>
    <w:rsid w:val="00953C49"/>
    <w:rsid w:val="00953CD1"/>
    <w:rsid w:val="00953F79"/>
    <w:rsid w:val="009546F2"/>
    <w:rsid w:val="00954DA7"/>
    <w:rsid w:val="00954E13"/>
    <w:rsid w:val="00955018"/>
    <w:rsid w:val="009550A4"/>
    <w:rsid w:val="0095512D"/>
    <w:rsid w:val="00955322"/>
    <w:rsid w:val="00955426"/>
    <w:rsid w:val="00955B8A"/>
    <w:rsid w:val="00955BEE"/>
    <w:rsid w:val="009560A5"/>
    <w:rsid w:val="009564C6"/>
    <w:rsid w:val="009566F7"/>
    <w:rsid w:val="0095672A"/>
    <w:rsid w:val="0095689C"/>
    <w:rsid w:val="00956B50"/>
    <w:rsid w:val="009572DB"/>
    <w:rsid w:val="009577D9"/>
    <w:rsid w:val="00957B2D"/>
    <w:rsid w:val="00960AC9"/>
    <w:rsid w:val="00961153"/>
    <w:rsid w:val="0096141A"/>
    <w:rsid w:val="00961B57"/>
    <w:rsid w:val="00961C2A"/>
    <w:rsid w:val="00962128"/>
    <w:rsid w:val="0096234B"/>
    <w:rsid w:val="009628B0"/>
    <w:rsid w:val="00962902"/>
    <w:rsid w:val="00962C27"/>
    <w:rsid w:val="00962F42"/>
    <w:rsid w:val="0096378D"/>
    <w:rsid w:val="00963BB6"/>
    <w:rsid w:val="00963D9B"/>
    <w:rsid w:val="00963EA4"/>
    <w:rsid w:val="00963EBB"/>
    <w:rsid w:val="00963FC5"/>
    <w:rsid w:val="0096443B"/>
    <w:rsid w:val="00964467"/>
    <w:rsid w:val="00964666"/>
    <w:rsid w:val="009646BD"/>
    <w:rsid w:val="009648F5"/>
    <w:rsid w:val="00964AA7"/>
    <w:rsid w:val="00964FDB"/>
    <w:rsid w:val="00965182"/>
    <w:rsid w:val="009654C0"/>
    <w:rsid w:val="0096574C"/>
    <w:rsid w:val="00966468"/>
    <w:rsid w:val="00966539"/>
    <w:rsid w:val="00966AD5"/>
    <w:rsid w:val="00966EEF"/>
    <w:rsid w:val="009674C0"/>
    <w:rsid w:val="0096768B"/>
    <w:rsid w:val="0096774C"/>
    <w:rsid w:val="009678DB"/>
    <w:rsid w:val="00967980"/>
    <w:rsid w:val="00967C2F"/>
    <w:rsid w:val="00970AFC"/>
    <w:rsid w:val="00970C34"/>
    <w:rsid w:val="00970EAC"/>
    <w:rsid w:val="0097101E"/>
    <w:rsid w:val="009712F2"/>
    <w:rsid w:val="0097145B"/>
    <w:rsid w:val="0097169F"/>
    <w:rsid w:val="0097189D"/>
    <w:rsid w:val="009719B3"/>
    <w:rsid w:val="00971B66"/>
    <w:rsid w:val="00971D2B"/>
    <w:rsid w:val="00972353"/>
    <w:rsid w:val="009724DD"/>
    <w:rsid w:val="0097252D"/>
    <w:rsid w:val="0097261B"/>
    <w:rsid w:val="00972658"/>
    <w:rsid w:val="00972706"/>
    <w:rsid w:val="00972757"/>
    <w:rsid w:val="00972BDC"/>
    <w:rsid w:val="00973112"/>
    <w:rsid w:val="009731FB"/>
    <w:rsid w:val="0097341A"/>
    <w:rsid w:val="009736B0"/>
    <w:rsid w:val="00973792"/>
    <w:rsid w:val="009738C6"/>
    <w:rsid w:val="0097394E"/>
    <w:rsid w:val="00973A8A"/>
    <w:rsid w:val="00973B06"/>
    <w:rsid w:val="00973CD1"/>
    <w:rsid w:val="0097403E"/>
    <w:rsid w:val="00974E12"/>
    <w:rsid w:val="00974E13"/>
    <w:rsid w:val="00974F73"/>
    <w:rsid w:val="009755E8"/>
    <w:rsid w:val="0097578B"/>
    <w:rsid w:val="00975A31"/>
    <w:rsid w:val="00975AC3"/>
    <w:rsid w:val="00975B3B"/>
    <w:rsid w:val="00975B69"/>
    <w:rsid w:val="00975CB0"/>
    <w:rsid w:val="009761B7"/>
    <w:rsid w:val="00976497"/>
    <w:rsid w:val="00976D43"/>
    <w:rsid w:val="00977112"/>
    <w:rsid w:val="00977C65"/>
    <w:rsid w:val="00980054"/>
    <w:rsid w:val="0098040F"/>
    <w:rsid w:val="009807F1"/>
    <w:rsid w:val="00980A45"/>
    <w:rsid w:val="009812FA"/>
    <w:rsid w:val="009817CC"/>
    <w:rsid w:val="0098190F"/>
    <w:rsid w:val="009822A8"/>
    <w:rsid w:val="00982320"/>
    <w:rsid w:val="009829D2"/>
    <w:rsid w:val="009829EB"/>
    <w:rsid w:val="00982D64"/>
    <w:rsid w:val="00982F31"/>
    <w:rsid w:val="00982FAB"/>
    <w:rsid w:val="009832A1"/>
    <w:rsid w:val="009839A8"/>
    <w:rsid w:val="00983DD3"/>
    <w:rsid w:val="00983F71"/>
    <w:rsid w:val="00983FBD"/>
    <w:rsid w:val="00984780"/>
    <w:rsid w:val="00984CA1"/>
    <w:rsid w:val="00984E71"/>
    <w:rsid w:val="00984E98"/>
    <w:rsid w:val="009850C5"/>
    <w:rsid w:val="009858D4"/>
    <w:rsid w:val="00985E37"/>
    <w:rsid w:val="009862FE"/>
    <w:rsid w:val="00986402"/>
    <w:rsid w:val="00986E10"/>
    <w:rsid w:val="009874F6"/>
    <w:rsid w:val="0098762D"/>
    <w:rsid w:val="00987803"/>
    <w:rsid w:val="00987BB3"/>
    <w:rsid w:val="00987D20"/>
    <w:rsid w:val="00987D2A"/>
    <w:rsid w:val="00987DC0"/>
    <w:rsid w:val="00987F24"/>
    <w:rsid w:val="00987F57"/>
    <w:rsid w:val="00990577"/>
    <w:rsid w:val="00990973"/>
    <w:rsid w:val="009909DD"/>
    <w:rsid w:val="009909EE"/>
    <w:rsid w:val="00990EE4"/>
    <w:rsid w:val="009911B9"/>
    <w:rsid w:val="00991A92"/>
    <w:rsid w:val="00991C63"/>
    <w:rsid w:val="00991D8C"/>
    <w:rsid w:val="00991DDC"/>
    <w:rsid w:val="00992178"/>
    <w:rsid w:val="009930B7"/>
    <w:rsid w:val="009933B8"/>
    <w:rsid w:val="00993834"/>
    <w:rsid w:val="009939DD"/>
    <w:rsid w:val="00993C32"/>
    <w:rsid w:val="009941BE"/>
    <w:rsid w:val="00994243"/>
    <w:rsid w:val="009945F0"/>
    <w:rsid w:val="00994932"/>
    <w:rsid w:val="00994EF5"/>
    <w:rsid w:val="009950CD"/>
    <w:rsid w:val="0099517D"/>
    <w:rsid w:val="00995330"/>
    <w:rsid w:val="009954D9"/>
    <w:rsid w:val="00995C7E"/>
    <w:rsid w:val="00995EA3"/>
    <w:rsid w:val="009963BC"/>
    <w:rsid w:val="0099697C"/>
    <w:rsid w:val="00996B6F"/>
    <w:rsid w:val="00996CD3"/>
    <w:rsid w:val="00996F66"/>
    <w:rsid w:val="00997138"/>
    <w:rsid w:val="009972ED"/>
    <w:rsid w:val="009975D6"/>
    <w:rsid w:val="0099762C"/>
    <w:rsid w:val="00997974"/>
    <w:rsid w:val="00997E96"/>
    <w:rsid w:val="009A0173"/>
    <w:rsid w:val="009A072D"/>
    <w:rsid w:val="009A103C"/>
    <w:rsid w:val="009A1289"/>
    <w:rsid w:val="009A26FB"/>
    <w:rsid w:val="009A2CF7"/>
    <w:rsid w:val="009A2EA4"/>
    <w:rsid w:val="009A2F04"/>
    <w:rsid w:val="009A3017"/>
    <w:rsid w:val="009A310A"/>
    <w:rsid w:val="009A35F8"/>
    <w:rsid w:val="009A3C8E"/>
    <w:rsid w:val="009A3CD8"/>
    <w:rsid w:val="009A471B"/>
    <w:rsid w:val="009A4F3A"/>
    <w:rsid w:val="009A4FE3"/>
    <w:rsid w:val="009A54AC"/>
    <w:rsid w:val="009A58F1"/>
    <w:rsid w:val="009A59A9"/>
    <w:rsid w:val="009A5A00"/>
    <w:rsid w:val="009A63F8"/>
    <w:rsid w:val="009A6E4A"/>
    <w:rsid w:val="009A7286"/>
    <w:rsid w:val="009A72C7"/>
    <w:rsid w:val="009A74F5"/>
    <w:rsid w:val="009A76D9"/>
    <w:rsid w:val="009A7779"/>
    <w:rsid w:val="009A7AF1"/>
    <w:rsid w:val="009A7C23"/>
    <w:rsid w:val="009A7F8F"/>
    <w:rsid w:val="009B0169"/>
    <w:rsid w:val="009B057F"/>
    <w:rsid w:val="009B06E4"/>
    <w:rsid w:val="009B0B61"/>
    <w:rsid w:val="009B0BB7"/>
    <w:rsid w:val="009B10CC"/>
    <w:rsid w:val="009B1687"/>
    <w:rsid w:val="009B1F73"/>
    <w:rsid w:val="009B2420"/>
    <w:rsid w:val="009B2EBA"/>
    <w:rsid w:val="009B2F9F"/>
    <w:rsid w:val="009B3141"/>
    <w:rsid w:val="009B34F0"/>
    <w:rsid w:val="009B3862"/>
    <w:rsid w:val="009B389F"/>
    <w:rsid w:val="009B396A"/>
    <w:rsid w:val="009B3B9C"/>
    <w:rsid w:val="009B3D05"/>
    <w:rsid w:val="009B4A99"/>
    <w:rsid w:val="009B4C52"/>
    <w:rsid w:val="009B4DE4"/>
    <w:rsid w:val="009B50EA"/>
    <w:rsid w:val="009B54B0"/>
    <w:rsid w:val="009B5790"/>
    <w:rsid w:val="009B5822"/>
    <w:rsid w:val="009B5A58"/>
    <w:rsid w:val="009B5C3B"/>
    <w:rsid w:val="009B5E78"/>
    <w:rsid w:val="009B61F9"/>
    <w:rsid w:val="009B6672"/>
    <w:rsid w:val="009B7044"/>
    <w:rsid w:val="009B71B3"/>
    <w:rsid w:val="009B758C"/>
    <w:rsid w:val="009B7765"/>
    <w:rsid w:val="009B777E"/>
    <w:rsid w:val="009B784C"/>
    <w:rsid w:val="009B7AB3"/>
    <w:rsid w:val="009B7BD7"/>
    <w:rsid w:val="009B7CB3"/>
    <w:rsid w:val="009B7D6D"/>
    <w:rsid w:val="009C0608"/>
    <w:rsid w:val="009C0811"/>
    <w:rsid w:val="009C0B35"/>
    <w:rsid w:val="009C14D3"/>
    <w:rsid w:val="009C17DD"/>
    <w:rsid w:val="009C1C7D"/>
    <w:rsid w:val="009C1D69"/>
    <w:rsid w:val="009C1EB8"/>
    <w:rsid w:val="009C1F68"/>
    <w:rsid w:val="009C1FAA"/>
    <w:rsid w:val="009C1FEB"/>
    <w:rsid w:val="009C2010"/>
    <w:rsid w:val="009C204B"/>
    <w:rsid w:val="009C22EC"/>
    <w:rsid w:val="009C3359"/>
    <w:rsid w:val="009C33A4"/>
    <w:rsid w:val="009C3450"/>
    <w:rsid w:val="009C3A8C"/>
    <w:rsid w:val="009C3E4E"/>
    <w:rsid w:val="009C3F29"/>
    <w:rsid w:val="009C424E"/>
    <w:rsid w:val="009C4519"/>
    <w:rsid w:val="009C4629"/>
    <w:rsid w:val="009C4937"/>
    <w:rsid w:val="009C4F62"/>
    <w:rsid w:val="009C5389"/>
    <w:rsid w:val="009C5457"/>
    <w:rsid w:val="009C5546"/>
    <w:rsid w:val="009C55D7"/>
    <w:rsid w:val="009C5BA7"/>
    <w:rsid w:val="009C63DB"/>
    <w:rsid w:val="009C6566"/>
    <w:rsid w:val="009C659D"/>
    <w:rsid w:val="009C6812"/>
    <w:rsid w:val="009C691C"/>
    <w:rsid w:val="009C6F6E"/>
    <w:rsid w:val="009C742F"/>
    <w:rsid w:val="009C75F9"/>
    <w:rsid w:val="009C7872"/>
    <w:rsid w:val="009C79E8"/>
    <w:rsid w:val="009C7BF4"/>
    <w:rsid w:val="009D01EF"/>
    <w:rsid w:val="009D0238"/>
    <w:rsid w:val="009D03A9"/>
    <w:rsid w:val="009D0573"/>
    <w:rsid w:val="009D059A"/>
    <w:rsid w:val="009D0781"/>
    <w:rsid w:val="009D0D65"/>
    <w:rsid w:val="009D0E43"/>
    <w:rsid w:val="009D0E4B"/>
    <w:rsid w:val="009D0E85"/>
    <w:rsid w:val="009D151B"/>
    <w:rsid w:val="009D19B2"/>
    <w:rsid w:val="009D1C3B"/>
    <w:rsid w:val="009D1D29"/>
    <w:rsid w:val="009D1E10"/>
    <w:rsid w:val="009D1FAD"/>
    <w:rsid w:val="009D24CE"/>
    <w:rsid w:val="009D2B85"/>
    <w:rsid w:val="009D2CF3"/>
    <w:rsid w:val="009D2DB3"/>
    <w:rsid w:val="009D30D4"/>
    <w:rsid w:val="009D3237"/>
    <w:rsid w:val="009D3564"/>
    <w:rsid w:val="009D36B8"/>
    <w:rsid w:val="009D3AD3"/>
    <w:rsid w:val="009D4756"/>
    <w:rsid w:val="009D4E18"/>
    <w:rsid w:val="009D4EE9"/>
    <w:rsid w:val="009D535D"/>
    <w:rsid w:val="009D5409"/>
    <w:rsid w:val="009D56C5"/>
    <w:rsid w:val="009D5796"/>
    <w:rsid w:val="009D59CB"/>
    <w:rsid w:val="009D5B0A"/>
    <w:rsid w:val="009D5EAD"/>
    <w:rsid w:val="009D5FE8"/>
    <w:rsid w:val="009D6135"/>
    <w:rsid w:val="009D6D03"/>
    <w:rsid w:val="009D6E24"/>
    <w:rsid w:val="009D6F9D"/>
    <w:rsid w:val="009D7107"/>
    <w:rsid w:val="009D725B"/>
    <w:rsid w:val="009D7345"/>
    <w:rsid w:val="009E022A"/>
    <w:rsid w:val="009E0260"/>
    <w:rsid w:val="009E0306"/>
    <w:rsid w:val="009E0D90"/>
    <w:rsid w:val="009E0DBE"/>
    <w:rsid w:val="009E0F2C"/>
    <w:rsid w:val="009E1347"/>
    <w:rsid w:val="009E158F"/>
    <w:rsid w:val="009E1973"/>
    <w:rsid w:val="009E1A45"/>
    <w:rsid w:val="009E1FD2"/>
    <w:rsid w:val="009E28D9"/>
    <w:rsid w:val="009E31C5"/>
    <w:rsid w:val="009E338D"/>
    <w:rsid w:val="009E33F9"/>
    <w:rsid w:val="009E34BF"/>
    <w:rsid w:val="009E3591"/>
    <w:rsid w:val="009E40A0"/>
    <w:rsid w:val="009E4232"/>
    <w:rsid w:val="009E4466"/>
    <w:rsid w:val="009E4C19"/>
    <w:rsid w:val="009E4E77"/>
    <w:rsid w:val="009E4FB5"/>
    <w:rsid w:val="009E556F"/>
    <w:rsid w:val="009E55D8"/>
    <w:rsid w:val="009E5EDF"/>
    <w:rsid w:val="009E6A9E"/>
    <w:rsid w:val="009E7807"/>
    <w:rsid w:val="009E7D1E"/>
    <w:rsid w:val="009E7ED7"/>
    <w:rsid w:val="009E7F83"/>
    <w:rsid w:val="009F0269"/>
    <w:rsid w:val="009F0386"/>
    <w:rsid w:val="009F04CB"/>
    <w:rsid w:val="009F0EC4"/>
    <w:rsid w:val="009F0F0F"/>
    <w:rsid w:val="009F128B"/>
    <w:rsid w:val="009F1487"/>
    <w:rsid w:val="009F2247"/>
    <w:rsid w:val="009F2607"/>
    <w:rsid w:val="009F26D9"/>
    <w:rsid w:val="009F280C"/>
    <w:rsid w:val="009F2A61"/>
    <w:rsid w:val="009F2AB7"/>
    <w:rsid w:val="009F2E3A"/>
    <w:rsid w:val="009F2F60"/>
    <w:rsid w:val="009F2FD5"/>
    <w:rsid w:val="009F3360"/>
    <w:rsid w:val="009F3793"/>
    <w:rsid w:val="009F3B5D"/>
    <w:rsid w:val="009F4115"/>
    <w:rsid w:val="009F4553"/>
    <w:rsid w:val="009F4B75"/>
    <w:rsid w:val="009F4E32"/>
    <w:rsid w:val="009F4EAB"/>
    <w:rsid w:val="009F5116"/>
    <w:rsid w:val="009F51C8"/>
    <w:rsid w:val="009F583D"/>
    <w:rsid w:val="009F5A39"/>
    <w:rsid w:val="009F5EE8"/>
    <w:rsid w:val="009F60C8"/>
    <w:rsid w:val="009F639B"/>
    <w:rsid w:val="009F63C5"/>
    <w:rsid w:val="009F63DE"/>
    <w:rsid w:val="009F654A"/>
    <w:rsid w:val="009F65CC"/>
    <w:rsid w:val="009F65EB"/>
    <w:rsid w:val="009F69C6"/>
    <w:rsid w:val="009F6F62"/>
    <w:rsid w:val="009F6FC7"/>
    <w:rsid w:val="009F6FFA"/>
    <w:rsid w:val="009F7849"/>
    <w:rsid w:val="009F7A53"/>
    <w:rsid w:val="009F7C23"/>
    <w:rsid w:val="009F7E54"/>
    <w:rsid w:val="009F7E7F"/>
    <w:rsid w:val="00A0015C"/>
    <w:rsid w:val="00A002F6"/>
    <w:rsid w:val="00A00716"/>
    <w:rsid w:val="00A00808"/>
    <w:rsid w:val="00A0093F"/>
    <w:rsid w:val="00A0137D"/>
    <w:rsid w:val="00A018FF"/>
    <w:rsid w:val="00A019CD"/>
    <w:rsid w:val="00A01A43"/>
    <w:rsid w:val="00A01BF4"/>
    <w:rsid w:val="00A01CF8"/>
    <w:rsid w:val="00A01FAD"/>
    <w:rsid w:val="00A023B8"/>
    <w:rsid w:val="00A02499"/>
    <w:rsid w:val="00A02A5B"/>
    <w:rsid w:val="00A02B69"/>
    <w:rsid w:val="00A033BA"/>
    <w:rsid w:val="00A03404"/>
    <w:rsid w:val="00A034C5"/>
    <w:rsid w:val="00A034CE"/>
    <w:rsid w:val="00A034D0"/>
    <w:rsid w:val="00A03549"/>
    <w:rsid w:val="00A03715"/>
    <w:rsid w:val="00A03857"/>
    <w:rsid w:val="00A03960"/>
    <w:rsid w:val="00A03E48"/>
    <w:rsid w:val="00A040E6"/>
    <w:rsid w:val="00A04463"/>
    <w:rsid w:val="00A04B29"/>
    <w:rsid w:val="00A04B32"/>
    <w:rsid w:val="00A04E68"/>
    <w:rsid w:val="00A050AF"/>
    <w:rsid w:val="00A051EF"/>
    <w:rsid w:val="00A0534B"/>
    <w:rsid w:val="00A0539D"/>
    <w:rsid w:val="00A05549"/>
    <w:rsid w:val="00A05668"/>
    <w:rsid w:val="00A056AE"/>
    <w:rsid w:val="00A056E8"/>
    <w:rsid w:val="00A058C6"/>
    <w:rsid w:val="00A0598D"/>
    <w:rsid w:val="00A05BE0"/>
    <w:rsid w:val="00A05E67"/>
    <w:rsid w:val="00A06097"/>
    <w:rsid w:val="00A06199"/>
    <w:rsid w:val="00A06595"/>
    <w:rsid w:val="00A06D9E"/>
    <w:rsid w:val="00A074F4"/>
    <w:rsid w:val="00A0767D"/>
    <w:rsid w:val="00A07B7F"/>
    <w:rsid w:val="00A07D7B"/>
    <w:rsid w:val="00A07FAF"/>
    <w:rsid w:val="00A100BD"/>
    <w:rsid w:val="00A10F81"/>
    <w:rsid w:val="00A11483"/>
    <w:rsid w:val="00A1173C"/>
    <w:rsid w:val="00A11CD6"/>
    <w:rsid w:val="00A12023"/>
    <w:rsid w:val="00A1207E"/>
    <w:rsid w:val="00A12134"/>
    <w:rsid w:val="00A12A95"/>
    <w:rsid w:val="00A12E95"/>
    <w:rsid w:val="00A12EEC"/>
    <w:rsid w:val="00A13047"/>
    <w:rsid w:val="00A13051"/>
    <w:rsid w:val="00A13689"/>
    <w:rsid w:val="00A13B92"/>
    <w:rsid w:val="00A13D71"/>
    <w:rsid w:val="00A140DA"/>
    <w:rsid w:val="00A14412"/>
    <w:rsid w:val="00A145BA"/>
    <w:rsid w:val="00A14D68"/>
    <w:rsid w:val="00A151C8"/>
    <w:rsid w:val="00A15748"/>
    <w:rsid w:val="00A15AD0"/>
    <w:rsid w:val="00A1605F"/>
    <w:rsid w:val="00A1632C"/>
    <w:rsid w:val="00A168A9"/>
    <w:rsid w:val="00A16910"/>
    <w:rsid w:val="00A16F4B"/>
    <w:rsid w:val="00A17DE4"/>
    <w:rsid w:val="00A20335"/>
    <w:rsid w:val="00A203D3"/>
    <w:rsid w:val="00A20468"/>
    <w:rsid w:val="00A208DC"/>
    <w:rsid w:val="00A2098C"/>
    <w:rsid w:val="00A20ECD"/>
    <w:rsid w:val="00A21363"/>
    <w:rsid w:val="00A2169D"/>
    <w:rsid w:val="00A2191E"/>
    <w:rsid w:val="00A21A49"/>
    <w:rsid w:val="00A21CE0"/>
    <w:rsid w:val="00A21EF9"/>
    <w:rsid w:val="00A22418"/>
    <w:rsid w:val="00A22661"/>
    <w:rsid w:val="00A22A3F"/>
    <w:rsid w:val="00A22CAB"/>
    <w:rsid w:val="00A22CC7"/>
    <w:rsid w:val="00A233B2"/>
    <w:rsid w:val="00A238F9"/>
    <w:rsid w:val="00A23CF0"/>
    <w:rsid w:val="00A23D49"/>
    <w:rsid w:val="00A23E36"/>
    <w:rsid w:val="00A23F2E"/>
    <w:rsid w:val="00A240F0"/>
    <w:rsid w:val="00A24209"/>
    <w:rsid w:val="00A243D0"/>
    <w:rsid w:val="00A2460F"/>
    <w:rsid w:val="00A24638"/>
    <w:rsid w:val="00A24AC7"/>
    <w:rsid w:val="00A24B7D"/>
    <w:rsid w:val="00A251F8"/>
    <w:rsid w:val="00A25458"/>
    <w:rsid w:val="00A25551"/>
    <w:rsid w:val="00A25BCB"/>
    <w:rsid w:val="00A25C92"/>
    <w:rsid w:val="00A261AB"/>
    <w:rsid w:val="00A26834"/>
    <w:rsid w:val="00A26EC4"/>
    <w:rsid w:val="00A27324"/>
    <w:rsid w:val="00A273C4"/>
    <w:rsid w:val="00A27438"/>
    <w:rsid w:val="00A276A4"/>
    <w:rsid w:val="00A276AC"/>
    <w:rsid w:val="00A27AD5"/>
    <w:rsid w:val="00A27C51"/>
    <w:rsid w:val="00A27DD7"/>
    <w:rsid w:val="00A3004A"/>
    <w:rsid w:val="00A30076"/>
    <w:rsid w:val="00A300E3"/>
    <w:rsid w:val="00A3141A"/>
    <w:rsid w:val="00A31699"/>
    <w:rsid w:val="00A317F1"/>
    <w:rsid w:val="00A31894"/>
    <w:rsid w:val="00A31934"/>
    <w:rsid w:val="00A31B44"/>
    <w:rsid w:val="00A31D60"/>
    <w:rsid w:val="00A31FD3"/>
    <w:rsid w:val="00A3209F"/>
    <w:rsid w:val="00A3277C"/>
    <w:rsid w:val="00A32C2C"/>
    <w:rsid w:val="00A32CC4"/>
    <w:rsid w:val="00A331E8"/>
    <w:rsid w:val="00A33211"/>
    <w:rsid w:val="00A333C7"/>
    <w:rsid w:val="00A33497"/>
    <w:rsid w:val="00A336BE"/>
    <w:rsid w:val="00A33BDC"/>
    <w:rsid w:val="00A33DDE"/>
    <w:rsid w:val="00A33DE3"/>
    <w:rsid w:val="00A34753"/>
    <w:rsid w:val="00A3477F"/>
    <w:rsid w:val="00A34891"/>
    <w:rsid w:val="00A34BE6"/>
    <w:rsid w:val="00A34FA3"/>
    <w:rsid w:val="00A35104"/>
    <w:rsid w:val="00A354C9"/>
    <w:rsid w:val="00A35657"/>
    <w:rsid w:val="00A357BF"/>
    <w:rsid w:val="00A35A65"/>
    <w:rsid w:val="00A35C1B"/>
    <w:rsid w:val="00A35D29"/>
    <w:rsid w:val="00A36BB4"/>
    <w:rsid w:val="00A36E7D"/>
    <w:rsid w:val="00A37A26"/>
    <w:rsid w:val="00A37FDD"/>
    <w:rsid w:val="00A40148"/>
    <w:rsid w:val="00A4066E"/>
    <w:rsid w:val="00A4089A"/>
    <w:rsid w:val="00A40AED"/>
    <w:rsid w:val="00A40B15"/>
    <w:rsid w:val="00A40BAC"/>
    <w:rsid w:val="00A40DA2"/>
    <w:rsid w:val="00A41101"/>
    <w:rsid w:val="00A416F6"/>
    <w:rsid w:val="00A41879"/>
    <w:rsid w:val="00A41B4E"/>
    <w:rsid w:val="00A41D0B"/>
    <w:rsid w:val="00A42018"/>
    <w:rsid w:val="00A4296F"/>
    <w:rsid w:val="00A43000"/>
    <w:rsid w:val="00A430FE"/>
    <w:rsid w:val="00A43539"/>
    <w:rsid w:val="00A43B3E"/>
    <w:rsid w:val="00A43D81"/>
    <w:rsid w:val="00A43EEF"/>
    <w:rsid w:val="00A443CA"/>
    <w:rsid w:val="00A44468"/>
    <w:rsid w:val="00A445E9"/>
    <w:rsid w:val="00A44BCF"/>
    <w:rsid w:val="00A45294"/>
    <w:rsid w:val="00A452DE"/>
    <w:rsid w:val="00A45317"/>
    <w:rsid w:val="00A45795"/>
    <w:rsid w:val="00A4604E"/>
    <w:rsid w:val="00A46539"/>
    <w:rsid w:val="00A46C4C"/>
    <w:rsid w:val="00A46C71"/>
    <w:rsid w:val="00A46CE5"/>
    <w:rsid w:val="00A46DAA"/>
    <w:rsid w:val="00A4737D"/>
    <w:rsid w:val="00A473FE"/>
    <w:rsid w:val="00A47444"/>
    <w:rsid w:val="00A50398"/>
    <w:rsid w:val="00A50529"/>
    <w:rsid w:val="00A5067E"/>
    <w:rsid w:val="00A50713"/>
    <w:rsid w:val="00A507A5"/>
    <w:rsid w:val="00A509B6"/>
    <w:rsid w:val="00A51331"/>
    <w:rsid w:val="00A514C4"/>
    <w:rsid w:val="00A514ED"/>
    <w:rsid w:val="00A51E8E"/>
    <w:rsid w:val="00A51F93"/>
    <w:rsid w:val="00A526EF"/>
    <w:rsid w:val="00A5311C"/>
    <w:rsid w:val="00A53319"/>
    <w:rsid w:val="00A53DE5"/>
    <w:rsid w:val="00A53F02"/>
    <w:rsid w:val="00A53F78"/>
    <w:rsid w:val="00A53FDC"/>
    <w:rsid w:val="00A5459E"/>
    <w:rsid w:val="00A545CE"/>
    <w:rsid w:val="00A54626"/>
    <w:rsid w:val="00A54652"/>
    <w:rsid w:val="00A54CC3"/>
    <w:rsid w:val="00A54D87"/>
    <w:rsid w:val="00A54EBB"/>
    <w:rsid w:val="00A54F4B"/>
    <w:rsid w:val="00A54FAA"/>
    <w:rsid w:val="00A5505F"/>
    <w:rsid w:val="00A55FE1"/>
    <w:rsid w:val="00A56092"/>
    <w:rsid w:val="00A56AC9"/>
    <w:rsid w:val="00A576B0"/>
    <w:rsid w:val="00A578EC"/>
    <w:rsid w:val="00A579FD"/>
    <w:rsid w:val="00A57C0A"/>
    <w:rsid w:val="00A57D3F"/>
    <w:rsid w:val="00A60252"/>
    <w:rsid w:val="00A602B1"/>
    <w:rsid w:val="00A608C5"/>
    <w:rsid w:val="00A60B98"/>
    <w:rsid w:val="00A60D6C"/>
    <w:rsid w:val="00A60F7C"/>
    <w:rsid w:val="00A612AA"/>
    <w:rsid w:val="00A613C3"/>
    <w:rsid w:val="00A6153B"/>
    <w:rsid w:val="00A619F1"/>
    <w:rsid w:val="00A61B34"/>
    <w:rsid w:val="00A61B85"/>
    <w:rsid w:val="00A61BCC"/>
    <w:rsid w:val="00A61D5C"/>
    <w:rsid w:val="00A61E38"/>
    <w:rsid w:val="00A620DE"/>
    <w:rsid w:val="00A62375"/>
    <w:rsid w:val="00A62FEC"/>
    <w:rsid w:val="00A630A4"/>
    <w:rsid w:val="00A632A4"/>
    <w:rsid w:val="00A640B5"/>
    <w:rsid w:val="00A640D6"/>
    <w:rsid w:val="00A645E4"/>
    <w:rsid w:val="00A647E6"/>
    <w:rsid w:val="00A64BE9"/>
    <w:rsid w:val="00A65A92"/>
    <w:rsid w:val="00A65ABB"/>
    <w:rsid w:val="00A65D09"/>
    <w:rsid w:val="00A65EC1"/>
    <w:rsid w:val="00A660D4"/>
    <w:rsid w:val="00A66358"/>
    <w:rsid w:val="00A6643A"/>
    <w:rsid w:val="00A669BF"/>
    <w:rsid w:val="00A67117"/>
    <w:rsid w:val="00A67E00"/>
    <w:rsid w:val="00A67E9C"/>
    <w:rsid w:val="00A700D6"/>
    <w:rsid w:val="00A708CD"/>
    <w:rsid w:val="00A709DD"/>
    <w:rsid w:val="00A70E6E"/>
    <w:rsid w:val="00A7144C"/>
    <w:rsid w:val="00A71467"/>
    <w:rsid w:val="00A7166A"/>
    <w:rsid w:val="00A71D49"/>
    <w:rsid w:val="00A720BC"/>
    <w:rsid w:val="00A7254E"/>
    <w:rsid w:val="00A7256E"/>
    <w:rsid w:val="00A72574"/>
    <w:rsid w:val="00A7258F"/>
    <w:rsid w:val="00A727AB"/>
    <w:rsid w:val="00A72859"/>
    <w:rsid w:val="00A729D1"/>
    <w:rsid w:val="00A73301"/>
    <w:rsid w:val="00A738DA"/>
    <w:rsid w:val="00A73BA7"/>
    <w:rsid w:val="00A73C42"/>
    <w:rsid w:val="00A7424B"/>
    <w:rsid w:val="00A74288"/>
    <w:rsid w:val="00A7445C"/>
    <w:rsid w:val="00A74901"/>
    <w:rsid w:val="00A74C11"/>
    <w:rsid w:val="00A75009"/>
    <w:rsid w:val="00A76247"/>
    <w:rsid w:val="00A76921"/>
    <w:rsid w:val="00A76BF6"/>
    <w:rsid w:val="00A76C27"/>
    <w:rsid w:val="00A76DA1"/>
    <w:rsid w:val="00A76DD1"/>
    <w:rsid w:val="00A76E53"/>
    <w:rsid w:val="00A77859"/>
    <w:rsid w:val="00A8011A"/>
    <w:rsid w:val="00A803B1"/>
    <w:rsid w:val="00A80429"/>
    <w:rsid w:val="00A8057B"/>
    <w:rsid w:val="00A81057"/>
    <w:rsid w:val="00A810E3"/>
    <w:rsid w:val="00A817E7"/>
    <w:rsid w:val="00A81BF3"/>
    <w:rsid w:val="00A81DBB"/>
    <w:rsid w:val="00A81FD1"/>
    <w:rsid w:val="00A82958"/>
    <w:rsid w:val="00A83100"/>
    <w:rsid w:val="00A831DB"/>
    <w:rsid w:val="00A837E8"/>
    <w:rsid w:val="00A83D91"/>
    <w:rsid w:val="00A84490"/>
    <w:rsid w:val="00A844CE"/>
    <w:rsid w:val="00A84698"/>
    <w:rsid w:val="00A84759"/>
    <w:rsid w:val="00A84855"/>
    <w:rsid w:val="00A848FD"/>
    <w:rsid w:val="00A84FB8"/>
    <w:rsid w:val="00A85238"/>
    <w:rsid w:val="00A852F0"/>
    <w:rsid w:val="00A85305"/>
    <w:rsid w:val="00A85364"/>
    <w:rsid w:val="00A8537D"/>
    <w:rsid w:val="00A854D0"/>
    <w:rsid w:val="00A855E7"/>
    <w:rsid w:val="00A8582F"/>
    <w:rsid w:val="00A85E36"/>
    <w:rsid w:val="00A86637"/>
    <w:rsid w:val="00A86654"/>
    <w:rsid w:val="00A87339"/>
    <w:rsid w:val="00A87D81"/>
    <w:rsid w:val="00A90304"/>
    <w:rsid w:val="00A90F09"/>
    <w:rsid w:val="00A912B3"/>
    <w:rsid w:val="00A91714"/>
    <w:rsid w:val="00A91A75"/>
    <w:rsid w:val="00A91D39"/>
    <w:rsid w:val="00A91DF7"/>
    <w:rsid w:val="00A91E0F"/>
    <w:rsid w:val="00A91E29"/>
    <w:rsid w:val="00A92170"/>
    <w:rsid w:val="00A921B5"/>
    <w:rsid w:val="00A9249C"/>
    <w:rsid w:val="00A92B86"/>
    <w:rsid w:val="00A92DD1"/>
    <w:rsid w:val="00A9345C"/>
    <w:rsid w:val="00A935DF"/>
    <w:rsid w:val="00A938F9"/>
    <w:rsid w:val="00A93ACE"/>
    <w:rsid w:val="00A93FD5"/>
    <w:rsid w:val="00A9435F"/>
    <w:rsid w:val="00A94862"/>
    <w:rsid w:val="00A94E3D"/>
    <w:rsid w:val="00A94F0F"/>
    <w:rsid w:val="00A95800"/>
    <w:rsid w:val="00A95939"/>
    <w:rsid w:val="00A95B23"/>
    <w:rsid w:val="00A95B56"/>
    <w:rsid w:val="00A95C43"/>
    <w:rsid w:val="00A95FF7"/>
    <w:rsid w:val="00A96187"/>
    <w:rsid w:val="00A9624D"/>
    <w:rsid w:val="00A96636"/>
    <w:rsid w:val="00A969A7"/>
    <w:rsid w:val="00A96BAB"/>
    <w:rsid w:val="00A96E46"/>
    <w:rsid w:val="00A96E6A"/>
    <w:rsid w:val="00A970F3"/>
    <w:rsid w:val="00A97351"/>
    <w:rsid w:val="00A9788F"/>
    <w:rsid w:val="00A97FE6"/>
    <w:rsid w:val="00AA0224"/>
    <w:rsid w:val="00AA0316"/>
    <w:rsid w:val="00AA04C4"/>
    <w:rsid w:val="00AA1720"/>
    <w:rsid w:val="00AA1ADF"/>
    <w:rsid w:val="00AA1B32"/>
    <w:rsid w:val="00AA1C0C"/>
    <w:rsid w:val="00AA1D1C"/>
    <w:rsid w:val="00AA24FF"/>
    <w:rsid w:val="00AA26B9"/>
    <w:rsid w:val="00AA2B88"/>
    <w:rsid w:val="00AA2E10"/>
    <w:rsid w:val="00AA2EA4"/>
    <w:rsid w:val="00AA2F64"/>
    <w:rsid w:val="00AA3099"/>
    <w:rsid w:val="00AA329A"/>
    <w:rsid w:val="00AA383C"/>
    <w:rsid w:val="00AA393A"/>
    <w:rsid w:val="00AA3E34"/>
    <w:rsid w:val="00AA3E7C"/>
    <w:rsid w:val="00AA484A"/>
    <w:rsid w:val="00AA4946"/>
    <w:rsid w:val="00AA4D0F"/>
    <w:rsid w:val="00AA508E"/>
    <w:rsid w:val="00AA51CE"/>
    <w:rsid w:val="00AA5268"/>
    <w:rsid w:val="00AA5537"/>
    <w:rsid w:val="00AA56C2"/>
    <w:rsid w:val="00AA5DD5"/>
    <w:rsid w:val="00AA5E01"/>
    <w:rsid w:val="00AA61BA"/>
    <w:rsid w:val="00AA652B"/>
    <w:rsid w:val="00AA660A"/>
    <w:rsid w:val="00AA6B5A"/>
    <w:rsid w:val="00AA6F5E"/>
    <w:rsid w:val="00AA7022"/>
    <w:rsid w:val="00AA70B2"/>
    <w:rsid w:val="00AA77F5"/>
    <w:rsid w:val="00AA788B"/>
    <w:rsid w:val="00AA7A54"/>
    <w:rsid w:val="00AB0777"/>
    <w:rsid w:val="00AB0872"/>
    <w:rsid w:val="00AB0CBD"/>
    <w:rsid w:val="00AB0CC3"/>
    <w:rsid w:val="00AB0D1F"/>
    <w:rsid w:val="00AB0D7D"/>
    <w:rsid w:val="00AB0E66"/>
    <w:rsid w:val="00AB100D"/>
    <w:rsid w:val="00AB128E"/>
    <w:rsid w:val="00AB1648"/>
    <w:rsid w:val="00AB1734"/>
    <w:rsid w:val="00AB1ACE"/>
    <w:rsid w:val="00AB1CB5"/>
    <w:rsid w:val="00AB1D79"/>
    <w:rsid w:val="00AB217E"/>
    <w:rsid w:val="00AB2314"/>
    <w:rsid w:val="00AB24B1"/>
    <w:rsid w:val="00AB2532"/>
    <w:rsid w:val="00AB2989"/>
    <w:rsid w:val="00AB30CA"/>
    <w:rsid w:val="00AB328B"/>
    <w:rsid w:val="00AB3539"/>
    <w:rsid w:val="00AB3876"/>
    <w:rsid w:val="00AB3DAF"/>
    <w:rsid w:val="00AB4114"/>
    <w:rsid w:val="00AB44C3"/>
    <w:rsid w:val="00AB4799"/>
    <w:rsid w:val="00AB4C37"/>
    <w:rsid w:val="00AB4DB2"/>
    <w:rsid w:val="00AB5194"/>
    <w:rsid w:val="00AB56B0"/>
    <w:rsid w:val="00AB5960"/>
    <w:rsid w:val="00AB5B78"/>
    <w:rsid w:val="00AB5D1C"/>
    <w:rsid w:val="00AB5DB1"/>
    <w:rsid w:val="00AB5F61"/>
    <w:rsid w:val="00AB5FE8"/>
    <w:rsid w:val="00AB64B4"/>
    <w:rsid w:val="00AB6595"/>
    <w:rsid w:val="00AB6846"/>
    <w:rsid w:val="00AB6859"/>
    <w:rsid w:val="00AB69B8"/>
    <w:rsid w:val="00AB6A19"/>
    <w:rsid w:val="00AB6A83"/>
    <w:rsid w:val="00AB73AD"/>
    <w:rsid w:val="00AB7DD3"/>
    <w:rsid w:val="00AC02C6"/>
    <w:rsid w:val="00AC093C"/>
    <w:rsid w:val="00AC0ABE"/>
    <w:rsid w:val="00AC0D44"/>
    <w:rsid w:val="00AC0E66"/>
    <w:rsid w:val="00AC134D"/>
    <w:rsid w:val="00AC13B1"/>
    <w:rsid w:val="00AC16D6"/>
    <w:rsid w:val="00AC1B2D"/>
    <w:rsid w:val="00AC1BE4"/>
    <w:rsid w:val="00AC1C70"/>
    <w:rsid w:val="00AC1F6A"/>
    <w:rsid w:val="00AC267C"/>
    <w:rsid w:val="00AC2C87"/>
    <w:rsid w:val="00AC2CE8"/>
    <w:rsid w:val="00AC345E"/>
    <w:rsid w:val="00AC35AE"/>
    <w:rsid w:val="00AC3939"/>
    <w:rsid w:val="00AC39BF"/>
    <w:rsid w:val="00AC3D33"/>
    <w:rsid w:val="00AC3FBA"/>
    <w:rsid w:val="00AC40C4"/>
    <w:rsid w:val="00AC40E2"/>
    <w:rsid w:val="00AC4475"/>
    <w:rsid w:val="00AC459A"/>
    <w:rsid w:val="00AC4D72"/>
    <w:rsid w:val="00AC4EFA"/>
    <w:rsid w:val="00AC4FC3"/>
    <w:rsid w:val="00AC51C4"/>
    <w:rsid w:val="00AC5977"/>
    <w:rsid w:val="00AC612A"/>
    <w:rsid w:val="00AC6250"/>
    <w:rsid w:val="00AC6509"/>
    <w:rsid w:val="00AC670E"/>
    <w:rsid w:val="00AC6942"/>
    <w:rsid w:val="00AC6DCB"/>
    <w:rsid w:val="00AC7329"/>
    <w:rsid w:val="00AC737B"/>
    <w:rsid w:val="00AC742B"/>
    <w:rsid w:val="00AC7A39"/>
    <w:rsid w:val="00AC7CE2"/>
    <w:rsid w:val="00AD016E"/>
    <w:rsid w:val="00AD019F"/>
    <w:rsid w:val="00AD0C07"/>
    <w:rsid w:val="00AD0F34"/>
    <w:rsid w:val="00AD1C93"/>
    <w:rsid w:val="00AD232E"/>
    <w:rsid w:val="00AD24E5"/>
    <w:rsid w:val="00AD2AEF"/>
    <w:rsid w:val="00AD2C30"/>
    <w:rsid w:val="00AD2CB0"/>
    <w:rsid w:val="00AD2DCF"/>
    <w:rsid w:val="00AD3005"/>
    <w:rsid w:val="00AD3107"/>
    <w:rsid w:val="00AD3472"/>
    <w:rsid w:val="00AD354E"/>
    <w:rsid w:val="00AD38E3"/>
    <w:rsid w:val="00AD4001"/>
    <w:rsid w:val="00AD445A"/>
    <w:rsid w:val="00AD4926"/>
    <w:rsid w:val="00AD4AB4"/>
    <w:rsid w:val="00AD4D1C"/>
    <w:rsid w:val="00AD4F6A"/>
    <w:rsid w:val="00AD50B6"/>
    <w:rsid w:val="00AD51AC"/>
    <w:rsid w:val="00AD51FD"/>
    <w:rsid w:val="00AD596F"/>
    <w:rsid w:val="00AD661F"/>
    <w:rsid w:val="00AD6B82"/>
    <w:rsid w:val="00AD6DD6"/>
    <w:rsid w:val="00AD71D1"/>
    <w:rsid w:val="00AD7468"/>
    <w:rsid w:val="00AD74BD"/>
    <w:rsid w:val="00AD75F7"/>
    <w:rsid w:val="00AD7D2D"/>
    <w:rsid w:val="00AD7F70"/>
    <w:rsid w:val="00AE09B5"/>
    <w:rsid w:val="00AE0F39"/>
    <w:rsid w:val="00AE1821"/>
    <w:rsid w:val="00AE1F8A"/>
    <w:rsid w:val="00AE216F"/>
    <w:rsid w:val="00AE235D"/>
    <w:rsid w:val="00AE2537"/>
    <w:rsid w:val="00AE26B4"/>
    <w:rsid w:val="00AE28EA"/>
    <w:rsid w:val="00AE2A74"/>
    <w:rsid w:val="00AE2DCF"/>
    <w:rsid w:val="00AE3787"/>
    <w:rsid w:val="00AE3855"/>
    <w:rsid w:val="00AE387B"/>
    <w:rsid w:val="00AE3B00"/>
    <w:rsid w:val="00AE3D5F"/>
    <w:rsid w:val="00AE3E53"/>
    <w:rsid w:val="00AE3FA7"/>
    <w:rsid w:val="00AE3FE2"/>
    <w:rsid w:val="00AE44D9"/>
    <w:rsid w:val="00AE44F5"/>
    <w:rsid w:val="00AE4900"/>
    <w:rsid w:val="00AE508B"/>
    <w:rsid w:val="00AE50F7"/>
    <w:rsid w:val="00AE5593"/>
    <w:rsid w:val="00AE6459"/>
    <w:rsid w:val="00AE72D9"/>
    <w:rsid w:val="00AE72ED"/>
    <w:rsid w:val="00AE77FC"/>
    <w:rsid w:val="00AE7FF2"/>
    <w:rsid w:val="00AF040E"/>
    <w:rsid w:val="00AF0822"/>
    <w:rsid w:val="00AF086F"/>
    <w:rsid w:val="00AF09D0"/>
    <w:rsid w:val="00AF0A9F"/>
    <w:rsid w:val="00AF1255"/>
    <w:rsid w:val="00AF1446"/>
    <w:rsid w:val="00AF14C4"/>
    <w:rsid w:val="00AF1552"/>
    <w:rsid w:val="00AF19B6"/>
    <w:rsid w:val="00AF1D43"/>
    <w:rsid w:val="00AF21A3"/>
    <w:rsid w:val="00AF224A"/>
    <w:rsid w:val="00AF244B"/>
    <w:rsid w:val="00AF2619"/>
    <w:rsid w:val="00AF26F4"/>
    <w:rsid w:val="00AF2A2A"/>
    <w:rsid w:val="00AF2F5A"/>
    <w:rsid w:val="00AF33E8"/>
    <w:rsid w:val="00AF35C6"/>
    <w:rsid w:val="00AF3629"/>
    <w:rsid w:val="00AF363E"/>
    <w:rsid w:val="00AF3805"/>
    <w:rsid w:val="00AF3A2D"/>
    <w:rsid w:val="00AF45D1"/>
    <w:rsid w:val="00AF46D0"/>
    <w:rsid w:val="00AF495C"/>
    <w:rsid w:val="00AF5784"/>
    <w:rsid w:val="00AF5A47"/>
    <w:rsid w:val="00AF6C2D"/>
    <w:rsid w:val="00AF74A6"/>
    <w:rsid w:val="00AF7918"/>
    <w:rsid w:val="00AF7C8F"/>
    <w:rsid w:val="00AF7D4C"/>
    <w:rsid w:val="00B002AB"/>
    <w:rsid w:val="00B00748"/>
    <w:rsid w:val="00B0077D"/>
    <w:rsid w:val="00B00AB8"/>
    <w:rsid w:val="00B0111F"/>
    <w:rsid w:val="00B01900"/>
    <w:rsid w:val="00B0197E"/>
    <w:rsid w:val="00B01D28"/>
    <w:rsid w:val="00B01E84"/>
    <w:rsid w:val="00B01F20"/>
    <w:rsid w:val="00B0215E"/>
    <w:rsid w:val="00B022C0"/>
    <w:rsid w:val="00B02BE8"/>
    <w:rsid w:val="00B02E54"/>
    <w:rsid w:val="00B0331C"/>
    <w:rsid w:val="00B033F6"/>
    <w:rsid w:val="00B03AE3"/>
    <w:rsid w:val="00B03AFD"/>
    <w:rsid w:val="00B04C9A"/>
    <w:rsid w:val="00B04DBF"/>
    <w:rsid w:val="00B04DD6"/>
    <w:rsid w:val="00B04E9B"/>
    <w:rsid w:val="00B0520D"/>
    <w:rsid w:val="00B05380"/>
    <w:rsid w:val="00B05399"/>
    <w:rsid w:val="00B053A0"/>
    <w:rsid w:val="00B05741"/>
    <w:rsid w:val="00B0582C"/>
    <w:rsid w:val="00B05CF4"/>
    <w:rsid w:val="00B05DD3"/>
    <w:rsid w:val="00B05E31"/>
    <w:rsid w:val="00B05EB7"/>
    <w:rsid w:val="00B05FA0"/>
    <w:rsid w:val="00B06747"/>
    <w:rsid w:val="00B10547"/>
    <w:rsid w:val="00B108C2"/>
    <w:rsid w:val="00B109DE"/>
    <w:rsid w:val="00B10EAC"/>
    <w:rsid w:val="00B113B9"/>
    <w:rsid w:val="00B1161C"/>
    <w:rsid w:val="00B1161D"/>
    <w:rsid w:val="00B12351"/>
    <w:rsid w:val="00B125BD"/>
    <w:rsid w:val="00B12A0E"/>
    <w:rsid w:val="00B12A6A"/>
    <w:rsid w:val="00B12D05"/>
    <w:rsid w:val="00B131C6"/>
    <w:rsid w:val="00B1357E"/>
    <w:rsid w:val="00B1361C"/>
    <w:rsid w:val="00B1364A"/>
    <w:rsid w:val="00B136D1"/>
    <w:rsid w:val="00B13860"/>
    <w:rsid w:val="00B13C43"/>
    <w:rsid w:val="00B13D9D"/>
    <w:rsid w:val="00B140FF"/>
    <w:rsid w:val="00B14A17"/>
    <w:rsid w:val="00B14CAD"/>
    <w:rsid w:val="00B14CC8"/>
    <w:rsid w:val="00B14D9A"/>
    <w:rsid w:val="00B14E6A"/>
    <w:rsid w:val="00B15A96"/>
    <w:rsid w:val="00B15B6E"/>
    <w:rsid w:val="00B15C56"/>
    <w:rsid w:val="00B15CC3"/>
    <w:rsid w:val="00B1623E"/>
    <w:rsid w:val="00B16376"/>
    <w:rsid w:val="00B16490"/>
    <w:rsid w:val="00B165D2"/>
    <w:rsid w:val="00B1670B"/>
    <w:rsid w:val="00B16710"/>
    <w:rsid w:val="00B16C45"/>
    <w:rsid w:val="00B16E10"/>
    <w:rsid w:val="00B16EA2"/>
    <w:rsid w:val="00B16F8C"/>
    <w:rsid w:val="00B175B8"/>
    <w:rsid w:val="00B1778D"/>
    <w:rsid w:val="00B179E2"/>
    <w:rsid w:val="00B17C75"/>
    <w:rsid w:val="00B2013D"/>
    <w:rsid w:val="00B20338"/>
    <w:rsid w:val="00B2052F"/>
    <w:rsid w:val="00B21086"/>
    <w:rsid w:val="00B211DD"/>
    <w:rsid w:val="00B21521"/>
    <w:rsid w:val="00B225B8"/>
    <w:rsid w:val="00B233C8"/>
    <w:rsid w:val="00B236F1"/>
    <w:rsid w:val="00B23714"/>
    <w:rsid w:val="00B23983"/>
    <w:rsid w:val="00B23AFA"/>
    <w:rsid w:val="00B23C1B"/>
    <w:rsid w:val="00B23CCD"/>
    <w:rsid w:val="00B23E78"/>
    <w:rsid w:val="00B23EA4"/>
    <w:rsid w:val="00B24758"/>
    <w:rsid w:val="00B24888"/>
    <w:rsid w:val="00B25382"/>
    <w:rsid w:val="00B25450"/>
    <w:rsid w:val="00B25624"/>
    <w:rsid w:val="00B2597B"/>
    <w:rsid w:val="00B25D95"/>
    <w:rsid w:val="00B26122"/>
    <w:rsid w:val="00B26A0F"/>
    <w:rsid w:val="00B26B42"/>
    <w:rsid w:val="00B26F98"/>
    <w:rsid w:val="00B27017"/>
    <w:rsid w:val="00B275AD"/>
    <w:rsid w:val="00B279EF"/>
    <w:rsid w:val="00B27A7E"/>
    <w:rsid w:val="00B27B4C"/>
    <w:rsid w:val="00B27B66"/>
    <w:rsid w:val="00B27C1B"/>
    <w:rsid w:val="00B27EB8"/>
    <w:rsid w:val="00B27F01"/>
    <w:rsid w:val="00B301EA"/>
    <w:rsid w:val="00B3075C"/>
    <w:rsid w:val="00B30770"/>
    <w:rsid w:val="00B307F0"/>
    <w:rsid w:val="00B3118E"/>
    <w:rsid w:val="00B313D9"/>
    <w:rsid w:val="00B31596"/>
    <w:rsid w:val="00B319B6"/>
    <w:rsid w:val="00B31D11"/>
    <w:rsid w:val="00B32289"/>
    <w:rsid w:val="00B32814"/>
    <w:rsid w:val="00B32B1F"/>
    <w:rsid w:val="00B33175"/>
    <w:rsid w:val="00B33D46"/>
    <w:rsid w:val="00B33E52"/>
    <w:rsid w:val="00B33FB2"/>
    <w:rsid w:val="00B340EA"/>
    <w:rsid w:val="00B341B9"/>
    <w:rsid w:val="00B344CB"/>
    <w:rsid w:val="00B346A7"/>
    <w:rsid w:val="00B34747"/>
    <w:rsid w:val="00B34A2C"/>
    <w:rsid w:val="00B354F0"/>
    <w:rsid w:val="00B35800"/>
    <w:rsid w:val="00B35924"/>
    <w:rsid w:val="00B36408"/>
    <w:rsid w:val="00B3681D"/>
    <w:rsid w:val="00B36DE8"/>
    <w:rsid w:val="00B36FD1"/>
    <w:rsid w:val="00B370C8"/>
    <w:rsid w:val="00B373D3"/>
    <w:rsid w:val="00B37573"/>
    <w:rsid w:val="00B375A1"/>
    <w:rsid w:val="00B37EEE"/>
    <w:rsid w:val="00B40397"/>
    <w:rsid w:val="00B403EE"/>
    <w:rsid w:val="00B405BB"/>
    <w:rsid w:val="00B414C7"/>
    <w:rsid w:val="00B414F1"/>
    <w:rsid w:val="00B41685"/>
    <w:rsid w:val="00B42185"/>
    <w:rsid w:val="00B42277"/>
    <w:rsid w:val="00B4242C"/>
    <w:rsid w:val="00B42B3F"/>
    <w:rsid w:val="00B42C84"/>
    <w:rsid w:val="00B42F25"/>
    <w:rsid w:val="00B43479"/>
    <w:rsid w:val="00B434C9"/>
    <w:rsid w:val="00B4359D"/>
    <w:rsid w:val="00B435C0"/>
    <w:rsid w:val="00B43BF8"/>
    <w:rsid w:val="00B43C51"/>
    <w:rsid w:val="00B43DA6"/>
    <w:rsid w:val="00B44737"/>
    <w:rsid w:val="00B44A3C"/>
    <w:rsid w:val="00B44B36"/>
    <w:rsid w:val="00B44D24"/>
    <w:rsid w:val="00B45760"/>
    <w:rsid w:val="00B4581E"/>
    <w:rsid w:val="00B45B6B"/>
    <w:rsid w:val="00B45CCB"/>
    <w:rsid w:val="00B45D9E"/>
    <w:rsid w:val="00B46A84"/>
    <w:rsid w:val="00B46B15"/>
    <w:rsid w:val="00B46DFE"/>
    <w:rsid w:val="00B46F06"/>
    <w:rsid w:val="00B4717F"/>
    <w:rsid w:val="00B47278"/>
    <w:rsid w:val="00B47374"/>
    <w:rsid w:val="00B4759F"/>
    <w:rsid w:val="00B47EA0"/>
    <w:rsid w:val="00B505E0"/>
    <w:rsid w:val="00B5071C"/>
    <w:rsid w:val="00B50824"/>
    <w:rsid w:val="00B5095A"/>
    <w:rsid w:val="00B51009"/>
    <w:rsid w:val="00B51060"/>
    <w:rsid w:val="00B511EE"/>
    <w:rsid w:val="00B5188E"/>
    <w:rsid w:val="00B519B9"/>
    <w:rsid w:val="00B51FC9"/>
    <w:rsid w:val="00B52552"/>
    <w:rsid w:val="00B52641"/>
    <w:rsid w:val="00B532D6"/>
    <w:rsid w:val="00B534F2"/>
    <w:rsid w:val="00B53666"/>
    <w:rsid w:val="00B536BB"/>
    <w:rsid w:val="00B53906"/>
    <w:rsid w:val="00B53F16"/>
    <w:rsid w:val="00B542B2"/>
    <w:rsid w:val="00B544C1"/>
    <w:rsid w:val="00B5452F"/>
    <w:rsid w:val="00B5455C"/>
    <w:rsid w:val="00B546E0"/>
    <w:rsid w:val="00B54FCB"/>
    <w:rsid w:val="00B5572B"/>
    <w:rsid w:val="00B55B52"/>
    <w:rsid w:val="00B55DD8"/>
    <w:rsid w:val="00B56116"/>
    <w:rsid w:val="00B56B3D"/>
    <w:rsid w:val="00B56C20"/>
    <w:rsid w:val="00B56DD1"/>
    <w:rsid w:val="00B5733A"/>
    <w:rsid w:val="00B60047"/>
    <w:rsid w:val="00B600CE"/>
    <w:rsid w:val="00B60157"/>
    <w:rsid w:val="00B60639"/>
    <w:rsid w:val="00B6068D"/>
    <w:rsid w:val="00B61007"/>
    <w:rsid w:val="00B6119B"/>
    <w:rsid w:val="00B61234"/>
    <w:rsid w:val="00B61526"/>
    <w:rsid w:val="00B6154C"/>
    <w:rsid w:val="00B61FDE"/>
    <w:rsid w:val="00B62083"/>
    <w:rsid w:val="00B6210B"/>
    <w:rsid w:val="00B621BC"/>
    <w:rsid w:val="00B62468"/>
    <w:rsid w:val="00B62A30"/>
    <w:rsid w:val="00B62D4E"/>
    <w:rsid w:val="00B62E18"/>
    <w:rsid w:val="00B632F8"/>
    <w:rsid w:val="00B6332D"/>
    <w:rsid w:val="00B63D16"/>
    <w:rsid w:val="00B64049"/>
    <w:rsid w:val="00B64163"/>
    <w:rsid w:val="00B641BF"/>
    <w:rsid w:val="00B64219"/>
    <w:rsid w:val="00B643D7"/>
    <w:rsid w:val="00B64475"/>
    <w:rsid w:val="00B64E96"/>
    <w:rsid w:val="00B64F0F"/>
    <w:rsid w:val="00B64F6D"/>
    <w:rsid w:val="00B65098"/>
    <w:rsid w:val="00B654F9"/>
    <w:rsid w:val="00B65612"/>
    <w:rsid w:val="00B656BE"/>
    <w:rsid w:val="00B65893"/>
    <w:rsid w:val="00B65B77"/>
    <w:rsid w:val="00B65F3C"/>
    <w:rsid w:val="00B6634E"/>
    <w:rsid w:val="00B666B3"/>
    <w:rsid w:val="00B66B75"/>
    <w:rsid w:val="00B66F6C"/>
    <w:rsid w:val="00B67074"/>
    <w:rsid w:val="00B6736F"/>
    <w:rsid w:val="00B676B2"/>
    <w:rsid w:val="00B70160"/>
    <w:rsid w:val="00B703C0"/>
    <w:rsid w:val="00B70406"/>
    <w:rsid w:val="00B7071C"/>
    <w:rsid w:val="00B70B8F"/>
    <w:rsid w:val="00B70C4C"/>
    <w:rsid w:val="00B70E43"/>
    <w:rsid w:val="00B7142F"/>
    <w:rsid w:val="00B717E5"/>
    <w:rsid w:val="00B71C7F"/>
    <w:rsid w:val="00B71CB1"/>
    <w:rsid w:val="00B71CF3"/>
    <w:rsid w:val="00B72221"/>
    <w:rsid w:val="00B72AAD"/>
    <w:rsid w:val="00B72B90"/>
    <w:rsid w:val="00B72CF3"/>
    <w:rsid w:val="00B733F4"/>
    <w:rsid w:val="00B73814"/>
    <w:rsid w:val="00B73AE1"/>
    <w:rsid w:val="00B73E6C"/>
    <w:rsid w:val="00B74CE4"/>
    <w:rsid w:val="00B74FEB"/>
    <w:rsid w:val="00B752E8"/>
    <w:rsid w:val="00B757EA"/>
    <w:rsid w:val="00B75D19"/>
    <w:rsid w:val="00B75DC6"/>
    <w:rsid w:val="00B76342"/>
    <w:rsid w:val="00B76773"/>
    <w:rsid w:val="00B76DA2"/>
    <w:rsid w:val="00B77016"/>
    <w:rsid w:val="00B7702A"/>
    <w:rsid w:val="00B77554"/>
    <w:rsid w:val="00B776C8"/>
    <w:rsid w:val="00B777C7"/>
    <w:rsid w:val="00B77801"/>
    <w:rsid w:val="00B80393"/>
    <w:rsid w:val="00B803E3"/>
    <w:rsid w:val="00B80444"/>
    <w:rsid w:val="00B80773"/>
    <w:rsid w:val="00B80A60"/>
    <w:rsid w:val="00B80CA0"/>
    <w:rsid w:val="00B80FDE"/>
    <w:rsid w:val="00B81199"/>
    <w:rsid w:val="00B8130F"/>
    <w:rsid w:val="00B81407"/>
    <w:rsid w:val="00B81AE3"/>
    <w:rsid w:val="00B81C66"/>
    <w:rsid w:val="00B81D98"/>
    <w:rsid w:val="00B81EAE"/>
    <w:rsid w:val="00B82630"/>
    <w:rsid w:val="00B82648"/>
    <w:rsid w:val="00B826CC"/>
    <w:rsid w:val="00B82702"/>
    <w:rsid w:val="00B8278E"/>
    <w:rsid w:val="00B829C0"/>
    <w:rsid w:val="00B82AD0"/>
    <w:rsid w:val="00B83349"/>
    <w:rsid w:val="00B83420"/>
    <w:rsid w:val="00B83447"/>
    <w:rsid w:val="00B83557"/>
    <w:rsid w:val="00B835D2"/>
    <w:rsid w:val="00B83922"/>
    <w:rsid w:val="00B83A0F"/>
    <w:rsid w:val="00B83D53"/>
    <w:rsid w:val="00B84605"/>
    <w:rsid w:val="00B84885"/>
    <w:rsid w:val="00B84EF8"/>
    <w:rsid w:val="00B85651"/>
    <w:rsid w:val="00B86A97"/>
    <w:rsid w:val="00B873DB"/>
    <w:rsid w:val="00B8740E"/>
    <w:rsid w:val="00B87558"/>
    <w:rsid w:val="00B875BB"/>
    <w:rsid w:val="00B875CE"/>
    <w:rsid w:val="00B87A9B"/>
    <w:rsid w:val="00B9015C"/>
    <w:rsid w:val="00B905D8"/>
    <w:rsid w:val="00B9065E"/>
    <w:rsid w:val="00B914FC"/>
    <w:rsid w:val="00B915B1"/>
    <w:rsid w:val="00B91C07"/>
    <w:rsid w:val="00B91D36"/>
    <w:rsid w:val="00B92687"/>
    <w:rsid w:val="00B92F65"/>
    <w:rsid w:val="00B93755"/>
    <w:rsid w:val="00B939EF"/>
    <w:rsid w:val="00B93D11"/>
    <w:rsid w:val="00B944DE"/>
    <w:rsid w:val="00B94720"/>
    <w:rsid w:val="00B94749"/>
    <w:rsid w:val="00B94775"/>
    <w:rsid w:val="00B94DC2"/>
    <w:rsid w:val="00B94EEC"/>
    <w:rsid w:val="00B954C5"/>
    <w:rsid w:val="00B9597F"/>
    <w:rsid w:val="00B95CE8"/>
    <w:rsid w:val="00B95D9D"/>
    <w:rsid w:val="00B95EF8"/>
    <w:rsid w:val="00B96FF9"/>
    <w:rsid w:val="00B97361"/>
    <w:rsid w:val="00B974D8"/>
    <w:rsid w:val="00B97624"/>
    <w:rsid w:val="00B97771"/>
    <w:rsid w:val="00B978A3"/>
    <w:rsid w:val="00B97AEC"/>
    <w:rsid w:val="00BA0355"/>
    <w:rsid w:val="00BA0357"/>
    <w:rsid w:val="00BA0A07"/>
    <w:rsid w:val="00BA0AE6"/>
    <w:rsid w:val="00BA0D83"/>
    <w:rsid w:val="00BA0F04"/>
    <w:rsid w:val="00BA1031"/>
    <w:rsid w:val="00BA115E"/>
    <w:rsid w:val="00BA1835"/>
    <w:rsid w:val="00BA19E0"/>
    <w:rsid w:val="00BA1DB6"/>
    <w:rsid w:val="00BA2250"/>
    <w:rsid w:val="00BA23CD"/>
    <w:rsid w:val="00BA26DF"/>
    <w:rsid w:val="00BA26EE"/>
    <w:rsid w:val="00BA29FB"/>
    <w:rsid w:val="00BA2A75"/>
    <w:rsid w:val="00BA2CEA"/>
    <w:rsid w:val="00BA2EBF"/>
    <w:rsid w:val="00BA2EEB"/>
    <w:rsid w:val="00BA36D5"/>
    <w:rsid w:val="00BA36FD"/>
    <w:rsid w:val="00BA385A"/>
    <w:rsid w:val="00BA3B2A"/>
    <w:rsid w:val="00BA3BCD"/>
    <w:rsid w:val="00BA3BD5"/>
    <w:rsid w:val="00BA3CE8"/>
    <w:rsid w:val="00BA4438"/>
    <w:rsid w:val="00BA446A"/>
    <w:rsid w:val="00BA4489"/>
    <w:rsid w:val="00BA4849"/>
    <w:rsid w:val="00BA4953"/>
    <w:rsid w:val="00BA4BFE"/>
    <w:rsid w:val="00BA5204"/>
    <w:rsid w:val="00BA530E"/>
    <w:rsid w:val="00BA5514"/>
    <w:rsid w:val="00BA5FBC"/>
    <w:rsid w:val="00BA6502"/>
    <w:rsid w:val="00BA6506"/>
    <w:rsid w:val="00BA66F9"/>
    <w:rsid w:val="00BA6E49"/>
    <w:rsid w:val="00BA7000"/>
    <w:rsid w:val="00BA701D"/>
    <w:rsid w:val="00BA712E"/>
    <w:rsid w:val="00BA71DE"/>
    <w:rsid w:val="00BA77C4"/>
    <w:rsid w:val="00BA79B5"/>
    <w:rsid w:val="00BA79F4"/>
    <w:rsid w:val="00BA7F87"/>
    <w:rsid w:val="00BB0047"/>
    <w:rsid w:val="00BB018B"/>
    <w:rsid w:val="00BB0203"/>
    <w:rsid w:val="00BB0356"/>
    <w:rsid w:val="00BB0362"/>
    <w:rsid w:val="00BB057B"/>
    <w:rsid w:val="00BB0967"/>
    <w:rsid w:val="00BB0A1D"/>
    <w:rsid w:val="00BB0D06"/>
    <w:rsid w:val="00BB0FAE"/>
    <w:rsid w:val="00BB1658"/>
    <w:rsid w:val="00BB166F"/>
    <w:rsid w:val="00BB1A9D"/>
    <w:rsid w:val="00BB1C86"/>
    <w:rsid w:val="00BB1F15"/>
    <w:rsid w:val="00BB201C"/>
    <w:rsid w:val="00BB2513"/>
    <w:rsid w:val="00BB26F4"/>
    <w:rsid w:val="00BB2816"/>
    <w:rsid w:val="00BB37DC"/>
    <w:rsid w:val="00BB3AD9"/>
    <w:rsid w:val="00BB448C"/>
    <w:rsid w:val="00BB4C12"/>
    <w:rsid w:val="00BB51A1"/>
    <w:rsid w:val="00BB521F"/>
    <w:rsid w:val="00BB5562"/>
    <w:rsid w:val="00BB56C8"/>
    <w:rsid w:val="00BB618A"/>
    <w:rsid w:val="00BB6A9D"/>
    <w:rsid w:val="00BB6ABC"/>
    <w:rsid w:val="00BB6C64"/>
    <w:rsid w:val="00BB6C97"/>
    <w:rsid w:val="00BB71F3"/>
    <w:rsid w:val="00BB7786"/>
    <w:rsid w:val="00BB7AD1"/>
    <w:rsid w:val="00BB7CF1"/>
    <w:rsid w:val="00BB7D06"/>
    <w:rsid w:val="00BB7FC1"/>
    <w:rsid w:val="00BC04EB"/>
    <w:rsid w:val="00BC0510"/>
    <w:rsid w:val="00BC05A8"/>
    <w:rsid w:val="00BC064F"/>
    <w:rsid w:val="00BC0847"/>
    <w:rsid w:val="00BC0C32"/>
    <w:rsid w:val="00BC0DF8"/>
    <w:rsid w:val="00BC1066"/>
    <w:rsid w:val="00BC10CC"/>
    <w:rsid w:val="00BC13B1"/>
    <w:rsid w:val="00BC14BC"/>
    <w:rsid w:val="00BC14DB"/>
    <w:rsid w:val="00BC172F"/>
    <w:rsid w:val="00BC184C"/>
    <w:rsid w:val="00BC1ACB"/>
    <w:rsid w:val="00BC1D2B"/>
    <w:rsid w:val="00BC1D73"/>
    <w:rsid w:val="00BC1E2D"/>
    <w:rsid w:val="00BC245A"/>
    <w:rsid w:val="00BC26C0"/>
    <w:rsid w:val="00BC2F4F"/>
    <w:rsid w:val="00BC30A6"/>
    <w:rsid w:val="00BC325B"/>
    <w:rsid w:val="00BC348E"/>
    <w:rsid w:val="00BC3750"/>
    <w:rsid w:val="00BC3B42"/>
    <w:rsid w:val="00BC3E48"/>
    <w:rsid w:val="00BC4041"/>
    <w:rsid w:val="00BC40DD"/>
    <w:rsid w:val="00BC47DB"/>
    <w:rsid w:val="00BC47EF"/>
    <w:rsid w:val="00BC4ACD"/>
    <w:rsid w:val="00BC4BC6"/>
    <w:rsid w:val="00BC4F70"/>
    <w:rsid w:val="00BC50AE"/>
    <w:rsid w:val="00BC50C5"/>
    <w:rsid w:val="00BC5403"/>
    <w:rsid w:val="00BC568E"/>
    <w:rsid w:val="00BC574E"/>
    <w:rsid w:val="00BC5920"/>
    <w:rsid w:val="00BC5A3D"/>
    <w:rsid w:val="00BC5B69"/>
    <w:rsid w:val="00BC5BA0"/>
    <w:rsid w:val="00BC5DFF"/>
    <w:rsid w:val="00BC65F0"/>
    <w:rsid w:val="00BC6801"/>
    <w:rsid w:val="00BC682A"/>
    <w:rsid w:val="00BC6902"/>
    <w:rsid w:val="00BC6BB5"/>
    <w:rsid w:val="00BC6EC4"/>
    <w:rsid w:val="00BC7206"/>
    <w:rsid w:val="00BC728D"/>
    <w:rsid w:val="00BC7363"/>
    <w:rsid w:val="00BC756F"/>
    <w:rsid w:val="00BC78FA"/>
    <w:rsid w:val="00BC7B9F"/>
    <w:rsid w:val="00BC7CA3"/>
    <w:rsid w:val="00BD0F17"/>
    <w:rsid w:val="00BD12A4"/>
    <w:rsid w:val="00BD1415"/>
    <w:rsid w:val="00BD14EA"/>
    <w:rsid w:val="00BD1665"/>
    <w:rsid w:val="00BD1786"/>
    <w:rsid w:val="00BD1810"/>
    <w:rsid w:val="00BD1954"/>
    <w:rsid w:val="00BD2822"/>
    <w:rsid w:val="00BD2A24"/>
    <w:rsid w:val="00BD2D92"/>
    <w:rsid w:val="00BD2DF8"/>
    <w:rsid w:val="00BD2F6B"/>
    <w:rsid w:val="00BD31A7"/>
    <w:rsid w:val="00BD3290"/>
    <w:rsid w:val="00BD36E4"/>
    <w:rsid w:val="00BD37BE"/>
    <w:rsid w:val="00BD3993"/>
    <w:rsid w:val="00BD414C"/>
    <w:rsid w:val="00BD4333"/>
    <w:rsid w:val="00BD4691"/>
    <w:rsid w:val="00BD49C4"/>
    <w:rsid w:val="00BD4E52"/>
    <w:rsid w:val="00BD4E9E"/>
    <w:rsid w:val="00BD5002"/>
    <w:rsid w:val="00BD51B6"/>
    <w:rsid w:val="00BD51F1"/>
    <w:rsid w:val="00BD58BC"/>
    <w:rsid w:val="00BD5C6F"/>
    <w:rsid w:val="00BD6011"/>
    <w:rsid w:val="00BD6C7F"/>
    <w:rsid w:val="00BD6FD5"/>
    <w:rsid w:val="00BD70AC"/>
    <w:rsid w:val="00BD7392"/>
    <w:rsid w:val="00BD779F"/>
    <w:rsid w:val="00BD7896"/>
    <w:rsid w:val="00BE0724"/>
    <w:rsid w:val="00BE09CE"/>
    <w:rsid w:val="00BE134B"/>
    <w:rsid w:val="00BE1CC8"/>
    <w:rsid w:val="00BE24D6"/>
    <w:rsid w:val="00BE29A0"/>
    <w:rsid w:val="00BE2D71"/>
    <w:rsid w:val="00BE300E"/>
    <w:rsid w:val="00BE3773"/>
    <w:rsid w:val="00BE41B9"/>
    <w:rsid w:val="00BE4373"/>
    <w:rsid w:val="00BE44CB"/>
    <w:rsid w:val="00BE4853"/>
    <w:rsid w:val="00BE49DD"/>
    <w:rsid w:val="00BE4ADA"/>
    <w:rsid w:val="00BE4F8E"/>
    <w:rsid w:val="00BE5A1A"/>
    <w:rsid w:val="00BE5B01"/>
    <w:rsid w:val="00BE5D0B"/>
    <w:rsid w:val="00BE60ED"/>
    <w:rsid w:val="00BE6157"/>
    <w:rsid w:val="00BE6252"/>
    <w:rsid w:val="00BE6275"/>
    <w:rsid w:val="00BE6415"/>
    <w:rsid w:val="00BE66BC"/>
    <w:rsid w:val="00BE6910"/>
    <w:rsid w:val="00BE72AC"/>
    <w:rsid w:val="00BE73E4"/>
    <w:rsid w:val="00BE766C"/>
    <w:rsid w:val="00BE78A5"/>
    <w:rsid w:val="00BE7C5E"/>
    <w:rsid w:val="00BE7F9E"/>
    <w:rsid w:val="00BF052F"/>
    <w:rsid w:val="00BF087C"/>
    <w:rsid w:val="00BF17E3"/>
    <w:rsid w:val="00BF187F"/>
    <w:rsid w:val="00BF241E"/>
    <w:rsid w:val="00BF26D2"/>
    <w:rsid w:val="00BF29DE"/>
    <w:rsid w:val="00BF2AA5"/>
    <w:rsid w:val="00BF3ADE"/>
    <w:rsid w:val="00BF3D1A"/>
    <w:rsid w:val="00BF4129"/>
    <w:rsid w:val="00BF442E"/>
    <w:rsid w:val="00BF4A60"/>
    <w:rsid w:val="00BF529F"/>
    <w:rsid w:val="00BF52AF"/>
    <w:rsid w:val="00BF542E"/>
    <w:rsid w:val="00BF543E"/>
    <w:rsid w:val="00BF57FF"/>
    <w:rsid w:val="00BF5843"/>
    <w:rsid w:val="00BF5A2F"/>
    <w:rsid w:val="00BF5AED"/>
    <w:rsid w:val="00BF5BDD"/>
    <w:rsid w:val="00BF63C9"/>
    <w:rsid w:val="00BF648C"/>
    <w:rsid w:val="00BF6491"/>
    <w:rsid w:val="00BF680C"/>
    <w:rsid w:val="00BF6E7C"/>
    <w:rsid w:val="00BF72DD"/>
    <w:rsid w:val="00BF7544"/>
    <w:rsid w:val="00BF76CE"/>
    <w:rsid w:val="00BF7C2A"/>
    <w:rsid w:val="00BF7C6A"/>
    <w:rsid w:val="00BF7F0C"/>
    <w:rsid w:val="00C002C2"/>
    <w:rsid w:val="00C00426"/>
    <w:rsid w:val="00C0070C"/>
    <w:rsid w:val="00C007B0"/>
    <w:rsid w:val="00C00837"/>
    <w:rsid w:val="00C00C90"/>
    <w:rsid w:val="00C01457"/>
    <w:rsid w:val="00C01CE8"/>
    <w:rsid w:val="00C02CDB"/>
    <w:rsid w:val="00C02DF7"/>
    <w:rsid w:val="00C02DF9"/>
    <w:rsid w:val="00C02E72"/>
    <w:rsid w:val="00C030A4"/>
    <w:rsid w:val="00C034D0"/>
    <w:rsid w:val="00C03717"/>
    <w:rsid w:val="00C03DA5"/>
    <w:rsid w:val="00C03E31"/>
    <w:rsid w:val="00C03F10"/>
    <w:rsid w:val="00C03F18"/>
    <w:rsid w:val="00C0403A"/>
    <w:rsid w:val="00C04CFA"/>
    <w:rsid w:val="00C050C0"/>
    <w:rsid w:val="00C05193"/>
    <w:rsid w:val="00C059BA"/>
    <w:rsid w:val="00C06196"/>
    <w:rsid w:val="00C06718"/>
    <w:rsid w:val="00C0672B"/>
    <w:rsid w:val="00C06969"/>
    <w:rsid w:val="00C06993"/>
    <w:rsid w:val="00C069BB"/>
    <w:rsid w:val="00C07184"/>
    <w:rsid w:val="00C072F0"/>
    <w:rsid w:val="00C075B8"/>
    <w:rsid w:val="00C07694"/>
    <w:rsid w:val="00C077E1"/>
    <w:rsid w:val="00C0794F"/>
    <w:rsid w:val="00C07B44"/>
    <w:rsid w:val="00C07DEE"/>
    <w:rsid w:val="00C10196"/>
    <w:rsid w:val="00C109E2"/>
    <w:rsid w:val="00C1142F"/>
    <w:rsid w:val="00C114D0"/>
    <w:rsid w:val="00C119B7"/>
    <w:rsid w:val="00C11BE4"/>
    <w:rsid w:val="00C11DDA"/>
    <w:rsid w:val="00C12708"/>
    <w:rsid w:val="00C12F70"/>
    <w:rsid w:val="00C131B1"/>
    <w:rsid w:val="00C1352F"/>
    <w:rsid w:val="00C13E81"/>
    <w:rsid w:val="00C14067"/>
    <w:rsid w:val="00C146AA"/>
    <w:rsid w:val="00C1473C"/>
    <w:rsid w:val="00C14A5C"/>
    <w:rsid w:val="00C15247"/>
    <w:rsid w:val="00C152AC"/>
    <w:rsid w:val="00C152D6"/>
    <w:rsid w:val="00C154AB"/>
    <w:rsid w:val="00C15A65"/>
    <w:rsid w:val="00C15C6C"/>
    <w:rsid w:val="00C15D43"/>
    <w:rsid w:val="00C15DC7"/>
    <w:rsid w:val="00C15F9A"/>
    <w:rsid w:val="00C15FE0"/>
    <w:rsid w:val="00C164B3"/>
    <w:rsid w:val="00C16584"/>
    <w:rsid w:val="00C1678C"/>
    <w:rsid w:val="00C169BE"/>
    <w:rsid w:val="00C16A91"/>
    <w:rsid w:val="00C16D2A"/>
    <w:rsid w:val="00C17226"/>
    <w:rsid w:val="00C17BF5"/>
    <w:rsid w:val="00C17E8F"/>
    <w:rsid w:val="00C20089"/>
    <w:rsid w:val="00C205A2"/>
    <w:rsid w:val="00C20799"/>
    <w:rsid w:val="00C20809"/>
    <w:rsid w:val="00C20FD2"/>
    <w:rsid w:val="00C21052"/>
    <w:rsid w:val="00C2119A"/>
    <w:rsid w:val="00C212F2"/>
    <w:rsid w:val="00C21685"/>
    <w:rsid w:val="00C21761"/>
    <w:rsid w:val="00C2237F"/>
    <w:rsid w:val="00C2245B"/>
    <w:rsid w:val="00C226EC"/>
    <w:rsid w:val="00C22736"/>
    <w:rsid w:val="00C22BEB"/>
    <w:rsid w:val="00C22BEC"/>
    <w:rsid w:val="00C22E9D"/>
    <w:rsid w:val="00C22F01"/>
    <w:rsid w:val="00C22FAF"/>
    <w:rsid w:val="00C2323C"/>
    <w:rsid w:val="00C23315"/>
    <w:rsid w:val="00C2352C"/>
    <w:rsid w:val="00C237B6"/>
    <w:rsid w:val="00C23ADB"/>
    <w:rsid w:val="00C23C75"/>
    <w:rsid w:val="00C23E00"/>
    <w:rsid w:val="00C24963"/>
    <w:rsid w:val="00C25198"/>
    <w:rsid w:val="00C25372"/>
    <w:rsid w:val="00C25406"/>
    <w:rsid w:val="00C25516"/>
    <w:rsid w:val="00C256A0"/>
    <w:rsid w:val="00C25886"/>
    <w:rsid w:val="00C258C5"/>
    <w:rsid w:val="00C25F6C"/>
    <w:rsid w:val="00C26868"/>
    <w:rsid w:val="00C26A1B"/>
    <w:rsid w:val="00C27014"/>
    <w:rsid w:val="00C277C2"/>
    <w:rsid w:val="00C277C5"/>
    <w:rsid w:val="00C27878"/>
    <w:rsid w:val="00C27C70"/>
    <w:rsid w:val="00C27CEA"/>
    <w:rsid w:val="00C300E6"/>
    <w:rsid w:val="00C3177D"/>
    <w:rsid w:val="00C318C2"/>
    <w:rsid w:val="00C32137"/>
    <w:rsid w:val="00C328A3"/>
    <w:rsid w:val="00C32A3F"/>
    <w:rsid w:val="00C32B1A"/>
    <w:rsid w:val="00C32DE5"/>
    <w:rsid w:val="00C3327E"/>
    <w:rsid w:val="00C337A7"/>
    <w:rsid w:val="00C33C66"/>
    <w:rsid w:val="00C3456E"/>
    <w:rsid w:val="00C345CE"/>
    <w:rsid w:val="00C347B4"/>
    <w:rsid w:val="00C34A1F"/>
    <w:rsid w:val="00C35097"/>
    <w:rsid w:val="00C3512F"/>
    <w:rsid w:val="00C35184"/>
    <w:rsid w:val="00C3544B"/>
    <w:rsid w:val="00C35969"/>
    <w:rsid w:val="00C36BDE"/>
    <w:rsid w:val="00C37D29"/>
    <w:rsid w:val="00C405A1"/>
    <w:rsid w:val="00C4096F"/>
    <w:rsid w:val="00C40A9D"/>
    <w:rsid w:val="00C41088"/>
    <w:rsid w:val="00C4110F"/>
    <w:rsid w:val="00C4116F"/>
    <w:rsid w:val="00C411C5"/>
    <w:rsid w:val="00C41379"/>
    <w:rsid w:val="00C413A5"/>
    <w:rsid w:val="00C41501"/>
    <w:rsid w:val="00C416E9"/>
    <w:rsid w:val="00C41A9E"/>
    <w:rsid w:val="00C42498"/>
    <w:rsid w:val="00C426A2"/>
    <w:rsid w:val="00C42EF4"/>
    <w:rsid w:val="00C42F10"/>
    <w:rsid w:val="00C430CC"/>
    <w:rsid w:val="00C4314E"/>
    <w:rsid w:val="00C431E1"/>
    <w:rsid w:val="00C43376"/>
    <w:rsid w:val="00C43644"/>
    <w:rsid w:val="00C43740"/>
    <w:rsid w:val="00C4380D"/>
    <w:rsid w:val="00C43DDE"/>
    <w:rsid w:val="00C442E3"/>
    <w:rsid w:val="00C4431D"/>
    <w:rsid w:val="00C4434B"/>
    <w:rsid w:val="00C4453A"/>
    <w:rsid w:val="00C44837"/>
    <w:rsid w:val="00C4525D"/>
    <w:rsid w:val="00C4531B"/>
    <w:rsid w:val="00C45570"/>
    <w:rsid w:val="00C45911"/>
    <w:rsid w:val="00C45944"/>
    <w:rsid w:val="00C45986"/>
    <w:rsid w:val="00C45A5E"/>
    <w:rsid w:val="00C45B7B"/>
    <w:rsid w:val="00C460F0"/>
    <w:rsid w:val="00C4635B"/>
    <w:rsid w:val="00C4643C"/>
    <w:rsid w:val="00C469B7"/>
    <w:rsid w:val="00C46DC1"/>
    <w:rsid w:val="00C46EDD"/>
    <w:rsid w:val="00C47001"/>
    <w:rsid w:val="00C4718D"/>
    <w:rsid w:val="00C472FD"/>
    <w:rsid w:val="00C50022"/>
    <w:rsid w:val="00C50B00"/>
    <w:rsid w:val="00C51589"/>
    <w:rsid w:val="00C51E5A"/>
    <w:rsid w:val="00C51FAA"/>
    <w:rsid w:val="00C52336"/>
    <w:rsid w:val="00C52B10"/>
    <w:rsid w:val="00C52C0A"/>
    <w:rsid w:val="00C52C20"/>
    <w:rsid w:val="00C52D51"/>
    <w:rsid w:val="00C52F58"/>
    <w:rsid w:val="00C53283"/>
    <w:rsid w:val="00C534C4"/>
    <w:rsid w:val="00C5362F"/>
    <w:rsid w:val="00C53642"/>
    <w:rsid w:val="00C5408B"/>
    <w:rsid w:val="00C543DA"/>
    <w:rsid w:val="00C5457C"/>
    <w:rsid w:val="00C55566"/>
    <w:rsid w:val="00C556C1"/>
    <w:rsid w:val="00C55AE3"/>
    <w:rsid w:val="00C55F14"/>
    <w:rsid w:val="00C56520"/>
    <w:rsid w:val="00C567A0"/>
    <w:rsid w:val="00C56BDF"/>
    <w:rsid w:val="00C56E6A"/>
    <w:rsid w:val="00C5742B"/>
    <w:rsid w:val="00C57556"/>
    <w:rsid w:val="00C57963"/>
    <w:rsid w:val="00C57A4A"/>
    <w:rsid w:val="00C57EB7"/>
    <w:rsid w:val="00C60409"/>
    <w:rsid w:val="00C61CEB"/>
    <w:rsid w:val="00C61E56"/>
    <w:rsid w:val="00C61F48"/>
    <w:rsid w:val="00C620DF"/>
    <w:rsid w:val="00C62198"/>
    <w:rsid w:val="00C621D5"/>
    <w:rsid w:val="00C62E94"/>
    <w:rsid w:val="00C630CD"/>
    <w:rsid w:val="00C63670"/>
    <w:rsid w:val="00C639F6"/>
    <w:rsid w:val="00C63E7B"/>
    <w:rsid w:val="00C6438F"/>
    <w:rsid w:val="00C643F0"/>
    <w:rsid w:val="00C644D8"/>
    <w:rsid w:val="00C6475F"/>
    <w:rsid w:val="00C64E1F"/>
    <w:rsid w:val="00C64FB7"/>
    <w:rsid w:val="00C65022"/>
    <w:rsid w:val="00C65143"/>
    <w:rsid w:val="00C65217"/>
    <w:rsid w:val="00C65A96"/>
    <w:rsid w:val="00C65AFE"/>
    <w:rsid w:val="00C65CF0"/>
    <w:rsid w:val="00C661BC"/>
    <w:rsid w:val="00C663AE"/>
    <w:rsid w:val="00C666ED"/>
    <w:rsid w:val="00C667B8"/>
    <w:rsid w:val="00C667ED"/>
    <w:rsid w:val="00C667F2"/>
    <w:rsid w:val="00C66EFD"/>
    <w:rsid w:val="00C67367"/>
    <w:rsid w:val="00C67988"/>
    <w:rsid w:val="00C67DD3"/>
    <w:rsid w:val="00C70113"/>
    <w:rsid w:val="00C70468"/>
    <w:rsid w:val="00C705EE"/>
    <w:rsid w:val="00C70634"/>
    <w:rsid w:val="00C70CBD"/>
    <w:rsid w:val="00C70ED3"/>
    <w:rsid w:val="00C7158B"/>
    <w:rsid w:val="00C717FD"/>
    <w:rsid w:val="00C71C70"/>
    <w:rsid w:val="00C71E62"/>
    <w:rsid w:val="00C71EE3"/>
    <w:rsid w:val="00C71F54"/>
    <w:rsid w:val="00C720FB"/>
    <w:rsid w:val="00C72113"/>
    <w:rsid w:val="00C723E3"/>
    <w:rsid w:val="00C72A58"/>
    <w:rsid w:val="00C73CC9"/>
    <w:rsid w:val="00C74174"/>
    <w:rsid w:val="00C74245"/>
    <w:rsid w:val="00C74C27"/>
    <w:rsid w:val="00C75F9B"/>
    <w:rsid w:val="00C765AA"/>
    <w:rsid w:val="00C76913"/>
    <w:rsid w:val="00C76EEF"/>
    <w:rsid w:val="00C776FD"/>
    <w:rsid w:val="00C77CB8"/>
    <w:rsid w:val="00C80796"/>
    <w:rsid w:val="00C80B2C"/>
    <w:rsid w:val="00C80CB4"/>
    <w:rsid w:val="00C80FD4"/>
    <w:rsid w:val="00C81038"/>
    <w:rsid w:val="00C81177"/>
    <w:rsid w:val="00C81377"/>
    <w:rsid w:val="00C81402"/>
    <w:rsid w:val="00C8146F"/>
    <w:rsid w:val="00C816F3"/>
    <w:rsid w:val="00C81D56"/>
    <w:rsid w:val="00C81DA4"/>
    <w:rsid w:val="00C81E74"/>
    <w:rsid w:val="00C8200F"/>
    <w:rsid w:val="00C8264F"/>
    <w:rsid w:val="00C82887"/>
    <w:rsid w:val="00C8332E"/>
    <w:rsid w:val="00C83AD5"/>
    <w:rsid w:val="00C83FAC"/>
    <w:rsid w:val="00C8413D"/>
    <w:rsid w:val="00C8414B"/>
    <w:rsid w:val="00C84BFA"/>
    <w:rsid w:val="00C84D86"/>
    <w:rsid w:val="00C853DA"/>
    <w:rsid w:val="00C85730"/>
    <w:rsid w:val="00C85769"/>
    <w:rsid w:val="00C85B5E"/>
    <w:rsid w:val="00C85F10"/>
    <w:rsid w:val="00C86029"/>
    <w:rsid w:val="00C8605D"/>
    <w:rsid w:val="00C86088"/>
    <w:rsid w:val="00C86197"/>
    <w:rsid w:val="00C86274"/>
    <w:rsid w:val="00C86353"/>
    <w:rsid w:val="00C86608"/>
    <w:rsid w:val="00C86F87"/>
    <w:rsid w:val="00C86FE5"/>
    <w:rsid w:val="00C87705"/>
    <w:rsid w:val="00C87DC1"/>
    <w:rsid w:val="00C87DF4"/>
    <w:rsid w:val="00C87E3D"/>
    <w:rsid w:val="00C87FEF"/>
    <w:rsid w:val="00C90066"/>
    <w:rsid w:val="00C904F8"/>
    <w:rsid w:val="00C906CD"/>
    <w:rsid w:val="00C90CC5"/>
    <w:rsid w:val="00C90EB0"/>
    <w:rsid w:val="00C91134"/>
    <w:rsid w:val="00C913A9"/>
    <w:rsid w:val="00C91439"/>
    <w:rsid w:val="00C915F7"/>
    <w:rsid w:val="00C91797"/>
    <w:rsid w:val="00C91836"/>
    <w:rsid w:val="00C9196E"/>
    <w:rsid w:val="00C919FA"/>
    <w:rsid w:val="00C91AAA"/>
    <w:rsid w:val="00C91D59"/>
    <w:rsid w:val="00C921DC"/>
    <w:rsid w:val="00C92257"/>
    <w:rsid w:val="00C927DA"/>
    <w:rsid w:val="00C928B1"/>
    <w:rsid w:val="00C92A4E"/>
    <w:rsid w:val="00C930A1"/>
    <w:rsid w:val="00C9329A"/>
    <w:rsid w:val="00C9369E"/>
    <w:rsid w:val="00C93BE6"/>
    <w:rsid w:val="00C9404C"/>
    <w:rsid w:val="00C940BC"/>
    <w:rsid w:val="00C942BC"/>
    <w:rsid w:val="00C9451D"/>
    <w:rsid w:val="00C94856"/>
    <w:rsid w:val="00C949DD"/>
    <w:rsid w:val="00C94A54"/>
    <w:rsid w:val="00C94C68"/>
    <w:rsid w:val="00C94D00"/>
    <w:rsid w:val="00C94FD8"/>
    <w:rsid w:val="00C94FFF"/>
    <w:rsid w:val="00C951D0"/>
    <w:rsid w:val="00C95315"/>
    <w:rsid w:val="00C95AFC"/>
    <w:rsid w:val="00C95E6B"/>
    <w:rsid w:val="00C9624D"/>
    <w:rsid w:val="00C963B9"/>
    <w:rsid w:val="00C96591"/>
    <w:rsid w:val="00C969D3"/>
    <w:rsid w:val="00C96DF0"/>
    <w:rsid w:val="00C970E0"/>
    <w:rsid w:val="00C97A08"/>
    <w:rsid w:val="00C97CFD"/>
    <w:rsid w:val="00C97DCC"/>
    <w:rsid w:val="00CA01E9"/>
    <w:rsid w:val="00CA0358"/>
    <w:rsid w:val="00CA037B"/>
    <w:rsid w:val="00CA051F"/>
    <w:rsid w:val="00CA05B4"/>
    <w:rsid w:val="00CA095E"/>
    <w:rsid w:val="00CA0B9A"/>
    <w:rsid w:val="00CA0C4D"/>
    <w:rsid w:val="00CA15B1"/>
    <w:rsid w:val="00CA1A0D"/>
    <w:rsid w:val="00CA1B06"/>
    <w:rsid w:val="00CA1B69"/>
    <w:rsid w:val="00CA2134"/>
    <w:rsid w:val="00CA2627"/>
    <w:rsid w:val="00CA2834"/>
    <w:rsid w:val="00CA2C3D"/>
    <w:rsid w:val="00CA2DAD"/>
    <w:rsid w:val="00CA2E3E"/>
    <w:rsid w:val="00CA350C"/>
    <w:rsid w:val="00CA35FC"/>
    <w:rsid w:val="00CA3AA6"/>
    <w:rsid w:val="00CA41B9"/>
    <w:rsid w:val="00CA4642"/>
    <w:rsid w:val="00CA4BB0"/>
    <w:rsid w:val="00CA4D55"/>
    <w:rsid w:val="00CA5237"/>
    <w:rsid w:val="00CA52BA"/>
    <w:rsid w:val="00CA57D4"/>
    <w:rsid w:val="00CA5EBD"/>
    <w:rsid w:val="00CA5F78"/>
    <w:rsid w:val="00CA6202"/>
    <w:rsid w:val="00CA63BF"/>
    <w:rsid w:val="00CA6ADA"/>
    <w:rsid w:val="00CA6C48"/>
    <w:rsid w:val="00CA6F79"/>
    <w:rsid w:val="00CA7276"/>
    <w:rsid w:val="00CA72F7"/>
    <w:rsid w:val="00CA74A9"/>
    <w:rsid w:val="00CA7574"/>
    <w:rsid w:val="00CA79DA"/>
    <w:rsid w:val="00CA7A7C"/>
    <w:rsid w:val="00CA7FF9"/>
    <w:rsid w:val="00CB0795"/>
    <w:rsid w:val="00CB0C7D"/>
    <w:rsid w:val="00CB0DC1"/>
    <w:rsid w:val="00CB0F6F"/>
    <w:rsid w:val="00CB1AF1"/>
    <w:rsid w:val="00CB1C04"/>
    <w:rsid w:val="00CB1D25"/>
    <w:rsid w:val="00CB1FA7"/>
    <w:rsid w:val="00CB21D9"/>
    <w:rsid w:val="00CB2236"/>
    <w:rsid w:val="00CB2BB2"/>
    <w:rsid w:val="00CB2E7E"/>
    <w:rsid w:val="00CB3556"/>
    <w:rsid w:val="00CB3557"/>
    <w:rsid w:val="00CB36C4"/>
    <w:rsid w:val="00CB3C76"/>
    <w:rsid w:val="00CB3E0D"/>
    <w:rsid w:val="00CB3E46"/>
    <w:rsid w:val="00CB446C"/>
    <w:rsid w:val="00CB44B2"/>
    <w:rsid w:val="00CB47C2"/>
    <w:rsid w:val="00CB48B6"/>
    <w:rsid w:val="00CB4A6A"/>
    <w:rsid w:val="00CB4E14"/>
    <w:rsid w:val="00CB4E4C"/>
    <w:rsid w:val="00CB54F6"/>
    <w:rsid w:val="00CB5709"/>
    <w:rsid w:val="00CB5CBA"/>
    <w:rsid w:val="00CB6305"/>
    <w:rsid w:val="00CB6350"/>
    <w:rsid w:val="00CB6706"/>
    <w:rsid w:val="00CB6745"/>
    <w:rsid w:val="00CB73AD"/>
    <w:rsid w:val="00CB74CB"/>
    <w:rsid w:val="00CB7529"/>
    <w:rsid w:val="00CB760A"/>
    <w:rsid w:val="00CB7B82"/>
    <w:rsid w:val="00CC0373"/>
    <w:rsid w:val="00CC0959"/>
    <w:rsid w:val="00CC0F9E"/>
    <w:rsid w:val="00CC129E"/>
    <w:rsid w:val="00CC158A"/>
    <w:rsid w:val="00CC1C42"/>
    <w:rsid w:val="00CC1CA4"/>
    <w:rsid w:val="00CC2369"/>
    <w:rsid w:val="00CC242D"/>
    <w:rsid w:val="00CC2463"/>
    <w:rsid w:val="00CC25DE"/>
    <w:rsid w:val="00CC27F9"/>
    <w:rsid w:val="00CC2A4D"/>
    <w:rsid w:val="00CC2D55"/>
    <w:rsid w:val="00CC2E2B"/>
    <w:rsid w:val="00CC2E7A"/>
    <w:rsid w:val="00CC3024"/>
    <w:rsid w:val="00CC31DB"/>
    <w:rsid w:val="00CC351B"/>
    <w:rsid w:val="00CC3C57"/>
    <w:rsid w:val="00CC3D18"/>
    <w:rsid w:val="00CC41FD"/>
    <w:rsid w:val="00CC475A"/>
    <w:rsid w:val="00CC4904"/>
    <w:rsid w:val="00CC49F9"/>
    <w:rsid w:val="00CC4E3E"/>
    <w:rsid w:val="00CC513F"/>
    <w:rsid w:val="00CC5467"/>
    <w:rsid w:val="00CC5480"/>
    <w:rsid w:val="00CC57C9"/>
    <w:rsid w:val="00CC58AA"/>
    <w:rsid w:val="00CC5AE8"/>
    <w:rsid w:val="00CC5E00"/>
    <w:rsid w:val="00CC624F"/>
    <w:rsid w:val="00CC6295"/>
    <w:rsid w:val="00CC6421"/>
    <w:rsid w:val="00CC6485"/>
    <w:rsid w:val="00CC6605"/>
    <w:rsid w:val="00CC6748"/>
    <w:rsid w:val="00CC7267"/>
    <w:rsid w:val="00CC75DF"/>
    <w:rsid w:val="00CC7885"/>
    <w:rsid w:val="00CC7D37"/>
    <w:rsid w:val="00CD006F"/>
    <w:rsid w:val="00CD0769"/>
    <w:rsid w:val="00CD08C1"/>
    <w:rsid w:val="00CD0A96"/>
    <w:rsid w:val="00CD0DE3"/>
    <w:rsid w:val="00CD0E80"/>
    <w:rsid w:val="00CD11E8"/>
    <w:rsid w:val="00CD125B"/>
    <w:rsid w:val="00CD1953"/>
    <w:rsid w:val="00CD1A2A"/>
    <w:rsid w:val="00CD1C2D"/>
    <w:rsid w:val="00CD1CA5"/>
    <w:rsid w:val="00CD281E"/>
    <w:rsid w:val="00CD291C"/>
    <w:rsid w:val="00CD2D92"/>
    <w:rsid w:val="00CD32F2"/>
    <w:rsid w:val="00CD3375"/>
    <w:rsid w:val="00CD3450"/>
    <w:rsid w:val="00CD36BA"/>
    <w:rsid w:val="00CD3823"/>
    <w:rsid w:val="00CD3BC1"/>
    <w:rsid w:val="00CD3FC9"/>
    <w:rsid w:val="00CD44DA"/>
    <w:rsid w:val="00CD470B"/>
    <w:rsid w:val="00CD49D7"/>
    <w:rsid w:val="00CD4BC1"/>
    <w:rsid w:val="00CD4E2B"/>
    <w:rsid w:val="00CD4F14"/>
    <w:rsid w:val="00CD4F9F"/>
    <w:rsid w:val="00CD55E4"/>
    <w:rsid w:val="00CD588A"/>
    <w:rsid w:val="00CD5CAF"/>
    <w:rsid w:val="00CD690D"/>
    <w:rsid w:val="00CD69B6"/>
    <w:rsid w:val="00CD6B89"/>
    <w:rsid w:val="00CD6C01"/>
    <w:rsid w:val="00CD7254"/>
    <w:rsid w:val="00CD743A"/>
    <w:rsid w:val="00CD788F"/>
    <w:rsid w:val="00CD79BC"/>
    <w:rsid w:val="00CD7B93"/>
    <w:rsid w:val="00CD7E84"/>
    <w:rsid w:val="00CE0092"/>
    <w:rsid w:val="00CE00C6"/>
    <w:rsid w:val="00CE01D7"/>
    <w:rsid w:val="00CE0291"/>
    <w:rsid w:val="00CE04F4"/>
    <w:rsid w:val="00CE17B0"/>
    <w:rsid w:val="00CE1AA1"/>
    <w:rsid w:val="00CE1F88"/>
    <w:rsid w:val="00CE2051"/>
    <w:rsid w:val="00CE2220"/>
    <w:rsid w:val="00CE285B"/>
    <w:rsid w:val="00CE29E6"/>
    <w:rsid w:val="00CE2CC5"/>
    <w:rsid w:val="00CE317B"/>
    <w:rsid w:val="00CE3249"/>
    <w:rsid w:val="00CE3304"/>
    <w:rsid w:val="00CE3583"/>
    <w:rsid w:val="00CE3ACC"/>
    <w:rsid w:val="00CE3B64"/>
    <w:rsid w:val="00CE3F25"/>
    <w:rsid w:val="00CE3F5A"/>
    <w:rsid w:val="00CE40EE"/>
    <w:rsid w:val="00CE474A"/>
    <w:rsid w:val="00CE4B68"/>
    <w:rsid w:val="00CE4CBD"/>
    <w:rsid w:val="00CE4D0C"/>
    <w:rsid w:val="00CE4E31"/>
    <w:rsid w:val="00CE4ED8"/>
    <w:rsid w:val="00CE502E"/>
    <w:rsid w:val="00CE5114"/>
    <w:rsid w:val="00CE519B"/>
    <w:rsid w:val="00CE525A"/>
    <w:rsid w:val="00CE5614"/>
    <w:rsid w:val="00CE56E4"/>
    <w:rsid w:val="00CE592C"/>
    <w:rsid w:val="00CE5D5B"/>
    <w:rsid w:val="00CE5EA1"/>
    <w:rsid w:val="00CE5F80"/>
    <w:rsid w:val="00CE615A"/>
    <w:rsid w:val="00CE64A3"/>
    <w:rsid w:val="00CE67B2"/>
    <w:rsid w:val="00CE698F"/>
    <w:rsid w:val="00CE6A7D"/>
    <w:rsid w:val="00CE738D"/>
    <w:rsid w:val="00CE7BAF"/>
    <w:rsid w:val="00CF00E3"/>
    <w:rsid w:val="00CF026A"/>
    <w:rsid w:val="00CF04F7"/>
    <w:rsid w:val="00CF09F8"/>
    <w:rsid w:val="00CF0B53"/>
    <w:rsid w:val="00CF1EA3"/>
    <w:rsid w:val="00CF1EC2"/>
    <w:rsid w:val="00CF2093"/>
    <w:rsid w:val="00CF22FF"/>
    <w:rsid w:val="00CF2742"/>
    <w:rsid w:val="00CF2B7B"/>
    <w:rsid w:val="00CF2E18"/>
    <w:rsid w:val="00CF3315"/>
    <w:rsid w:val="00CF3316"/>
    <w:rsid w:val="00CF3534"/>
    <w:rsid w:val="00CF3545"/>
    <w:rsid w:val="00CF3993"/>
    <w:rsid w:val="00CF3AF1"/>
    <w:rsid w:val="00CF3CF4"/>
    <w:rsid w:val="00CF3D02"/>
    <w:rsid w:val="00CF3E96"/>
    <w:rsid w:val="00CF504D"/>
    <w:rsid w:val="00CF51B5"/>
    <w:rsid w:val="00CF5469"/>
    <w:rsid w:val="00CF59F1"/>
    <w:rsid w:val="00CF5B26"/>
    <w:rsid w:val="00CF5FC3"/>
    <w:rsid w:val="00CF6038"/>
    <w:rsid w:val="00CF607D"/>
    <w:rsid w:val="00CF6D59"/>
    <w:rsid w:val="00CF769C"/>
    <w:rsid w:val="00CF7B86"/>
    <w:rsid w:val="00CF7FC2"/>
    <w:rsid w:val="00D003F3"/>
    <w:rsid w:val="00D00864"/>
    <w:rsid w:val="00D00BBF"/>
    <w:rsid w:val="00D00DF7"/>
    <w:rsid w:val="00D01148"/>
    <w:rsid w:val="00D014C0"/>
    <w:rsid w:val="00D01871"/>
    <w:rsid w:val="00D01CB8"/>
    <w:rsid w:val="00D01F27"/>
    <w:rsid w:val="00D02398"/>
    <w:rsid w:val="00D02613"/>
    <w:rsid w:val="00D0278C"/>
    <w:rsid w:val="00D02B26"/>
    <w:rsid w:val="00D02B52"/>
    <w:rsid w:val="00D02D1D"/>
    <w:rsid w:val="00D02E36"/>
    <w:rsid w:val="00D02F1D"/>
    <w:rsid w:val="00D02F53"/>
    <w:rsid w:val="00D02FE0"/>
    <w:rsid w:val="00D03778"/>
    <w:rsid w:val="00D04262"/>
    <w:rsid w:val="00D0441C"/>
    <w:rsid w:val="00D04555"/>
    <w:rsid w:val="00D04707"/>
    <w:rsid w:val="00D04889"/>
    <w:rsid w:val="00D04AE9"/>
    <w:rsid w:val="00D04C35"/>
    <w:rsid w:val="00D0571E"/>
    <w:rsid w:val="00D057DA"/>
    <w:rsid w:val="00D05A80"/>
    <w:rsid w:val="00D0619D"/>
    <w:rsid w:val="00D065EE"/>
    <w:rsid w:val="00D06709"/>
    <w:rsid w:val="00D06A95"/>
    <w:rsid w:val="00D06DA4"/>
    <w:rsid w:val="00D06EDC"/>
    <w:rsid w:val="00D0721D"/>
    <w:rsid w:val="00D07294"/>
    <w:rsid w:val="00D07480"/>
    <w:rsid w:val="00D07B17"/>
    <w:rsid w:val="00D10265"/>
    <w:rsid w:val="00D1050C"/>
    <w:rsid w:val="00D10AA3"/>
    <w:rsid w:val="00D10B2F"/>
    <w:rsid w:val="00D10FE5"/>
    <w:rsid w:val="00D113CB"/>
    <w:rsid w:val="00D114EC"/>
    <w:rsid w:val="00D11574"/>
    <w:rsid w:val="00D118DC"/>
    <w:rsid w:val="00D1191F"/>
    <w:rsid w:val="00D11942"/>
    <w:rsid w:val="00D11F6A"/>
    <w:rsid w:val="00D125B4"/>
    <w:rsid w:val="00D12A7F"/>
    <w:rsid w:val="00D12E76"/>
    <w:rsid w:val="00D13344"/>
    <w:rsid w:val="00D1350D"/>
    <w:rsid w:val="00D138E0"/>
    <w:rsid w:val="00D13C0E"/>
    <w:rsid w:val="00D13D60"/>
    <w:rsid w:val="00D13D7E"/>
    <w:rsid w:val="00D13E2D"/>
    <w:rsid w:val="00D14165"/>
    <w:rsid w:val="00D1434D"/>
    <w:rsid w:val="00D1435B"/>
    <w:rsid w:val="00D143F5"/>
    <w:rsid w:val="00D14456"/>
    <w:rsid w:val="00D146E0"/>
    <w:rsid w:val="00D14C98"/>
    <w:rsid w:val="00D15A0D"/>
    <w:rsid w:val="00D15B4E"/>
    <w:rsid w:val="00D163C8"/>
    <w:rsid w:val="00D167B7"/>
    <w:rsid w:val="00D169C5"/>
    <w:rsid w:val="00D16BE6"/>
    <w:rsid w:val="00D16D52"/>
    <w:rsid w:val="00D17129"/>
    <w:rsid w:val="00D171BD"/>
    <w:rsid w:val="00D176D7"/>
    <w:rsid w:val="00D17D5A"/>
    <w:rsid w:val="00D202A5"/>
    <w:rsid w:val="00D202C3"/>
    <w:rsid w:val="00D20312"/>
    <w:rsid w:val="00D203E7"/>
    <w:rsid w:val="00D2043B"/>
    <w:rsid w:val="00D2069D"/>
    <w:rsid w:val="00D20A45"/>
    <w:rsid w:val="00D20DFB"/>
    <w:rsid w:val="00D213F9"/>
    <w:rsid w:val="00D215B1"/>
    <w:rsid w:val="00D21DC0"/>
    <w:rsid w:val="00D2219E"/>
    <w:rsid w:val="00D22BA2"/>
    <w:rsid w:val="00D22CEA"/>
    <w:rsid w:val="00D22F6F"/>
    <w:rsid w:val="00D231FA"/>
    <w:rsid w:val="00D23441"/>
    <w:rsid w:val="00D235DD"/>
    <w:rsid w:val="00D23A10"/>
    <w:rsid w:val="00D23C29"/>
    <w:rsid w:val="00D23E68"/>
    <w:rsid w:val="00D24113"/>
    <w:rsid w:val="00D248F6"/>
    <w:rsid w:val="00D24B37"/>
    <w:rsid w:val="00D24C91"/>
    <w:rsid w:val="00D25092"/>
    <w:rsid w:val="00D25198"/>
    <w:rsid w:val="00D25C88"/>
    <w:rsid w:val="00D25CB8"/>
    <w:rsid w:val="00D26A28"/>
    <w:rsid w:val="00D26B97"/>
    <w:rsid w:val="00D26E67"/>
    <w:rsid w:val="00D2706E"/>
    <w:rsid w:val="00D278E4"/>
    <w:rsid w:val="00D27946"/>
    <w:rsid w:val="00D279B1"/>
    <w:rsid w:val="00D27B0B"/>
    <w:rsid w:val="00D27D82"/>
    <w:rsid w:val="00D27FD8"/>
    <w:rsid w:val="00D306AC"/>
    <w:rsid w:val="00D30796"/>
    <w:rsid w:val="00D30A9A"/>
    <w:rsid w:val="00D30AFA"/>
    <w:rsid w:val="00D30B25"/>
    <w:rsid w:val="00D31173"/>
    <w:rsid w:val="00D316F5"/>
    <w:rsid w:val="00D31B93"/>
    <w:rsid w:val="00D31BEA"/>
    <w:rsid w:val="00D3219B"/>
    <w:rsid w:val="00D32231"/>
    <w:rsid w:val="00D324A7"/>
    <w:rsid w:val="00D332A6"/>
    <w:rsid w:val="00D33385"/>
    <w:rsid w:val="00D33C98"/>
    <w:rsid w:val="00D33F76"/>
    <w:rsid w:val="00D34243"/>
    <w:rsid w:val="00D3489E"/>
    <w:rsid w:val="00D34BA1"/>
    <w:rsid w:val="00D34BA3"/>
    <w:rsid w:val="00D34EA0"/>
    <w:rsid w:val="00D34F51"/>
    <w:rsid w:val="00D358D9"/>
    <w:rsid w:val="00D35DBD"/>
    <w:rsid w:val="00D35E2F"/>
    <w:rsid w:val="00D36170"/>
    <w:rsid w:val="00D36304"/>
    <w:rsid w:val="00D36941"/>
    <w:rsid w:val="00D36C26"/>
    <w:rsid w:val="00D36C8D"/>
    <w:rsid w:val="00D36EC2"/>
    <w:rsid w:val="00D37422"/>
    <w:rsid w:val="00D37BF3"/>
    <w:rsid w:val="00D40060"/>
    <w:rsid w:val="00D40109"/>
    <w:rsid w:val="00D40866"/>
    <w:rsid w:val="00D40AB9"/>
    <w:rsid w:val="00D40B75"/>
    <w:rsid w:val="00D40DC4"/>
    <w:rsid w:val="00D4146A"/>
    <w:rsid w:val="00D4195D"/>
    <w:rsid w:val="00D41D5E"/>
    <w:rsid w:val="00D41DE4"/>
    <w:rsid w:val="00D41EBC"/>
    <w:rsid w:val="00D4236A"/>
    <w:rsid w:val="00D4241A"/>
    <w:rsid w:val="00D4294C"/>
    <w:rsid w:val="00D42C3B"/>
    <w:rsid w:val="00D4317B"/>
    <w:rsid w:val="00D43459"/>
    <w:rsid w:val="00D4352A"/>
    <w:rsid w:val="00D43D56"/>
    <w:rsid w:val="00D43EAA"/>
    <w:rsid w:val="00D43FB4"/>
    <w:rsid w:val="00D44203"/>
    <w:rsid w:val="00D443EF"/>
    <w:rsid w:val="00D445E3"/>
    <w:rsid w:val="00D4479A"/>
    <w:rsid w:val="00D44852"/>
    <w:rsid w:val="00D448CA"/>
    <w:rsid w:val="00D4498C"/>
    <w:rsid w:val="00D45029"/>
    <w:rsid w:val="00D456AE"/>
    <w:rsid w:val="00D4584E"/>
    <w:rsid w:val="00D45D47"/>
    <w:rsid w:val="00D45F3E"/>
    <w:rsid w:val="00D45F6D"/>
    <w:rsid w:val="00D46397"/>
    <w:rsid w:val="00D464FE"/>
    <w:rsid w:val="00D46625"/>
    <w:rsid w:val="00D46686"/>
    <w:rsid w:val="00D46CC5"/>
    <w:rsid w:val="00D473B8"/>
    <w:rsid w:val="00D47701"/>
    <w:rsid w:val="00D478BF"/>
    <w:rsid w:val="00D47AC8"/>
    <w:rsid w:val="00D47C9E"/>
    <w:rsid w:val="00D47FC6"/>
    <w:rsid w:val="00D5019F"/>
    <w:rsid w:val="00D505E2"/>
    <w:rsid w:val="00D5062D"/>
    <w:rsid w:val="00D5089F"/>
    <w:rsid w:val="00D508AF"/>
    <w:rsid w:val="00D50A7D"/>
    <w:rsid w:val="00D50FDB"/>
    <w:rsid w:val="00D51438"/>
    <w:rsid w:val="00D5157C"/>
    <w:rsid w:val="00D517FD"/>
    <w:rsid w:val="00D51817"/>
    <w:rsid w:val="00D51988"/>
    <w:rsid w:val="00D519D9"/>
    <w:rsid w:val="00D51CEE"/>
    <w:rsid w:val="00D5258A"/>
    <w:rsid w:val="00D5280F"/>
    <w:rsid w:val="00D52B4F"/>
    <w:rsid w:val="00D52F2E"/>
    <w:rsid w:val="00D530F1"/>
    <w:rsid w:val="00D53ABC"/>
    <w:rsid w:val="00D53D93"/>
    <w:rsid w:val="00D541D7"/>
    <w:rsid w:val="00D554EA"/>
    <w:rsid w:val="00D55B03"/>
    <w:rsid w:val="00D55C6A"/>
    <w:rsid w:val="00D55FB6"/>
    <w:rsid w:val="00D5630B"/>
    <w:rsid w:val="00D5645D"/>
    <w:rsid w:val="00D566F5"/>
    <w:rsid w:val="00D5698C"/>
    <w:rsid w:val="00D56A92"/>
    <w:rsid w:val="00D56BBC"/>
    <w:rsid w:val="00D56E48"/>
    <w:rsid w:val="00D574FA"/>
    <w:rsid w:val="00D57910"/>
    <w:rsid w:val="00D5797B"/>
    <w:rsid w:val="00D57C22"/>
    <w:rsid w:val="00D57CD3"/>
    <w:rsid w:val="00D57DF2"/>
    <w:rsid w:val="00D601B2"/>
    <w:rsid w:val="00D6024A"/>
    <w:rsid w:val="00D6025D"/>
    <w:rsid w:val="00D60751"/>
    <w:rsid w:val="00D60E93"/>
    <w:rsid w:val="00D61577"/>
    <w:rsid w:val="00D615AA"/>
    <w:rsid w:val="00D617DF"/>
    <w:rsid w:val="00D61B05"/>
    <w:rsid w:val="00D61D22"/>
    <w:rsid w:val="00D620FA"/>
    <w:rsid w:val="00D62284"/>
    <w:rsid w:val="00D62859"/>
    <w:rsid w:val="00D62F59"/>
    <w:rsid w:val="00D6321E"/>
    <w:rsid w:val="00D63972"/>
    <w:rsid w:val="00D6397C"/>
    <w:rsid w:val="00D63A34"/>
    <w:rsid w:val="00D63EA1"/>
    <w:rsid w:val="00D645B6"/>
    <w:rsid w:val="00D64B3C"/>
    <w:rsid w:val="00D65381"/>
    <w:rsid w:val="00D6578C"/>
    <w:rsid w:val="00D66512"/>
    <w:rsid w:val="00D66BB0"/>
    <w:rsid w:val="00D66D73"/>
    <w:rsid w:val="00D66F9C"/>
    <w:rsid w:val="00D66FF0"/>
    <w:rsid w:val="00D6705D"/>
    <w:rsid w:val="00D67130"/>
    <w:rsid w:val="00D674F5"/>
    <w:rsid w:val="00D67789"/>
    <w:rsid w:val="00D67BCE"/>
    <w:rsid w:val="00D67C02"/>
    <w:rsid w:val="00D707DD"/>
    <w:rsid w:val="00D709E5"/>
    <w:rsid w:val="00D70C40"/>
    <w:rsid w:val="00D7103C"/>
    <w:rsid w:val="00D7177B"/>
    <w:rsid w:val="00D71A99"/>
    <w:rsid w:val="00D71B93"/>
    <w:rsid w:val="00D71CBD"/>
    <w:rsid w:val="00D71DA4"/>
    <w:rsid w:val="00D71DC4"/>
    <w:rsid w:val="00D71E07"/>
    <w:rsid w:val="00D720D3"/>
    <w:rsid w:val="00D7219E"/>
    <w:rsid w:val="00D721AF"/>
    <w:rsid w:val="00D72365"/>
    <w:rsid w:val="00D72A98"/>
    <w:rsid w:val="00D72CA6"/>
    <w:rsid w:val="00D72DC4"/>
    <w:rsid w:val="00D73F7A"/>
    <w:rsid w:val="00D74060"/>
    <w:rsid w:val="00D74446"/>
    <w:rsid w:val="00D74F7A"/>
    <w:rsid w:val="00D750EE"/>
    <w:rsid w:val="00D7574B"/>
    <w:rsid w:val="00D757D0"/>
    <w:rsid w:val="00D759DA"/>
    <w:rsid w:val="00D75D6B"/>
    <w:rsid w:val="00D75E8E"/>
    <w:rsid w:val="00D75FD9"/>
    <w:rsid w:val="00D7689F"/>
    <w:rsid w:val="00D769DB"/>
    <w:rsid w:val="00D76FAF"/>
    <w:rsid w:val="00D77050"/>
    <w:rsid w:val="00D77A20"/>
    <w:rsid w:val="00D802EF"/>
    <w:rsid w:val="00D804F7"/>
    <w:rsid w:val="00D81017"/>
    <w:rsid w:val="00D810C2"/>
    <w:rsid w:val="00D810F4"/>
    <w:rsid w:val="00D816C4"/>
    <w:rsid w:val="00D81A11"/>
    <w:rsid w:val="00D82121"/>
    <w:rsid w:val="00D82686"/>
    <w:rsid w:val="00D829CF"/>
    <w:rsid w:val="00D82CD5"/>
    <w:rsid w:val="00D82E3B"/>
    <w:rsid w:val="00D83008"/>
    <w:rsid w:val="00D831D6"/>
    <w:rsid w:val="00D84278"/>
    <w:rsid w:val="00D84633"/>
    <w:rsid w:val="00D84EAB"/>
    <w:rsid w:val="00D8505F"/>
    <w:rsid w:val="00D85282"/>
    <w:rsid w:val="00D853F5"/>
    <w:rsid w:val="00D856FF"/>
    <w:rsid w:val="00D858DF"/>
    <w:rsid w:val="00D85A99"/>
    <w:rsid w:val="00D85BB8"/>
    <w:rsid w:val="00D85D83"/>
    <w:rsid w:val="00D85FB4"/>
    <w:rsid w:val="00D85FD5"/>
    <w:rsid w:val="00D862CF"/>
    <w:rsid w:val="00D8792B"/>
    <w:rsid w:val="00D87C6B"/>
    <w:rsid w:val="00D87D78"/>
    <w:rsid w:val="00D87EBA"/>
    <w:rsid w:val="00D90486"/>
    <w:rsid w:val="00D90510"/>
    <w:rsid w:val="00D90A5E"/>
    <w:rsid w:val="00D911DF"/>
    <w:rsid w:val="00D916EC"/>
    <w:rsid w:val="00D9187E"/>
    <w:rsid w:val="00D91932"/>
    <w:rsid w:val="00D919CC"/>
    <w:rsid w:val="00D91A49"/>
    <w:rsid w:val="00D92190"/>
    <w:rsid w:val="00D9232C"/>
    <w:rsid w:val="00D924F8"/>
    <w:rsid w:val="00D926A8"/>
    <w:rsid w:val="00D927C0"/>
    <w:rsid w:val="00D92A2D"/>
    <w:rsid w:val="00D92A79"/>
    <w:rsid w:val="00D92FAE"/>
    <w:rsid w:val="00D930C7"/>
    <w:rsid w:val="00D93124"/>
    <w:rsid w:val="00D932EC"/>
    <w:rsid w:val="00D9392F"/>
    <w:rsid w:val="00D939A5"/>
    <w:rsid w:val="00D93CC0"/>
    <w:rsid w:val="00D9444D"/>
    <w:rsid w:val="00D947FD"/>
    <w:rsid w:val="00D94884"/>
    <w:rsid w:val="00D949B0"/>
    <w:rsid w:val="00D949F1"/>
    <w:rsid w:val="00D94C00"/>
    <w:rsid w:val="00D94ECD"/>
    <w:rsid w:val="00D95391"/>
    <w:rsid w:val="00D95998"/>
    <w:rsid w:val="00D959B7"/>
    <w:rsid w:val="00D95AEA"/>
    <w:rsid w:val="00D95F68"/>
    <w:rsid w:val="00D9635A"/>
    <w:rsid w:val="00D96479"/>
    <w:rsid w:val="00D96BF5"/>
    <w:rsid w:val="00D97212"/>
    <w:rsid w:val="00D97252"/>
    <w:rsid w:val="00D9737A"/>
    <w:rsid w:val="00D9767C"/>
    <w:rsid w:val="00D9769B"/>
    <w:rsid w:val="00D97890"/>
    <w:rsid w:val="00D97B56"/>
    <w:rsid w:val="00D97BC8"/>
    <w:rsid w:val="00D97E80"/>
    <w:rsid w:val="00D97F35"/>
    <w:rsid w:val="00D97FA6"/>
    <w:rsid w:val="00DA019E"/>
    <w:rsid w:val="00DA01A0"/>
    <w:rsid w:val="00DA0449"/>
    <w:rsid w:val="00DA0A22"/>
    <w:rsid w:val="00DA0B50"/>
    <w:rsid w:val="00DA0D4E"/>
    <w:rsid w:val="00DA1112"/>
    <w:rsid w:val="00DA1174"/>
    <w:rsid w:val="00DA1AA7"/>
    <w:rsid w:val="00DA1B5F"/>
    <w:rsid w:val="00DA2366"/>
    <w:rsid w:val="00DA257D"/>
    <w:rsid w:val="00DA2834"/>
    <w:rsid w:val="00DA2ACF"/>
    <w:rsid w:val="00DA3066"/>
    <w:rsid w:val="00DA322C"/>
    <w:rsid w:val="00DA32C9"/>
    <w:rsid w:val="00DA3D90"/>
    <w:rsid w:val="00DA3F37"/>
    <w:rsid w:val="00DA3F50"/>
    <w:rsid w:val="00DA41BA"/>
    <w:rsid w:val="00DA41E5"/>
    <w:rsid w:val="00DA4351"/>
    <w:rsid w:val="00DA4B55"/>
    <w:rsid w:val="00DA4C3D"/>
    <w:rsid w:val="00DA4DFB"/>
    <w:rsid w:val="00DA506A"/>
    <w:rsid w:val="00DA522D"/>
    <w:rsid w:val="00DA529F"/>
    <w:rsid w:val="00DA538C"/>
    <w:rsid w:val="00DA549F"/>
    <w:rsid w:val="00DA54EE"/>
    <w:rsid w:val="00DA5BE7"/>
    <w:rsid w:val="00DA5C49"/>
    <w:rsid w:val="00DA699C"/>
    <w:rsid w:val="00DA6DAD"/>
    <w:rsid w:val="00DA6F86"/>
    <w:rsid w:val="00DA77C1"/>
    <w:rsid w:val="00DB092E"/>
    <w:rsid w:val="00DB0D5D"/>
    <w:rsid w:val="00DB0F07"/>
    <w:rsid w:val="00DB1C16"/>
    <w:rsid w:val="00DB1CAD"/>
    <w:rsid w:val="00DB22A6"/>
    <w:rsid w:val="00DB24A3"/>
    <w:rsid w:val="00DB2849"/>
    <w:rsid w:val="00DB30CA"/>
    <w:rsid w:val="00DB39EE"/>
    <w:rsid w:val="00DB3C11"/>
    <w:rsid w:val="00DB3F87"/>
    <w:rsid w:val="00DB43B0"/>
    <w:rsid w:val="00DB46AF"/>
    <w:rsid w:val="00DB483D"/>
    <w:rsid w:val="00DB5058"/>
    <w:rsid w:val="00DB535B"/>
    <w:rsid w:val="00DB5A16"/>
    <w:rsid w:val="00DB63C2"/>
    <w:rsid w:val="00DB6A32"/>
    <w:rsid w:val="00DB7208"/>
    <w:rsid w:val="00DB754C"/>
    <w:rsid w:val="00DB7DFF"/>
    <w:rsid w:val="00DB7F0C"/>
    <w:rsid w:val="00DB7F89"/>
    <w:rsid w:val="00DB7F9E"/>
    <w:rsid w:val="00DB7FD4"/>
    <w:rsid w:val="00DC02C0"/>
    <w:rsid w:val="00DC0C43"/>
    <w:rsid w:val="00DC0C65"/>
    <w:rsid w:val="00DC0D07"/>
    <w:rsid w:val="00DC0FED"/>
    <w:rsid w:val="00DC1B0A"/>
    <w:rsid w:val="00DC1E0C"/>
    <w:rsid w:val="00DC2297"/>
    <w:rsid w:val="00DC2440"/>
    <w:rsid w:val="00DC2471"/>
    <w:rsid w:val="00DC2999"/>
    <w:rsid w:val="00DC2CAA"/>
    <w:rsid w:val="00DC2E6F"/>
    <w:rsid w:val="00DC3140"/>
    <w:rsid w:val="00DC3423"/>
    <w:rsid w:val="00DC35B1"/>
    <w:rsid w:val="00DC36B6"/>
    <w:rsid w:val="00DC396B"/>
    <w:rsid w:val="00DC3A5F"/>
    <w:rsid w:val="00DC3DD0"/>
    <w:rsid w:val="00DC3FD9"/>
    <w:rsid w:val="00DC4460"/>
    <w:rsid w:val="00DC51C7"/>
    <w:rsid w:val="00DC5CEC"/>
    <w:rsid w:val="00DC5D64"/>
    <w:rsid w:val="00DC5F66"/>
    <w:rsid w:val="00DC7757"/>
    <w:rsid w:val="00DC7E51"/>
    <w:rsid w:val="00DD02C1"/>
    <w:rsid w:val="00DD0384"/>
    <w:rsid w:val="00DD0CF4"/>
    <w:rsid w:val="00DD1137"/>
    <w:rsid w:val="00DD1194"/>
    <w:rsid w:val="00DD11E5"/>
    <w:rsid w:val="00DD1867"/>
    <w:rsid w:val="00DD1B64"/>
    <w:rsid w:val="00DD203A"/>
    <w:rsid w:val="00DD2185"/>
    <w:rsid w:val="00DD228F"/>
    <w:rsid w:val="00DD23ED"/>
    <w:rsid w:val="00DD24D9"/>
    <w:rsid w:val="00DD25FC"/>
    <w:rsid w:val="00DD2687"/>
    <w:rsid w:val="00DD26E1"/>
    <w:rsid w:val="00DD2DAC"/>
    <w:rsid w:val="00DD2EDD"/>
    <w:rsid w:val="00DD338A"/>
    <w:rsid w:val="00DD3944"/>
    <w:rsid w:val="00DD3D07"/>
    <w:rsid w:val="00DD3E3D"/>
    <w:rsid w:val="00DD431C"/>
    <w:rsid w:val="00DD48B7"/>
    <w:rsid w:val="00DD4A85"/>
    <w:rsid w:val="00DD4E08"/>
    <w:rsid w:val="00DD4E9B"/>
    <w:rsid w:val="00DD5D11"/>
    <w:rsid w:val="00DD6ACA"/>
    <w:rsid w:val="00DD6B63"/>
    <w:rsid w:val="00DD6BE7"/>
    <w:rsid w:val="00DD6D00"/>
    <w:rsid w:val="00DD6EDC"/>
    <w:rsid w:val="00DD7332"/>
    <w:rsid w:val="00DD74E7"/>
    <w:rsid w:val="00DD756D"/>
    <w:rsid w:val="00DD7961"/>
    <w:rsid w:val="00DD7981"/>
    <w:rsid w:val="00DD7B69"/>
    <w:rsid w:val="00DD7DAB"/>
    <w:rsid w:val="00DD7F45"/>
    <w:rsid w:val="00DE041D"/>
    <w:rsid w:val="00DE0760"/>
    <w:rsid w:val="00DE0BD5"/>
    <w:rsid w:val="00DE152C"/>
    <w:rsid w:val="00DE17B8"/>
    <w:rsid w:val="00DE1B3C"/>
    <w:rsid w:val="00DE1CA7"/>
    <w:rsid w:val="00DE20BF"/>
    <w:rsid w:val="00DE2BA5"/>
    <w:rsid w:val="00DE33E0"/>
    <w:rsid w:val="00DE34E3"/>
    <w:rsid w:val="00DE3556"/>
    <w:rsid w:val="00DE3A31"/>
    <w:rsid w:val="00DE3BA2"/>
    <w:rsid w:val="00DE3C0A"/>
    <w:rsid w:val="00DE3D86"/>
    <w:rsid w:val="00DE3EB7"/>
    <w:rsid w:val="00DE3EE4"/>
    <w:rsid w:val="00DE40C3"/>
    <w:rsid w:val="00DE48CE"/>
    <w:rsid w:val="00DE5147"/>
    <w:rsid w:val="00DE5180"/>
    <w:rsid w:val="00DE555C"/>
    <w:rsid w:val="00DE5606"/>
    <w:rsid w:val="00DE5D62"/>
    <w:rsid w:val="00DE61C1"/>
    <w:rsid w:val="00DE62F5"/>
    <w:rsid w:val="00DE62FB"/>
    <w:rsid w:val="00DE6608"/>
    <w:rsid w:val="00DE6C46"/>
    <w:rsid w:val="00DE6CFB"/>
    <w:rsid w:val="00DE6D7D"/>
    <w:rsid w:val="00DE7A5C"/>
    <w:rsid w:val="00DE7DD4"/>
    <w:rsid w:val="00DF02F9"/>
    <w:rsid w:val="00DF0571"/>
    <w:rsid w:val="00DF06D3"/>
    <w:rsid w:val="00DF0A65"/>
    <w:rsid w:val="00DF104B"/>
    <w:rsid w:val="00DF1F53"/>
    <w:rsid w:val="00DF22F4"/>
    <w:rsid w:val="00DF27F0"/>
    <w:rsid w:val="00DF2A99"/>
    <w:rsid w:val="00DF2B17"/>
    <w:rsid w:val="00DF2BC9"/>
    <w:rsid w:val="00DF2C3E"/>
    <w:rsid w:val="00DF30CC"/>
    <w:rsid w:val="00DF32E2"/>
    <w:rsid w:val="00DF3986"/>
    <w:rsid w:val="00DF3AE7"/>
    <w:rsid w:val="00DF3B7A"/>
    <w:rsid w:val="00DF4956"/>
    <w:rsid w:val="00DF4983"/>
    <w:rsid w:val="00DF4A86"/>
    <w:rsid w:val="00DF4C99"/>
    <w:rsid w:val="00DF50CA"/>
    <w:rsid w:val="00DF51FC"/>
    <w:rsid w:val="00DF52BF"/>
    <w:rsid w:val="00DF59C0"/>
    <w:rsid w:val="00DF5EC5"/>
    <w:rsid w:val="00DF6038"/>
    <w:rsid w:val="00DF608C"/>
    <w:rsid w:val="00DF6540"/>
    <w:rsid w:val="00DF6568"/>
    <w:rsid w:val="00DF666F"/>
    <w:rsid w:val="00DF6CA0"/>
    <w:rsid w:val="00DF6E89"/>
    <w:rsid w:val="00DF73B8"/>
    <w:rsid w:val="00DF7878"/>
    <w:rsid w:val="00DF7D55"/>
    <w:rsid w:val="00E0031A"/>
    <w:rsid w:val="00E003DB"/>
    <w:rsid w:val="00E00818"/>
    <w:rsid w:val="00E00A54"/>
    <w:rsid w:val="00E00B26"/>
    <w:rsid w:val="00E00B38"/>
    <w:rsid w:val="00E00BE8"/>
    <w:rsid w:val="00E00CA6"/>
    <w:rsid w:val="00E00D0A"/>
    <w:rsid w:val="00E0179D"/>
    <w:rsid w:val="00E01ACE"/>
    <w:rsid w:val="00E01D3C"/>
    <w:rsid w:val="00E021C3"/>
    <w:rsid w:val="00E025CC"/>
    <w:rsid w:val="00E0278E"/>
    <w:rsid w:val="00E02BD1"/>
    <w:rsid w:val="00E02D11"/>
    <w:rsid w:val="00E02E87"/>
    <w:rsid w:val="00E02EF6"/>
    <w:rsid w:val="00E03166"/>
    <w:rsid w:val="00E03177"/>
    <w:rsid w:val="00E0328D"/>
    <w:rsid w:val="00E034F2"/>
    <w:rsid w:val="00E03BC0"/>
    <w:rsid w:val="00E03CAE"/>
    <w:rsid w:val="00E04056"/>
    <w:rsid w:val="00E04B7F"/>
    <w:rsid w:val="00E04C5D"/>
    <w:rsid w:val="00E04CA7"/>
    <w:rsid w:val="00E04E6F"/>
    <w:rsid w:val="00E04EBB"/>
    <w:rsid w:val="00E04F82"/>
    <w:rsid w:val="00E05787"/>
    <w:rsid w:val="00E0579F"/>
    <w:rsid w:val="00E05B27"/>
    <w:rsid w:val="00E05BF4"/>
    <w:rsid w:val="00E05E2C"/>
    <w:rsid w:val="00E05E3E"/>
    <w:rsid w:val="00E06389"/>
    <w:rsid w:val="00E06B87"/>
    <w:rsid w:val="00E07427"/>
    <w:rsid w:val="00E0751E"/>
    <w:rsid w:val="00E076B1"/>
    <w:rsid w:val="00E079F7"/>
    <w:rsid w:val="00E07AAD"/>
    <w:rsid w:val="00E07DE6"/>
    <w:rsid w:val="00E102B7"/>
    <w:rsid w:val="00E104EA"/>
    <w:rsid w:val="00E10632"/>
    <w:rsid w:val="00E109CF"/>
    <w:rsid w:val="00E10D20"/>
    <w:rsid w:val="00E10DC2"/>
    <w:rsid w:val="00E10E0E"/>
    <w:rsid w:val="00E10F5C"/>
    <w:rsid w:val="00E11288"/>
    <w:rsid w:val="00E11AEB"/>
    <w:rsid w:val="00E121F6"/>
    <w:rsid w:val="00E127E1"/>
    <w:rsid w:val="00E12883"/>
    <w:rsid w:val="00E1365F"/>
    <w:rsid w:val="00E1379D"/>
    <w:rsid w:val="00E13CE5"/>
    <w:rsid w:val="00E13EE9"/>
    <w:rsid w:val="00E145E4"/>
    <w:rsid w:val="00E147CF"/>
    <w:rsid w:val="00E1483B"/>
    <w:rsid w:val="00E14C1E"/>
    <w:rsid w:val="00E14D24"/>
    <w:rsid w:val="00E14D6C"/>
    <w:rsid w:val="00E150E4"/>
    <w:rsid w:val="00E153D9"/>
    <w:rsid w:val="00E154DB"/>
    <w:rsid w:val="00E154FB"/>
    <w:rsid w:val="00E15697"/>
    <w:rsid w:val="00E157D1"/>
    <w:rsid w:val="00E15843"/>
    <w:rsid w:val="00E15948"/>
    <w:rsid w:val="00E15A9D"/>
    <w:rsid w:val="00E15BA6"/>
    <w:rsid w:val="00E15CF1"/>
    <w:rsid w:val="00E162F3"/>
    <w:rsid w:val="00E16307"/>
    <w:rsid w:val="00E163CF"/>
    <w:rsid w:val="00E16625"/>
    <w:rsid w:val="00E1668D"/>
    <w:rsid w:val="00E1682E"/>
    <w:rsid w:val="00E16DB3"/>
    <w:rsid w:val="00E170CF"/>
    <w:rsid w:val="00E17242"/>
    <w:rsid w:val="00E17AA0"/>
    <w:rsid w:val="00E17B00"/>
    <w:rsid w:val="00E17B65"/>
    <w:rsid w:val="00E20121"/>
    <w:rsid w:val="00E20501"/>
    <w:rsid w:val="00E20C06"/>
    <w:rsid w:val="00E20FE5"/>
    <w:rsid w:val="00E21F83"/>
    <w:rsid w:val="00E21FB3"/>
    <w:rsid w:val="00E21FE7"/>
    <w:rsid w:val="00E22295"/>
    <w:rsid w:val="00E22389"/>
    <w:rsid w:val="00E22D1E"/>
    <w:rsid w:val="00E22FF9"/>
    <w:rsid w:val="00E23100"/>
    <w:rsid w:val="00E23148"/>
    <w:rsid w:val="00E2341D"/>
    <w:rsid w:val="00E23427"/>
    <w:rsid w:val="00E23A72"/>
    <w:rsid w:val="00E23C07"/>
    <w:rsid w:val="00E23FA2"/>
    <w:rsid w:val="00E24061"/>
    <w:rsid w:val="00E24819"/>
    <w:rsid w:val="00E24C36"/>
    <w:rsid w:val="00E24EDC"/>
    <w:rsid w:val="00E25046"/>
    <w:rsid w:val="00E2509B"/>
    <w:rsid w:val="00E252C8"/>
    <w:rsid w:val="00E25574"/>
    <w:rsid w:val="00E25700"/>
    <w:rsid w:val="00E2591D"/>
    <w:rsid w:val="00E25BA2"/>
    <w:rsid w:val="00E260EA"/>
    <w:rsid w:val="00E26390"/>
    <w:rsid w:val="00E26A38"/>
    <w:rsid w:val="00E26B09"/>
    <w:rsid w:val="00E26E2A"/>
    <w:rsid w:val="00E27059"/>
    <w:rsid w:val="00E271B9"/>
    <w:rsid w:val="00E2727A"/>
    <w:rsid w:val="00E275D7"/>
    <w:rsid w:val="00E276D5"/>
    <w:rsid w:val="00E27963"/>
    <w:rsid w:val="00E27A9F"/>
    <w:rsid w:val="00E27FA8"/>
    <w:rsid w:val="00E30514"/>
    <w:rsid w:val="00E309CC"/>
    <w:rsid w:val="00E30A23"/>
    <w:rsid w:val="00E30CFC"/>
    <w:rsid w:val="00E31835"/>
    <w:rsid w:val="00E319D3"/>
    <w:rsid w:val="00E31A32"/>
    <w:rsid w:val="00E31A9E"/>
    <w:rsid w:val="00E31B8F"/>
    <w:rsid w:val="00E31E31"/>
    <w:rsid w:val="00E329BA"/>
    <w:rsid w:val="00E32DE1"/>
    <w:rsid w:val="00E330D5"/>
    <w:rsid w:val="00E3352A"/>
    <w:rsid w:val="00E336A8"/>
    <w:rsid w:val="00E33B39"/>
    <w:rsid w:val="00E33BB6"/>
    <w:rsid w:val="00E33DA5"/>
    <w:rsid w:val="00E33F9C"/>
    <w:rsid w:val="00E34D40"/>
    <w:rsid w:val="00E34FA6"/>
    <w:rsid w:val="00E358C3"/>
    <w:rsid w:val="00E35D9F"/>
    <w:rsid w:val="00E36B02"/>
    <w:rsid w:val="00E379DF"/>
    <w:rsid w:val="00E37C52"/>
    <w:rsid w:val="00E402B9"/>
    <w:rsid w:val="00E402DC"/>
    <w:rsid w:val="00E403D5"/>
    <w:rsid w:val="00E40C07"/>
    <w:rsid w:val="00E40D54"/>
    <w:rsid w:val="00E40DFB"/>
    <w:rsid w:val="00E4159C"/>
    <w:rsid w:val="00E41719"/>
    <w:rsid w:val="00E41A94"/>
    <w:rsid w:val="00E41B5A"/>
    <w:rsid w:val="00E42158"/>
    <w:rsid w:val="00E421D3"/>
    <w:rsid w:val="00E4279E"/>
    <w:rsid w:val="00E428F4"/>
    <w:rsid w:val="00E42D9C"/>
    <w:rsid w:val="00E43A96"/>
    <w:rsid w:val="00E4458C"/>
    <w:rsid w:val="00E445A6"/>
    <w:rsid w:val="00E44B40"/>
    <w:rsid w:val="00E44DA7"/>
    <w:rsid w:val="00E44F5A"/>
    <w:rsid w:val="00E44FDD"/>
    <w:rsid w:val="00E452A0"/>
    <w:rsid w:val="00E453A3"/>
    <w:rsid w:val="00E4554C"/>
    <w:rsid w:val="00E4574A"/>
    <w:rsid w:val="00E45A16"/>
    <w:rsid w:val="00E45A45"/>
    <w:rsid w:val="00E45D6E"/>
    <w:rsid w:val="00E45E6E"/>
    <w:rsid w:val="00E460D6"/>
    <w:rsid w:val="00E460D9"/>
    <w:rsid w:val="00E46190"/>
    <w:rsid w:val="00E463AD"/>
    <w:rsid w:val="00E4645B"/>
    <w:rsid w:val="00E464C7"/>
    <w:rsid w:val="00E464ED"/>
    <w:rsid w:val="00E4657C"/>
    <w:rsid w:val="00E466F4"/>
    <w:rsid w:val="00E466FF"/>
    <w:rsid w:val="00E46B44"/>
    <w:rsid w:val="00E46FCA"/>
    <w:rsid w:val="00E47409"/>
    <w:rsid w:val="00E47678"/>
    <w:rsid w:val="00E51261"/>
    <w:rsid w:val="00E51659"/>
    <w:rsid w:val="00E5197F"/>
    <w:rsid w:val="00E51EE0"/>
    <w:rsid w:val="00E51F52"/>
    <w:rsid w:val="00E52183"/>
    <w:rsid w:val="00E5222A"/>
    <w:rsid w:val="00E526F6"/>
    <w:rsid w:val="00E52999"/>
    <w:rsid w:val="00E52AA0"/>
    <w:rsid w:val="00E52BD7"/>
    <w:rsid w:val="00E52DE7"/>
    <w:rsid w:val="00E52F19"/>
    <w:rsid w:val="00E5335D"/>
    <w:rsid w:val="00E53555"/>
    <w:rsid w:val="00E536AB"/>
    <w:rsid w:val="00E53733"/>
    <w:rsid w:val="00E538CC"/>
    <w:rsid w:val="00E53B60"/>
    <w:rsid w:val="00E53C3B"/>
    <w:rsid w:val="00E53F40"/>
    <w:rsid w:val="00E5421A"/>
    <w:rsid w:val="00E54250"/>
    <w:rsid w:val="00E54382"/>
    <w:rsid w:val="00E543EA"/>
    <w:rsid w:val="00E54A5D"/>
    <w:rsid w:val="00E54ACC"/>
    <w:rsid w:val="00E54B10"/>
    <w:rsid w:val="00E54C39"/>
    <w:rsid w:val="00E54DCD"/>
    <w:rsid w:val="00E54FB4"/>
    <w:rsid w:val="00E55671"/>
    <w:rsid w:val="00E55A96"/>
    <w:rsid w:val="00E55DFF"/>
    <w:rsid w:val="00E55FCB"/>
    <w:rsid w:val="00E56006"/>
    <w:rsid w:val="00E56171"/>
    <w:rsid w:val="00E56223"/>
    <w:rsid w:val="00E56606"/>
    <w:rsid w:val="00E56C57"/>
    <w:rsid w:val="00E56DF2"/>
    <w:rsid w:val="00E56E18"/>
    <w:rsid w:val="00E56EBB"/>
    <w:rsid w:val="00E576C9"/>
    <w:rsid w:val="00E57764"/>
    <w:rsid w:val="00E57886"/>
    <w:rsid w:val="00E57FE5"/>
    <w:rsid w:val="00E60388"/>
    <w:rsid w:val="00E60570"/>
    <w:rsid w:val="00E6057C"/>
    <w:rsid w:val="00E605B5"/>
    <w:rsid w:val="00E605BB"/>
    <w:rsid w:val="00E60732"/>
    <w:rsid w:val="00E60773"/>
    <w:rsid w:val="00E60962"/>
    <w:rsid w:val="00E60A46"/>
    <w:rsid w:val="00E60C43"/>
    <w:rsid w:val="00E60FCD"/>
    <w:rsid w:val="00E613CE"/>
    <w:rsid w:val="00E616D9"/>
    <w:rsid w:val="00E62035"/>
    <w:rsid w:val="00E622E8"/>
    <w:rsid w:val="00E624EA"/>
    <w:rsid w:val="00E62569"/>
    <w:rsid w:val="00E6290E"/>
    <w:rsid w:val="00E62A47"/>
    <w:rsid w:val="00E62A50"/>
    <w:rsid w:val="00E6316C"/>
    <w:rsid w:val="00E637AD"/>
    <w:rsid w:val="00E6386E"/>
    <w:rsid w:val="00E6456F"/>
    <w:rsid w:val="00E64636"/>
    <w:rsid w:val="00E64C86"/>
    <w:rsid w:val="00E64F98"/>
    <w:rsid w:val="00E654C8"/>
    <w:rsid w:val="00E65711"/>
    <w:rsid w:val="00E65B45"/>
    <w:rsid w:val="00E65CD2"/>
    <w:rsid w:val="00E66009"/>
    <w:rsid w:val="00E6686E"/>
    <w:rsid w:val="00E66D7D"/>
    <w:rsid w:val="00E66E17"/>
    <w:rsid w:val="00E66E40"/>
    <w:rsid w:val="00E6728F"/>
    <w:rsid w:val="00E674D2"/>
    <w:rsid w:val="00E67860"/>
    <w:rsid w:val="00E6793B"/>
    <w:rsid w:val="00E67E10"/>
    <w:rsid w:val="00E67F66"/>
    <w:rsid w:val="00E70141"/>
    <w:rsid w:val="00E706F4"/>
    <w:rsid w:val="00E71388"/>
    <w:rsid w:val="00E7140C"/>
    <w:rsid w:val="00E71547"/>
    <w:rsid w:val="00E71A30"/>
    <w:rsid w:val="00E71B4D"/>
    <w:rsid w:val="00E720E6"/>
    <w:rsid w:val="00E721C2"/>
    <w:rsid w:val="00E722D7"/>
    <w:rsid w:val="00E72389"/>
    <w:rsid w:val="00E72686"/>
    <w:rsid w:val="00E728F3"/>
    <w:rsid w:val="00E72C73"/>
    <w:rsid w:val="00E731A5"/>
    <w:rsid w:val="00E734A4"/>
    <w:rsid w:val="00E739F7"/>
    <w:rsid w:val="00E73B88"/>
    <w:rsid w:val="00E743C7"/>
    <w:rsid w:val="00E744B4"/>
    <w:rsid w:val="00E7477C"/>
    <w:rsid w:val="00E74914"/>
    <w:rsid w:val="00E74AFA"/>
    <w:rsid w:val="00E74C09"/>
    <w:rsid w:val="00E750C7"/>
    <w:rsid w:val="00E7545C"/>
    <w:rsid w:val="00E758EA"/>
    <w:rsid w:val="00E7597E"/>
    <w:rsid w:val="00E75EC8"/>
    <w:rsid w:val="00E75F0D"/>
    <w:rsid w:val="00E75F1F"/>
    <w:rsid w:val="00E760BF"/>
    <w:rsid w:val="00E7665B"/>
    <w:rsid w:val="00E76674"/>
    <w:rsid w:val="00E767F8"/>
    <w:rsid w:val="00E7684A"/>
    <w:rsid w:val="00E7694A"/>
    <w:rsid w:val="00E76A6D"/>
    <w:rsid w:val="00E77172"/>
    <w:rsid w:val="00E778F4"/>
    <w:rsid w:val="00E809A0"/>
    <w:rsid w:val="00E80E68"/>
    <w:rsid w:val="00E810D5"/>
    <w:rsid w:val="00E8132E"/>
    <w:rsid w:val="00E814B2"/>
    <w:rsid w:val="00E81810"/>
    <w:rsid w:val="00E81B63"/>
    <w:rsid w:val="00E81BD4"/>
    <w:rsid w:val="00E81F2A"/>
    <w:rsid w:val="00E81FA9"/>
    <w:rsid w:val="00E82169"/>
    <w:rsid w:val="00E82290"/>
    <w:rsid w:val="00E82A79"/>
    <w:rsid w:val="00E82D02"/>
    <w:rsid w:val="00E8348B"/>
    <w:rsid w:val="00E8368D"/>
    <w:rsid w:val="00E83791"/>
    <w:rsid w:val="00E84A33"/>
    <w:rsid w:val="00E84C63"/>
    <w:rsid w:val="00E853FF"/>
    <w:rsid w:val="00E85730"/>
    <w:rsid w:val="00E8595E"/>
    <w:rsid w:val="00E860A9"/>
    <w:rsid w:val="00E860B3"/>
    <w:rsid w:val="00E86222"/>
    <w:rsid w:val="00E86511"/>
    <w:rsid w:val="00E87B9F"/>
    <w:rsid w:val="00E87CEF"/>
    <w:rsid w:val="00E87D65"/>
    <w:rsid w:val="00E87D94"/>
    <w:rsid w:val="00E87DB8"/>
    <w:rsid w:val="00E87E66"/>
    <w:rsid w:val="00E90625"/>
    <w:rsid w:val="00E91013"/>
    <w:rsid w:val="00E91051"/>
    <w:rsid w:val="00E91ED0"/>
    <w:rsid w:val="00E92334"/>
    <w:rsid w:val="00E924AE"/>
    <w:rsid w:val="00E927D0"/>
    <w:rsid w:val="00E92841"/>
    <w:rsid w:val="00E928B9"/>
    <w:rsid w:val="00E932FC"/>
    <w:rsid w:val="00E93397"/>
    <w:rsid w:val="00E93582"/>
    <w:rsid w:val="00E9394B"/>
    <w:rsid w:val="00E93ACA"/>
    <w:rsid w:val="00E93AEC"/>
    <w:rsid w:val="00E93E35"/>
    <w:rsid w:val="00E93EAA"/>
    <w:rsid w:val="00E94082"/>
    <w:rsid w:val="00E94397"/>
    <w:rsid w:val="00E94411"/>
    <w:rsid w:val="00E945ED"/>
    <w:rsid w:val="00E94A0B"/>
    <w:rsid w:val="00E951F4"/>
    <w:rsid w:val="00E953A6"/>
    <w:rsid w:val="00E95814"/>
    <w:rsid w:val="00E95AC7"/>
    <w:rsid w:val="00E9645B"/>
    <w:rsid w:val="00E964DF"/>
    <w:rsid w:val="00E9661D"/>
    <w:rsid w:val="00E9669A"/>
    <w:rsid w:val="00E966E9"/>
    <w:rsid w:val="00E97C29"/>
    <w:rsid w:val="00EA0049"/>
    <w:rsid w:val="00EA0F98"/>
    <w:rsid w:val="00EA127C"/>
    <w:rsid w:val="00EA154C"/>
    <w:rsid w:val="00EA1681"/>
    <w:rsid w:val="00EA17D4"/>
    <w:rsid w:val="00EA19F4"/>
    <w:rsid w:val="00EA1BE7"/>
    <w:rsid w:val="00EA1D38"/>
    <w:rsid w:val="00EA2642"/>
    <w:rsid w:val="00EA281F"/>
    <w:rsid w:val="00EA2BA1"/>
    <w:rsid w:val="00EA3520"/>
    <w:rsid w:val="00EA3A10"/>
    <w:rsid w:val="00EA3AC5"/>
    <w:rsid w:val="00EA3D74"/>
    <w:rsid w:val="00EA3D8A"/>
    <w:rsid w:val="00EA3F08"/>
    <w:rsid w:val="00EA4060"/>
    <w:rsid w:val="00EA43C8"/>
    <w:rsid w:val="00EA441D"/>
    <w:rsid w:val="00EA4803"/>
    <w:rsid w:val="00EA4A18"/>
    <w:rsid w:val="00EA5491"/>
    <w:rsid w:val="00EA58AB"/>
    <w:rsid w:val="00EA5BFA"/>
    <w:rsid w:val="00EA5C4F"/>
    <w:rsid w:val="00EA62E4"/>
    <w:rsid w:val="00EA657A"/>
    <w:rsid w:val="00EA6699"/>
    <w:rsid w:val="00EA6A78"/>
    <w:rsid w:val="00EA6A90"/>
    <w:rsid w:val="00EA6C21"/>
    <w:rsid w:val="00EA6C30"/>
    <w:rsid w:val="00EA73CE"/>
    <w:rsid w:val="00EA75E8"/>
    <w:rsid w:val="00EA7B71"/>
    <w:rsid w:val="00EA7C48"/>
    <w:rsid w:val="00EB01B4"/>
    <w:rsid w:val="00EB02BE"/>
    <w:rsid w:val="00EB0571"/>
    <w:rsid w:val="00EB0800"/>
    <w:rsid w:val="00EB08E4"/>
    <w:rsid w:val="00EB0B11"/>
    <w:rsid w:val="00EB0F9D"/>
    <w:rsid w:val="00EB10E9"/>
    <w:rsid w:val="00EB178D"/>
    <w:rsid w:val="00EB1B85"/>
    <w:rsid w:val="00EB1D05"/>
    <w:rsid w:val="00EB1F71"/>
    <w:rsid w:val="00EB223A"/>
    <w:rsid w:val="00EB224A"/>
    <w:rsid w:val="00EB2560"/>
    <w:rsid w:val="00EB2A4A"/>
    <w:rsid w:val="00EB2A96"/>
    <w:rsid w:val="00EB2BA0"/>
    <w:rsid w:val="00EB2CEA"/>
    <w:rsid w:val="00EB2D28"/>
    <w:rsid w:val="00EB3345"/>
    <w:rsid w:val="00EB3410"/>
    <w:rsid w:val="00EB4058"/>
    <w:rsid w:val="00EB4933"/>
    <w:rsid w:val="00EB4CA8"/>
    <w:rsid w:val="00EB4EBD"/>
    <w:rsid w:val="00EB5197"/>
    <w:rsid w:val="00EB5395"/>
    <w:rsid w:val="00EB54D3"/>
    <w:rsid w:val="00EB54F8"/>
    <w:rsid w:val="00EB556C"/>
    <w:rsid w:val="00EB556D"/>
    <w:rsid w:val="00EB62E2"/>
    <w:rsid w:val="00EB6870"/>
    <w:rsid w:val="00EB6B02"/>
    <w:rsid w:val="00EB6BA1"/>
    <w:rsid w:val="00EB6E0A"/>
    <w:rsid w:val="00EB6E43"/>
    <w:rsid w:val="00EB73F2"/>
    <w:rsid w:val="00EB743E"/>
    <w:rsid w:val="00EB771D"/>
    <w:rsid w:val="00EB77DF"/>
    <w:rsid w:val="00EB7B1B"/>
    <w:rsid w:val="00EB7B72"/>
    <w:rsid w:val="00EB7F33"/>
    <w:rsid w:val="00EC0980"/>
    <w:rsid w:val="00EC0B23"/>
    <w:rsid w:val="00EC0C61"/>
    <w:rsid w:val="00EC0E8A"/>
    <w:rsid w:val="00EC14C7"/>
    <w:rsid w:val="00EC1BDC"/>
    <w:rsid w:val="00EC1EA0"/>
    <w:rsid w:val="00EC1EF9"/>
    <w:rsid w:val="00EC24A1"/>
    <w:rsid w:val="00EC25A1"/>
    <w:rsid w:val="00EC2A7F"/>
    <w:rsid w:val="00EC2BD6"/>
    <w:rsid w:val="00EC2BEA"/>
    <w:rsid w:val="00EC301F"/>
    <w:rsid w:val="00EC31B3"/>
    <w:rsid w:val="00EC33E4"/>
    <w:rsid w:val="00EC34C9"/>
    <w:rsid w:val="00EC39FB"/>
    <w:rsid w:val="00EC3AB6"/>
    <w:rsid w:val="00EC3CB0"/>
    <w:rsid w:val="00EC3F24"/>
    <w:rsid w:val="00EC45EC"/>
    <w:rsid w:val="00EC47EC"/>
    <w:rsid w:val="00EC48B3"/>
    <w:rsid w:val="00EC5407"/>
    <w:rsid w:val="00EC5CC4"/>
    <w:rsid w:val="00EC5E2B"/>
    <w:rsid w:val="00EC61F1"/>
    <w:rsid w:val="00EC6822"/>
    <w:rsid w:val="00EC6A23"/>
    <w:rsid w:val="00EC747A"/>
    <w:rsid w:val="00EC764C"/>
    <w:rsid w:val="00EC78C3"/>
    <w:rsid w:val="00EC7C1F"/>
    <w:rsid w:val="00ED003A"/>
    <w:rsid w:val="00ED0167"/>
    <w:rsid w:val="00ED09C3"/>
    <w:rsid w:val="00ED0A16"/>
    <w:rsid w:val="00ED0ED2"/>
    <w:rsid w:val="00ED130B"/>
    <w:rsid w:val="00ED1764"/>
    <w:rsid w:val="00ED1A6A"/>
    <w:rsid w:val="00ED2529"/>
    <w:rsid w:val="00ED28F9"/>
    <w:rsid w:val="00ED2BC3"/>
    <w:rsid w:val="00ED2DAC"/>
    <w:rsid w:val="00ED2E8E"/>
    <w:rsid w:val="00ED2F34"/>
    <w:rsid w:val="00ED323D"/>
    <w:rsid w:val="00ED32A0"/>
    <w:rsid w:val="00ED371A"/>
    <w:rsid w:val="00ED3F4A"/>
    <w:rsid w:val="00ED419C"/>
    <w:rsid w:val="00ED41DA"/>
    <w:rsid w:val="00ED4966"/>
    <w:rsid w:val="00ED4F11"/>
    <w:rsid w:val="00ED513A"/>
    <w:rsid w:val="00ED54B8"/>
    <w:rsid w:val="00ED5792"/>
    <w:rsid w:val="00ED57E1"/>
    <w:rsid w:val="00ED594A"/>
    <w:rsid w:val="00ED5C02"/>
    <w:rsid w:val="00ED619B"/>
    <w:rsid w:val="00ED637C"/>
    <w:rsid w:val="00ED665A"/>
    <w:rsid w:val="00ED6AC4"/>
    <w:rsid w:val="00ED75C7"/>
    <w:rsid w:val="00ED781A"/>
    <w:rsid w:val="00ED7C87"/>
    <w:rsid w:val="00ED7FB8"/>
    <w:rsid w:val="00EE02E9"/>
    <w:rsid w:val="00EE0FDE"/>
    <w:rsid w:val="00EE10D4"/>
    <w:rsid w:val="00EE1328"/>
    <w:rsid w:val="00EE14F6"/>
    <w:rsid w:val="00EE16D0"/>
    <w:rsid w:val="00EE173F"/>
    <w:rsid w:val="00EE1B22"/>
    <w:rsid w:val="00EE1D0B"/>
    <w:rsid w:val="00EE1DF2"/>
    <w:rsid w:val="00EE20F9"/>
    <w:rsid w:val="00EE219E"/>
    <w:rsid w:val="00EE221F"/>
    <w:rsid w:val="00EE2553"/>
    <w:rsid w:val="00EE29F6"/>
    <w:rsid w:val="00EE2EEA"/>
    <w:rsid w:val="00EE37FA"/>
    <w:rsid w:val="00EE3B62"/>
    <w:rsid w:val="00EE3B66"/>
    <w:rsid w:val="00EE439E"/>
    <w:rsid w:val="00EE4480"/>
    <w:rsid w:val="00EE4DC6"/>
    <w:rsid w:val="00EE5592"/>
    <w:rsid w:val="00EE5636"/>
    <w:rsid w:val="00EE5738"/>
    <w:rsid w:val="00EE5CDC"/>
    <w:rsid w:val="00EE5FB9"/>
    <w:rsid w:val="00EE609A"/>
    <w:rsid w:val="00EE6751"/>
    <w:rsid w:val="00EE6DE6"/>
    <w:rsid w:val="00EE700E"/>
    <w:rsid w:val="00EE70F6"/>
    <w:rsid w:val="00EE74BC"/>
    <w:rsid w:val="00EE783E"/>
    <w:rsid w:val="00EE786C"/>
    <w:rsid w:val="00EF042F"/>
    <w:rsid w:val="00EF0835"/>
    <w:rsid w:val="00EF08C8"/>
    <w:rsid w:val="00EF1809"/>
    <w:rsid w:val="00EF182C"/>
    <w:rsid w:val="00EF1BF5"/>
    <w:rsid w:val="00EF1DA3"/>
    <w:rsid w:val="00EF2554"/>
    <w:rsid w:val="00EF2617"/>
    <w:rsid w:val="00EF2757"/>
    <w:rsid w:val="00EF2F8C"/>
    <w:rsid w:val="00EF2FDD"/>
    <w:rsid w:val="00EF35D1"/>
    <w:rsid w:val="00EF37C9"/>
    <w:rsid w:val="00EF3EBD"/>
    <w:rsid w:val="00EF40DA"/>
    <w:rsid w:val="00EF43CE"/>
    <w:rsid w:val="00EF442D"/>
    <w:rsid w:val="00EF4C66"/>
    <w:rsid w:val="00EF4EF2"/>
    <w:rsid w:val="00EF6025"/>
    <w:rsid w:val="00EF61D8"/>
    <w:rsid w:val="00EF643B"/>
    <w:rsid w:val="00EF6896"/>
    <w:rsid w:val="00EF6E7C"/>
    <w:rsid w:val="00EF70B8"/>
    <w:rsid w:val="00EF72BE"/>
    <w:rsid w:val="00EF73F3"/>
    <w:rsid w:val="00EF76AC"/>
    <w:rsid w:val="00F001D5"/>
    <w:rsid w:val="00F00321"/>
    <w:rsid w:val="00F0036A"/>
    <w:rsid w:val="00F0060E"/>
    <w:rsid w:val="00F0072E"/>
    <w:rsid w:val="00F00859"/>
    <w:rsid w:val="00F00912"/>
    <w:rsid w:val="00F00AAA"/>
    <w:rsid w:val="00F00FE5"/>
    <w:rsid w:val="00F0161E"/>
    <w:rsid w:val="00F01634"/>
    <w:rsid w:val="00F018D7"/>
    <w:rsid w:val="00F01B5A"/>
    <w:rsid w:val="00F01CB0"/>
    <w:rsid w:val="00F01D01"/>
    <w:rsid w:val="00F01D1B"/>
    <w:rsid w:val="00F01DB1"/>
    <w:rsid w:val="00F01E43"/>
    <w:rsid w:val="00F020FA"/>
    <w:rsid w:val="00F021E7"/>
    <w:rsid w:val="00F0236C"/>
    <w:rsid w:val="00F02760"/>
    <w:rsid w:val="00F02C8A"/>
    <w:rsid w:val="00F031AA"/>
    <w:rsid w:val="00F034C7"/>
    <w:rsid w:val="00F03552"/>
    <w:rsid w:val="00F03ADC"/>
    <w:rsid w:val="00F03FC4"/>
    <w:rsid w:val="00F03FE9"/>
    <w:rsid w:val="00F04080"/>
    <w:rsid w:val="00F0461F"/>
    <w:rsid w:val="00F04A7C"/>
    <w:rsid w:val="00F0520E"/>
    <w:rsid w:val="00F055D5"/>
    <w:rsid w:val="00F055F0"/>
    <w:rsid w:val="00F056DB"/>
    <w:rsid w:val="00F05A9E"/>
    <w:rsid w:val="00F05CA0"/>
    <w:rsid w:val="00F0670F"/>
    <w:rsid w:val="00F06B02"/>
    <w:rsid w:val="00F06E83"/>
    <w:rsid w:val="00F06F48"/>
    <w:rsid w:val="00F06F79"/>
    <w:rsid w:val="00F06FF4"/>
    <w:rsid w:val="00F0721F"/>
    <w:rsid w:val="00F07296"/>
    <w:rsid w:val="00F073A1"/>
    <w:rsid w:val="00F07BB8"/>
    <w:rsid w:val="00F07CA2"/>
    <w:rsid w:val="00F07D99"/>
    <w:rsid w:val="00F07EF9"/>
    <w:rsid w:val="00F10490"/>
    <w:rsid w:val="00F1139A"/>
    <w:rsid w:val="00F117ED"/>
    <w:rsid w:val="00F1198F"/>
    <w:rsid w:val="00F11C72"/>
    <w:rsid w:val="00F124BF"/>
    <w:rsid w:val="00F13104"/>
    <w:rsid w:val="00F131C6"/>
    <w:rsid w:val="00F131E8"/>
    <w:rsid w:val="00F13317"/>
    <w:rsid w:val="00F13367"/>
    <w:rsid w:val="00F1398E"/>
    <w:rsid w:val="00F13A30"/>
    <w:rsid w:val="00F13DBE"/>
    <w:rsid w:val="00F140D3"/>
    <w:rsid w:val="00F1478C"/>
    <w:rsid w:val="00F149D8"/>
    <w:rsid w:val="00F152D7"/>
    <w:rsid w:val="00F15D33"/>
    <w:rsid w:val="00F16087"/>
    <w:rsid w:val="00F1618E"/>
    <w:rsid w:val="00F16829"/>
    <w:rsid w:val="00F169BF"/>
    <w:rsid w:val="00F16A08"/>
    <w:rsid w:val="00F16B62"/>
    <w:rsid w:val="00F17D48"/>
    <w:rsid w:val="00F17DD7"/>
    <w:rsid w:val="00F20170"/>
    <w:rsid w:val="00F201A7"/>
    <w:rsid w:val="00F203D4"/>
    <w:rsid w:val="00F20884"/>
    <w:rsid w:val="00F21561"/>
    <w:rsid w:val="00F21B43"/>
    <w:rsid w:val="00F21EC1"/>
    <w:rsid w:val="00F22033"/>
    <w:rsid w:val="00F22035"/>
    <w:rsid w:val="00F223FE"/>
    <w:rsid w:val="00F224AA"/>
    <w:rsid w:val="00F22724"/>
    <w:rsid w:val="00F22BFD"/>
    <w:rsid w:val="00F22F63"/>
    <w:rsid w:val="00F235E4"/>
    <w:rsid w:val="00F236BD"/>
    <w:rsid w:val="00F237FF"/>
    <w:rsid w:val="00F23E0C"/>
    <w:rsid w:val="00F240C4"/>
    <w:rsid w:val="00F2444C"/>
    <w:rsid w:val="00F246C9"/>
    <w:rsid w:val="00F24A6F"/>
    <w:rsid w:val="00F24B83"/>
    <w:rsid w:val="00F25336"/>
    <w:rsid w:val="00F2547D"/>
    <w:rsid w:val="00F255B6"/>
    <w:rsid w:val="00F25933"/>
    <w:rsid w:val="00F25971"/>
    <w:rsid w:val="00F259EC"/>
    <w:rsid w:val="00F25B18"/>
    <w:rsid w:val="00F25E50"/>
    <w:rsid w:val="00F25E8B"/>
    <w:rsid w:val="00F25FB9"/>
    <w:rsid w:val="00F26232"/>
    <w:rsid w:val="00F26BA3"/>
    <w:rsid w:val="00F26C10"/>
    <w:rsid w:val="00F26D1E"/>
    <w:rsid w:val="00F26FCD"/>
    <w:rsid w:val="00F27271"/>
    <w:rsid w:val="00F2735A"/>
    <w:rsid w:val="00F27405"/>
    <w:rsid w:val="00F275F8"/>
    <w:rsid w:val="00F27622"/>
    <w:rsid w:val="00F27627"/>
    <w:rsid w:val="00F279E3"/>
    <w:rsid w:val="00F27A37"/>
    <w:rsid w:val="00F27CC2"/>
    <w:rsid w:val="00F27DF5"/>
    <w:rsid w:val="00F30138"/>
    <w:rsid w:val="00F30349"/>
    <w:rsid w:val="00F3050F"/>
    <w:rsid w:val="00F30993"/>
    <w:rsid w:val="00F30AFD"/>
    <w:rsid w:val="00F30C21"/>
    <w:rsid w:val="00F30DDC"/>
    <w:rsid w:val="00F310A6"/>
    <w:rsid w:val="00F31179"/>
    <w:rsid w:val="00F31180"/>
    <w:rsid w:val="00F31198"/>
    <w:rsid w:val="00F3144A"/>
    <w:rsid w:val="00F315B6"/>
    <w:rsid w:val="00F31839"/>
    <w:rsid w:val="00F318CB"/>
    <w:rsid w:val="00F31911"/>
    <w:rsid w:val="00F31A35"/>
    <w:rsid w:val="00F31F33"/>
    <w:rsid w:val="00F324C3"/>
    <w:rsid w:val="00F32664"/>
    <w:rsid w:val="00F32AFE"/>
    <w:rsid w:val="00F32B6E"/>
    <w:rsid w:val="00F32D31"/>
    <w:rsid w:val="00F32EF0"/>
    <w:rsid w:val="00F32F5F"/>
    <w:rsid w:val="00F331A9"/>
    <w:rsid w:val="00F338B8"/>
    <w:rsid w:val="00F34784"/>
    <w:rsid w:val="00F34C9C"/>
    <w:rsid w:val="00F354EF"/>
    <w:rsid w:val="00F356AA"/>
    <w:rsid w:val="00F35BDF"/>
    <w:rsid w:val="00F35EDD"/>
    <w:rsid w:val="00F3605B"/>
    <w:rsid w:val="00F360E4"/>
    <w:rsid w:val="00F365A9"/>
    <w:rsid w:val="00F36A1C"/>
    <w:rsid w:val="00F36A67"/>
    <w:rsid w:val="00F36EB5"/>
    <w:rsid w:val="00F36F3F"/>
    <w:rsid w:val="00F373F4"/>
    <w:rsid w:val="00F375B8"/>
    <w:rsid w:val="00F3766A"/>
    <w:rsid w:val="00F3778D"/>
    <w:rsid w:val="00F40058"/>
    <w:rsid w:val="00F40073"/>
    <w:rsid w:val="00F400C7"/>
    <w:rsid w:val="00F405D9"/>
    <w:rsid w:val="00F40A3A"/>
    <w:rsid w:val="00F40B79"/>
    <w:rsid w:val="00F40D25"/>
    <w:rsid w:val="00F40DD7"/>
    <w:rsid w:val="00F40E02"/>
    <w:rsid w:val="00F41055"/>
    <w:rsid w:val="00F4151B"/>
    <w:rsid w:val="00F4151D"/>
    <w:rsid w:val="00F41540"/>
    <w:rsid w:val="00F41B8E"/>
    <w:rsid w:val="00F41BAE"/>
    <w:rsid w:val="00F41DCA"/>
    <w:rsid w:val="00F422D7"/>
    <w:rsid w:val="00F425D0"/>
    <w:rsid w:val="00F425FD"/>
    <w:rsid w:val="00F42842"/>
    <w:rsid w:val="00F429AD"/>
    <w:rsid w:val="00F42AB2"/>
    <w:rsid w:val="00F42C1F"/>
    <w:rsid w:val="00F42D23"/>
    <w:rsid w:val="00F42D40"/>
    <w:rsid w:val="00F42F30"/>
    <w:rsid w:val="00F42F41"/>
    <w:rsid w:val="00F4308C"/>
    <w:rsid w:val="00F430E1"/>
    <w:rsid w:val="00F43117"/>
    <w:rsid w:val="00F435B7"/>
    <w:rsid w:val="00F441CB"/>
    <w:rsid w:val="00F44767"/>
    <w:rsid w:val="00F44AEF"/>
    <w:rsid w:val="00F44DC3"/>
    <w:rsid w:val="00F45AE9"/>
    <w:rsid w:val="00F45BA3"/>
    <w:rsid w:val="00F45E90"/>
    <w:rsid w:val="00F4609C"/>
    <w:rsid w:val="00F46569"/>
    <w:rsid w:val="00F46CF1"/>
    <w:rsid w:val="00F47331"/>
    <w:rsid w:val="00F47583"/>
    <w:rsid w:val="00F4795D"/>
    <w:rsid w:val="00F50552"/>
    <w:rsid w:val="00F50862"/>
    <w:rsid w:val="00F50BCC"/>
    <w:rsid w:val="00F51115"/>
    <w:rsid w:val="00F51174"/>
    <w:rsid w:val="00F5123C"/>
    <w:rsid w:val="00F51692"/>
    <w:rsid w:val="00F5173D"/>
    <w:rsid w:val="00F51745"/>
    <w:rsid w:val="00F51C0A"/>
    <w:rsid w:val="00F52273"/>
    <w:rsid w:val="00F52305"/>
    <w:rsid w:val="00F52C26"/>
    <w:rsid w:val="00F52E42"/>
    <w:rsid w:val="00F52ED6"/>
    <w:rsid w:val="00F5303B"/>
    <w:rsid w:val="00F5308C"/>
    <w:rsid w:val="00F53113"/>
    <w:rsid w:val="00F53120"/>
    <w:rsid w:val="00F53603"/>
    <w:rsid w:val="00F53A38"/>
    <w:rsid w:val="00F53E98"/>
    <w:rsid w:val="00F53F35"/>
    <w:rsid w:val="00F5412C"/>
    <w:rsid w:val="00F54798"/>
    <w:rsid w:val="00F54AA0"/>
    <w:rsid w:val="00F54AC5"/>
    <w:rsid w:val="00F54B93"/>
    <w:rsid w:val="00F54C37"/>
    <w:rsid w:val="00F55010"/>
    <w:rsid w:val="00F5520E"/>
    <w:rsid w:val="00F558A7"/>
    <w:rsid w:val="00F55F47"/>
    <w:rsid w:val="00F56076"/>
    <w:rsid w:val="00F56378"/>
    <w:rsid w:val="00F567CC"/>
    <w:rsid w:val="00F56D76"/>
    <w:rsid w:val="00F571F2"/>
    <w:rsid w:val="00F57557"/>
    <w:rsid w:val="00F5756A"/>
    <w:rsid w:val="00F57695"/>
    <w:rsid w:val="00F57860"/>
    <w:rsid w:val="00F578BF"/>
    <w:rsid w:val="00F6002F"/>
    <w:rsid w:val="00F60054"/>
    <w:rsid w:val="00F601E9"/>
    <w:rsid w:val="00F605C4"/>
    <w:rsid w:val="00F6079A"/>
    <w:rsid w:val="00F60B60"/>
    <w:rsid w:val="00F610F3"/>
    <w:rsid w:val="00F61682"/>
    <w:rsid w:val="00F6181F"/>
    <w:rsid w:val="00F61F28"/>
    <w:rsid w:val="00F62091"/>
    <w:rsid w:val="00F620CF"/>
    <w:rsid w:val="00F62663"/>
    <w:rsid w:val="00F6281E"/>
    <w:rsid w:val="00F62A6E"/>
    <w:rsid w:val="00F62CB0"/>
    <w:rsid w:val="00F62EA7"/>
    <w:rsid w:val="00F63243"/>
    <w:rsid w:val="00F632C0"/>
    <w:rsid w:val="00F633A6"/>
    <w:rsid w:val="00F636E1"/>
    <w:rsid w:val="00F63F84"/>
    <w:rsid w:val="00F641D2"/>
    <w:rsid w:val="00F6438D"/>
    <w:rsid w:val="00F6480F"/>
    <w:rsid w:val="00F64DFC"/>
    <w:rsid w:val="00F6554F"/>
    <w:rsid w:val="00F656B8"/>
    <w:rsid w:val="00F6591E"/>
    <w:rsid w:val="00F659D2"/>
    <w:rsid w:val="00F65ACE"/>
    <w:rsid w:val="00F65E11"/>
    <w:rsid w:val="00F660E8"/>
    <w:rsid w:val="00F661A5"/>
    <w:rsid w:val="00F662A6"/>
    <w:rsid w:val="00F662B9"/>
    <w:rsid w:val="00F66650"/>
    <w:rsid w:val="00F66687"/>
    <w:rsid w:val="00F667E8"/>
    <w:rsid w:val="00F669C9"/>
    <w:rsid w:val="00F66F1A"/>
    <w:rsid w:val="00F67372"/>
    <w:rsid w:val="00F6752C"/>
    <w:rsid w:val="00F67948"/>
    <w:rsid w:val="00F67AA2"/>
    <w:rsid w:val="00F67E8B"/>
    <w:rsid w:val="00F67ED6"/>
    <w:rsid w:val="00F70AE9"/>
    <w:rsid w:val="00F70D26"/>
    <w:rsid w:val="00F70EF3"/>
    <w:rsid w:val="00F71573"/>
    <w:rsid w:val="00F715FF"/>
    <w:rsid w:val="00F716A3"/>
    <w:rsid w:val="00F71EDE"/>
    <w:rsid w:val="00F725CF"/>
    <w:rsid w:val="00F73052"/>
    <w:rsid w:val="00F73360"/>
    <w:rsid w:val="00F73369"/>
    <w:rsid w:val="00F7355A"/>
    <w:rsid w:val="00F736FF"/>
    <w:rsid w:val="00F73839"/>
    <w:rsid w:val="00F73C6F"/>
    <w:rsid w:val="00F740C3"/>
    <w:rsid w:val="00F7422F"/>
    <w:rsid w:val="00F7435B"/>
    <w:rsid w:val="00F74C2E"/>
    <w:rsid w:val="00F74F54"/>
    <w:rsid w:val="00F755A3"/>
    <w:rsid w:val="00F75E1C"/>
    <w:rsid w:val="00F75FCB"/>
    <w:rsid w:val="00F762D5"/>
    <w:rsid w:val="00F76385"/>
    <w:rsid w:val="00F769BC"/>
    <w:rsid w:val="00F7775B"/>
    <w:rsid w:val="00F77A03"/>
    <w:rsid w:val="00F77B0D"/>
    <w:rsid w:val="00F77BCF"/>
    <w:rsid w:val="00F77CA9"/>
    <w:rsid w:val="00F804A3"/>
    <w:rsid w:val="00F80619"/>
    <w:rsid w:val="00F80943"/>
    <w:rsid w:val="00F810E9"/>
    <w:rsid w:val="00F81162"/>
    <w:rsid w:val="00F815D5"/>
    <w:rsid w:val="00F816BC"/>
    <w:rsid w:val="00F819F5"/>
    <w:rsid w:val="00F81B2B"/>
    <w:rsid w:val="00F81F05"/>
    <w:rsid w:val="00F81F8A"/>
    <w:rsid w:val="00F8214E"/>
    <w:rsid w:val="00F82988"/>
    <w:rsid w:val="00F82CF3"/>
    <w:rsid w:val="00F83806"/>
    <w:rsid w:val="00F83E31"/>
    <w:rsid w:val="00F84613"/>
    <w:rsid w:val="00F84C73"/>
    <w:rsid w:val="00F856A7"/>
    <w:rsid w:val="00F8586F"/>
    <w:rsid w:val="00F85A01"/>
    <w:rsid w:val="00F860A6"/>
    <w:rsid w:val="00F8618B"/>
    <w:rsid w:val="00F8650B"/>
    <w:rsid w:val="00F86817"/>
    <w:rsid w:val="00F86943"/>
    <w:rsid w:val="00F869F7"/>
    <w:rsid w:val="00F86B4B"/>
    <w:rsid w:val="00F86BB5"/>
    <w:rsid w:val="00F86CCE"/>
    <w:rsid w:val="00F86D9C"/>
    <w:rsid w:val="00F87197"/>
    <w:rsid w:val="00F871E5"/>
    <w:rsid w:val="00F876F2"/>
    <w:rsid w:val="00F87A80"/>
    <w:rsid w:val="00F9002B"/>
    <w:rsid w:val="00F90083"/>
    <w:rsid w:val="00F9019B"/>
    <w:rsid w:val="00F90711"/>
    <w:rsid w:val="00F90D81"/>
    <w:rsid w:val="00F916FB"/>
    <w:rsid w:val="00F92299"/>
    <w:rsid w:val="00F92460"/>
    <w:rsid w:val="00F92C78"/>
    <w:rsid w:val="00F9306F"/>
    <w:rsid w:val="00F93387"/>
    <w:rsid w:val="00F939D3"/>
    <w:rsid w:val="00F93BD0"/>
    <w:rsid w:val="00F93C95"/>
    <w:rsid w:val="00F93F7D"/>
    <w:rsid w:val="00F940A3"/>
    <w:rsid w:val="00F947B9"/>
    <w:rsid w:val="00F948F6"/>
    <w:rsid w:val="00F95144"/>
    <w:rsid w:val="00F956EC"/>
    <w:rsid w:val="00F95CB0"/>
    <w:rsid w:val="00F9605C"/>
    <w:rsid w:val="00F962A5"/>
    <w:rsid w:val="00F96545"/>
    <w:rsid w:val="00F9695A"/>
    <w:rsid w:val="00F970AA"/>
    <w:rsid w:val="00F974B2"/>
    <w:rsid w:val="00F97AF2"/>
    <w:rsid w:val="00F97B42"/>
    <w:rsid w:val="00F97D3C"/>
    <w:rsid w:val="00FA016D"/>
    <w:rsid w:val="00FA0493"/>
    <w:rsid w:val="00FA11D0"/>
    <w:rsid w:val="00FA129F"/>
    <w:rsid w:val="00FA134E"/>
    <w:rsid w:val="00FA1421"/>
    <w:rsid w:val="00FA14D2"/>
    <w:rsid w:val="00FA194C"/>
    <w:rsid w:val="00FA195E"/>
    <w:rsid w:val="00FA1B89"/>
    <w:rsid w:val="00FA1D16"/>
    <w:rsid w:val="00FA1FDE"/>
    <w:rsid w:val="00FA20BB"/>
    <w:rsid w:val="00FA2177"/>
    <w:rsid w:val="00FA2337"/>
    <w:rsid w:val="00FA2355"/>
    <w:rsid w:val="00FA23B2"/>
    <w:rsid w:val="00FA2473"/>
    <w:rsid w:val="00FA25C5"/>
    <w:rsid w:val="00FA2E5A"/>
    <w:rsid w:val="00FA386B"/>
    <w:rsid w:val="00FA3F64"/>
    <w:rsid w:val="00FA4141"/>
    <w:rsid w:val="00FA450C"/>
    <w:rsid w:val="00FA45F1"/>
    <w:rsid w:val="00FA4BF7"/>
    <w:rsid w:val="00FA4E39"/>
    <w:rsid w:val="00FA4FD3"/>
    <w:rsid w:val="00FA5113"/>
    <w:rsid w:val="00FA51FA"/>
    <w:rsid w:val="00FA55EF"/>
    <w:rsid w:val="00FA64C6"/>
    <w:rsid w:val="00FA6D90"/>
    <w:rsid w:val="00FA74DA"/>
    <w:rsid w:val="00FA7DDE"/>
    <w:rsid w:val="00FA7E05"/>
    <w:rsid w:val="00FB00FF"/>
    <w:rsid w:val="00FB0565"/>
    <w:rsid w:val="00FB0C0B"/>
    <w:rsid w:val="00FB0D8A"/>
    <w:rsid w:val="00FB0E63"/>
    <w:rsid w:val="00FB0E75"/>
    <w:rsid w:val="00FB0F2F"/>
    <w:rsid w:val="00FB12D7"/>
    <w:rsid w:val="00FB1A4F"/>
    <w:rsid w:val="00FB1CD5"/>
    <w:rsid w:val="00FB22E0"/>
    <w:rsid w:val="00FB2575"/>
    <w:rsid w:val="00FB2618"/>
    <w:rsid w:val="00FB26B0"/>
    <w:rsid w:val="00FB2E99"/>
    <w:rsid w:val="00FB3854"/>
    <w:rsid w:val="00FB39EB"/>
    <w:rsid w:val="00FB3F06"/>
    <w:rsid w:val="00FB410C"/>
    <w:rsid w:val="00FB477E"/>
    <w:rsid w:val="00FB4D03"/>
    <w:rsid w:val="00FB4EE5"/>
    <w:rsid w:val="00FB4FFD"/>
    <w:rsid w:val="00FB513F"/>
    <w:rsid w:val="00FB58F5"/>
    <w:rsid w:val="00FB592D"/>
    <w:rsid w:val="00FB5B17"/>
    <w:rsid w:val="00FB5EFF"/>
    <w:rsid w:val="00FB5F67"/>
    <w:rsid w:val="00FB6416"/>
    <w:rsid w:val="00FB65A1"/>
    <w:rsid w:val="00FB6687"/>
    <w:rsid w:val="00FB6988"/>
    <w:rsid w:val="00FB69C9"/>
    <w:rsid w:val="00FB6F30"/>
    <w:rsid w:val="00FB77A2"/>
    <w:rsid w:val="00FB7B41"/>
    <w:rsid w:val="00FB7B74"/>
    <w:rsid w:val="00FB7B79"/>
    <w:rsid w:val="00FB7EFD"/>
    <w:rsid w:val="00FB7FED"/>
    <w:rsid w:val="00FC066C"/>
    <w:rsid w:val="00FC117D"/>
    <w:rsid w:val="00FC11F7"/>
    <w:rsid w:val="00FC16F0"/>
    <w:rsid w:val="00FC1D49"/>
    <w:rsid w:val="00FC2541"/>
    <w:rsid w:val="00FC28C7"/>
    <w:rsid w:val="00FC299B"/>
    <w:rsid w:val="00FC32C9"/>
    <w:rsid w:val="00FC3438"/>
    <w:rsid w:val="00FC3846"/>
    <w:rsid w:val="00FC3A41"/>
    <w:rsid w:val="00FC3AFF"/>
    <w:rsid w:val="00FC3CEA"/>
    <w:rsid w:val="00FC42BA"/>
    <w:rsid w:val="00FC444A"/>
    <w:rsid w:val="00FC469F"/>
    <w:rsid w:val="00FC4E5A"/>
    <w:rsid w:val="00FC4E8F"/>
    <w:rsid w:val="00FC5141"/>
    <w:rsid w:val="00FC596F"/>
    <w:rsid w:val="00FC5CD6"/>
    <w:rsid w:val="00FC61D6"/>
    <w:rsid w:val="00FC63DE"/>
    <w:rsid w:val="00FC6BED"/>
    <w:rsid w:val="00FC6FE4"/>
    <w:rsid w:val="00FC7398"/>
    <w:rsid w:val="00FC7453"/>
    <w:rsid w:val="00FC75D1"/>
    <w:rsid w:val="00FC79BF"/>
    <w:rsid w:val="00FC7C44"/>
    <w:rsid w:val="00FD06D0"/>
    <w:rsid w:val="00FD0718"/>
    <w:rsid w:val="00FD08B5"/>
    <w:rsid w:val="00FD0C72"/>
    <w:rsid w:val="00FD0F3D"/>
    <w:rsid w:val="00FD10F2"/>
    <w:rsid w:val="00FD13EA"/>
    <w:rsid w:val="00FD144D"/>
    <w:rsid w:val="00FD14CF"/>
    <w:rsid w:val="00FD1913"/>
    <w:rsid w:val="00FD197D"/>
    <w:rsid w:val="00FD1AB6"/>
    <w:rsid w:val="00FD24ED"/>
    <w:rsid w:val="00FD271A"/>
    <w:rsid w:val="00FD2810"/>
    <w:rsid w:val="00FD29C4"/>
    <w:rsid w:val="00FD29D7"/>
    <w:rsid w:val="00FD2ECA"/>
    <w:rsid w:val="00FD2F13"/>
    <w:rsid w:val="00FD3608"/>
    <w:rsid w:val="00FD3644"/>
    <w:rsid w:val="00FD380B"/>
    <w:rsid w:val="00FD3BDE"/>
    <w:rsid w:val="00FD3F94"/>
    <w:rsid w:val="00FD42FE"/>
    <w:rsid w:val="00FD431D"/>
    <w:rsid w:val="00FD43D3"/>
    <w:rsid w:val="00FD46DD"/>
    <w:rsid w:val="00FD4788"/>
    <w:rsid w:val="00FD4FEF"/>
    <w:rsid w:val="00FD55C0"/>
    <w:rsid w:val="00FD570F"/>
    <w:rsid w:val="00FD6ADA"/>
    <w:rsid w:val="00FD6AF3"/>
    <w:rsid w:val="00FD6CAB"/>
    <w:rsid w:val="00FD6DFD"/>
    <w:rsid w:val="00FD6E79"/>
    <w:rsid w:val="00FD72F5"/>
    <w:rsid w:val="00FD74BF"/>
    <w:rsid w:val="00FD7EE9"/>
    <w:rsid w:val="00FD7F46"/>
    <w:rsid w:val="00FE0314"/>
    <w:rsid w:val="00FE04A5"/>
    <w:rsid w:val="00FE05D3"/>
    <w:rsid w:val="00FE077D"/>
    <w:rsid w:val="00FE0B66"/>
    <w:rsid w:val="00FE1411"/>
    <w:rsid w:val="00FE1538"/>
    <w:rsid w:val="00FE1612"/>
    <w:rsid w:val="00FE1B25"/>
    <w:rsid w:val="00FE21AC"/>
    <w:rsid w:val="00FE2249"/>
    <w:rsid w:val="00FE237A"/>
    <w:rsid w:val="00FE237F"/>
    <w:rsid w:val="00FE23A9"/>
    <w:rsid w:val="00FE25E0"/>
    <w:rsid w:val="00FE2BD1"/>
    <w:rsid w:val="00FE3264"/>
    <w:rsid w:val="00FE342C"/>
    <w:rsid w:val="00FE398F"/>
    <w:rsid w:val="00FE3B10"/>
    <w:rsid w:val="00FE3CA0"/>
    <w:rsid w:val="00FE3E5F"/>
    <w:rsid w:val="00FE3FD1"/>
    <w:rsid w:val="00FE409F"/>
    <w:rsid w:val="00FE4131"/>
    <w:rsid w:val="00FE4931"/>
    <w:rsid w:val="00FE4A7E"/>
    <w:rsid w:val="00FE4BC0"/>
    <w:rsid w:val="00FE4EBE"/>
    <w:rsid w:val="00FE4F67"/>
    <w:rsid w:val="00FE5415"/>
    <w:rsid w:val="00FE5D68"/>
    <w:rsid w:val="00FE5DFD"/>
    <w:rsid w:val="00FE7481"/>
    <w:rsid w:val="00FE751C"/>
    <w:rsid w:val="00FE7A69"/>
    <w:rsid w:val="00FE7A71"/>
    <w:rsid w:val="00FE7D96"/>
    <w:rsid w:val="00FF07E4"/>
    <w:rsid w:val="00FF086A"/>
    <w:rsid w:val="00FF128A"/>
    <w:rsid w:val="00FF14C6"/>
    <w:rsid w:val="00FF1538"/>
    <w:rsid w:val="00FF15B7"/>
    <w:rsid w:val="00FF1607"/>
    <w:rsid w:val="00FF1C11"/>
    <w:rsid w:val="00FF2785"/>
    <w:rsid w:val="00FF2D2A"/>
    <w:rsid w:val="00FF2E14"/>
    <w:rsid w:val="00FF30B9"/>
    <w:rsid w:val="00FF31A1"/>
    <w:rsid w:val="00FF43D3"/>
    <w:rsid w:val="00FF4EB5"/>
    <w:rsid w:val="00FF4F0B"/>
    <w:rsid w:val="00FF5252"/>
    <w:rsid w:val="00FF53E0"/>
    <w:rsid w:val="00FF5493"/>
    <w:rsid w:val="00FF5E30"/>
    <w:rsid w:val="00FF646D"/>
    <w:rsid w:val="00FF6D57"/>
    <w:rsid w:val="00FF6E0B"/>
    <w:rsid w:val="00FF6F31"/>
    <w:rsid w:val="00FF7063"/>
    <w:rsid w:val="00FF7466"/>
    <w:rsid w:val="00FF7540"/>
    <w:rsid w:val="00FF775E"/>
    <w:rsid w:val="00FF7A85"/>
    <w:rsid w:val="00FF7B6C"/>
    <w:rsid w:val="00FF7E34"/>
    <w:rsid w:val="01815980"/>
    <w:rsid w:val="01B97F5E"/>
    <w:rsid w:val="01BD0E1F"/>
    <w:rsid w:val="01D1697B"/>
    <w:rsid w:val="01EB02C8"/>
    <w:rsid w:val="022A6731"/>
    <w:rsid w:val="023615AF"/>
    <w:rsid w:val="02CD0314"/>
    <w:rsid w:val="02CE5B23"/>
    <w:rsid w:val="03B6489A"/>
    <w:rsid w:val="03C7225D"/>
    <w:rsid w:val="03D15B96"/>
    <w:rsid w:val="03DF38E3"/>
    <w:rsid w:val="03EB764D"/>
    <w:rsid w:val="055D6899"/>
    <w:rsid w:val="05610A82"/>
    <w:rsid w:val="05F634A2"/>
    <w:rsid w:val="05FB0B46"/>
    <w:rsid w:val="0626381C"/>
    <w:rsid w:val="0634681F"/>
    <w:rsid w:val="06DA7D25"/>
    <w:rsid w:val="075D567C"/>
    <w:rsid w:val="08096E83"/>
    <w:rsid w:val="08670B50"/>
    <w:rsid w:val="08A848FD"/>
    <w:rsid w:val="08F844ED"/>
    <w:rsid w:val="09A76AB8"/>
    <w:rsid w:val="0A6F22AE"/>
    <w:rsid w:val="0A7C56C5"/>
    <w:rsid w:val="0AAF7C48"/>
    <w:rsid w:val="0B59197E"/>
    <w:rsid w:val="0B66735F"/>
    <w:rsid w:val="0C1B32F8"/>
    <w:rsid w:val="0CA0694E"/>
    <w:rsid w:val="0DDD7912"/>
    <w:rsid w:val="0F1A028E"/>
    <w:rsid w:val="0F914B69"/>
    <w:rsid w:val="102B10BF"/>
    <w:rsid w:val="1096498B"/>
    <w:rsid w:val="11243398"/>
    <w:rsid w:val="11663316"/>
    <w:rsid w:val="11D77CFF"/>
    <w:rsid w:val="123F237C"/>
    <w:rsid w:val="124C5617"/>
    <w:rsid w:val="12C971F4"/>
    <w:rsid w:val="138F2C67"/>
    <w:rsid w:val="13921FFF"/>
    <w:rsid w:val="13B642FE"/>
    <w:rsid w:val="13DB4C01"/>
    <w:rsid w:val="14AD0D71"/>
    <w:rsid w:val="14B646DC"/>
    <w:rsid w:val="15CF0037"/>
    <w:rsid w:val="1638263A"/>
    <w:rsid w:val="16730E8E"/>
    <w:rsid w:val="16CE6B20"/>
    <w:rsid w:val="16FB7A73"/>
    <w:rsid w:val="1718094E"/>
    <w:rsid w:val="17192905"/>
    <w:rsid w:val="17487C17"/>
    <w:rsid w:val="17927ED1"/>
    <w:rsid w:val="186D2CFD"/>
    <w:rsid w:val="1884222B"/>
    <w:rsid w:val="18C30AEF"/>
    <w:rsid w:val="18FA634C"/>
    <w:rsid w:val="191612D5"/>
    <w:rsid w:val="19537BFC"/>
    <w:rsid w:val="199E4D36"/>
    <w:rsid w:val="19D10FFE"/>
    <w:rsid w:val="1A084D87"/>
    <w:rsid w:val="1AB3200E"/>
    <w:rsid w:val="1B133151"/>
    <w:rsid w:val="1B1B2C2D"/>
    <w:rsid w:val="1B7801D8"/>
    <w:rsid w:val="1BCA1AF2"/>
    <w:rsid w:val="1BEB712F"/>
    <w:rsid w:val="1C104E74"/>
    <w:rsid w:val="1C2677D6"/>
    <w:rsid w:val="1C3F714C"/>
    <w:rsid w:val="1C61395C"/>
    <w:rsid w:val="1C63031A"/>
    <w:rsid w:val="1C6C1F76"/>
    <w:rsid w:val="1C8C2E5E"/>
    <w:rsid w:val="1C9B196A"/>
    <w:rsid w:val="1CBA7B3B"/>
    <w:rsid w:val="1CFE66BD"/>
    <w:rsid w:val="1D267672"/>
    <w:rsid w:val="1D612873"/>
    <w:rsid w:val="1DA468BA"/>
    <w:rsid w:val="1DC24270"/>
    <w:rsid w:val="1DF366DE"/>
    <w:rsid w:val="1EBC4D92"/>
    <w:rsid w:val="1EC64862"/>
    <w:rsid w:val="1ECC7EF7"/>
    <w:rsid w:val="1F450973"/>
    <w:rsid w:val="1F811229"/>
    <w:rsid w:val="1F886BDD"/>
    <w:rsid w:val="1FC27B31"/>
    <w:rsid w:val="1FC8326F"/>
    <w:rsid w:val="1FE05BBE"/>
    <w:rsid w:val="202E2CD8"/>
    <w:rsid w:val="20394118"/>
    <w:rsid w:val="208A6C47"/>
    <w:rsid w:val="20B521EC"/>
    <w:rsid w:val="20FE1690"/>
    <w:rsid w:val="21221EE4"/>
    <w:rsid w:val="21937D91"/>
    <w:rsid w:val="21FD321E"/>
    <w:rsid w:val="221D0BF8"/>
    <w:rsid w:val="222001B1"/>
    <w:rsid w:val="228360E0"/>
    <w:rsid w:val="22847F8B"/>
    <w:rsid w:val="23304241"/>
    <w:rsid w:val="234E20D7"/>
    <w:rsid w:val="236725AE"/>
    <w:rsid w:val="236B231E"/>
    <w:rsid w:val="243B654A"/>
    <w:rsid w:val="244F40DF"/>
    <w:rsid w:val="25D34475"/>
    <w:rsid w:val="260E7E80"/>
    <w:rsid w:val="267709A8"/>
    <w:rsid w:val="26973B25"/>
    <w:rsid w:val="26AF7A5D"/>
    <w:rsid w:val="277B676C"/>
    <w:rsid w:val="27D4052A"/>
    <w:rsid w:val="28004B11"/>
    <w:rsid w:val="28B2456C"/>
    <w:rsid w:val="29AE31D9"/>
    <w:rsid w:val="29AF7A57"/>
    <w:rsid w:val="29C928BC"/>
    <w:rsid w:val="29FB0248"/>
    <w:rsid w:val="2B1B1169"/>
    <w:rsid w:val="2BC82E6D"/>
    <w:rsid w:val="2C3818FC"/>
    <w:rsid w:val="2C476236"/>
    <w:rsid w:val="2C681F96"/>
    <w:rsid w:val="2C8E0CBB"/>
    <w:rsid w:val="2CB30053"/>
    <w:rsid w:val="2CB46DBD"/>
    <w:rsid w:val="2CFF0310"/>
    <w:rsid w:val="2D007E22"/>
    <w:rsid w:val="2D7B5912"/>
    <w:rsid w:val="2E00644A"/>
    <w:rsid w:val="2E4E34A4"/>
    <w:rsid w:val="2E913546"/>
    <w:rsid w:val="2EDF5B1D"/>
    <w:rsid w:val="2F661546"/>
    <w:rsid w:val="2F8844A0"/>
    <w:rsid w:val="300060DF"/>
    <w:rsid w:val="318F6236"/>
    <w:rsid w:val="31B87587"/>
    <w:rsid w:val="31CA425A"/>
    <w:rsid w:val="31DA66B6"/>
    <w:rsid w:val="31DB65AF"/>
    <w:rsid w:val="3225586A"/>
    <w:rsid w:val="327C1C6A"/>
    <w:rsid w:val="32B87020"/>
    <w:rsid w:val="32C92FB5"/>
    <w:rsid w:val="32D77FE5"/>
    <w:rsid w:val="32F01AC3"/>
    <w:rsid w:val="330F4CC3"/>
    <w:rsid w:val="33892400"/>
    <w:rsid w:val="339C0242"/>
    <w:rsid w:val="33E2079D"/>
    <w:rsid w:val="345E1E4B"/>
    <w:rsid w:val="35112FDA"/>
    <w:rsid w:val="354F366B"/>
    <w:rsid w:val="35737044"/>
    <w:rsid w:val="35A20960"/>
    <w:rsid w:val="35AE0459"/>
    <w:rsid w:val="35B30245"/>
    <w:rsid w:val="35B81791"/>
    <w:rsid w:val="35D22260"/>
    <w:rsid w:val="36227ACF"/>
    <w:rsid w:val="366D01BC"/>
    <w:rsid w:val="36F87CD0"/>
    <w:rsid w:val="373F7804"/>
    <w:rsid w:val="379C6B97"/>
    <w:rsid w:val="37A92ED8"/>
    <w:rsid w:val="37EA1BEF"/>
    <w:rsid w:val="382A46F1"/>
    <w:rsid w:val="385435A2"/>
    <w:rsid w:val="38761810"/>
    <w:rsid w:val="38F3329F"/>
    <w:rsid w:val="38F91E44"/>
    <w:rsid w:val="393A5B17"/>
    <w:rsid w:val="393E4675"/>
    <w:rsid w:val="3954227B"/>
    <w:rsid w:val="39F37DE6"/>
    <w:rsid w:val="3A224D31"/>
    <w:rsid w:val="3A47725E"/>
    <w:rsid w:val="3B2701AD"/>
    <w:rsid w:val="3B4C2625"/>
    <w:rsid w:val="3B777ADE"/>
    <w:rsid w:val="3B9E43CC"/>
    <w:rsid w:val="3B9E790C"/>
    <w:rsid w:val="3BA96372"/>
    <w:rsid w:val="3BC56D81"/>
    <w:rsid w:val="3BE77D65"/>
    <w:rsid w:val="3BF338E3"/>
    <w:rsid w:val="3C9B4CBF"/>
    <w:rsid w:val="3D461E20"/>
    <w:rsid w:val="3D8252CB"/>
    <w:rsid w:val="3DA86065"/>
    <w:rsid w:val="3E06471E"/>
    <w:rsid w:val="3E4009DC"/>
    <w:rsid w:val="3F1975F5"/>
    <w:rsid w:val="3F482D5D"/>
    <w:rsid w:val="3F81510B"/>
    <w:rsid w:val="3F9E08E5"/>
    <w:rsid w:val="3FC03911"/>
    <w:rsid w:val="3FE7063D"/>
    <w:rsid w:val="40020C15"/>
    <w:rsid w:val="403D6019"/>
    <w:rsid w:val="40481575"/>
    <w:rsid w:val="40692653"/>
    <w:rsid w:val="407C53E8"/>
    <w:rsid w:val="40D87ED2"/>
    <w:rsid w:val="4113757A"/>
    <w:rsid w:val="42681F14"/>
    <w:rsid w:val="429010A2"/>
    <w:rsid w:val="42BA65C6"/>
    <w:rsid w:val="42C62277"/>
    <w:rsid w:val="43033DA3"/>
    <w:rsid w:val="43904503"/>
    <w:rsid w:val="43E52FBB"/>
    <w:rsid w:val="44A0441C"/>
    <w:rsid w:val="44E67AC4"/>
    <w:rsid w:val="455063E3"/>
    <w:rsid w:val="455C5AF7"/>
    <w:rsid w:val="457F4A10"/>
    <w:rsid w:val="46501E16"/>
    <w:rsid w:val="465D5B7C"/>
    <w:rsid w:val="46AE1961"/>
    <w:rsid w:val="47742B02"/>
    <w:rsid w:val="47FD3CCE"/>
    <w:rsid w:val="48183F89"/>
    <w:rsid w:val="482747C4"/>
    <w:rsid w:val="48607321"/>
    <w:rsid w:val="486454C2"/>
    <w:rsid w:val="48A350C1"/>
    <w:rsid w:val="495B6CEE"/>
    <w:rsid w:val="497D7614"/>
    <w:rsid w:val="49B21760"/>
    <w:rsid w:val="4A0D5D1E"/>
    <w:rsid w:val="4A687A7D"/>
    <w:rsid w:val="4A6E787C"/>
    <w:rsid w:val="4A6F441E"/>
    <w:rsid w:val="4A9E0251"/>
    <w:rsid w:val="4BAF1D24"/>
    <w:rsid w:val="4BBA744E"/>
    <w:rsid w:val="4BDE128C"/>
    <w:rsid w:val="4BF11E18"/>
    <w:rsid w:val="4C3B52D4"/>
    <w:rsid w:val="4CAA3951"/>
    <w:rsid w:val="4CBC6733"/>
    <w:rsid w:val="4CCE3688"/>
    <w:rsid w:val="4D5A3304"/>
    <w:rsid w:val="4D717F87"/>
    <w:rsid w:val="4D9C1893"/>
    <w:rsid w:val="4DB87F8C"/>
    <w:rsid w:val="4DE10518"/>
    <w:rsid w:val="4E1426D7"/>
    <w:rsid w:val="4E2F4087"/>
    <w:rsid w:val="4E4B5951"/>
    <w:rsid w:val="4E9C5DEA"/>
    <w:rsid w:val="4F1B0EDE"/>
    <w:rsid w:val="4F6B6956"/>
    <w:rsid w:val="4F7546F5"/>
    <w:rsid w:val="4FE92E84"/>
    <w:rsid w:val="4FEB432E"/>
    <w:rsid w:val="504F42F7"/>
    <w:rsid w:val="50601239"/>
    <w:rsid w:val="50BC0977"/>
    <w:rsid w:val="527D2262"/>
    <w:rsid w:val="528555D5"/>
    <w:rsid w:val="52D816C4"/>
    <w:rsid w:val="53040107"/>
    <w:rsid w:val="53B32BF1"/>
    <w:rsid w:val="53E3475F"/>
    <w:rsid w:val="53E946DE"/>
    <w:rsid w:val="54391DA4"/>
    <w:rsid w:val="5465147C"/>
    <w:rsid w:val="54653B04"/>
    <w:rsid w:val="547556AF"/>
    <w:rsid w:val="549E2478"/>
    <w:rsid w:val="54E30636"/>
    <w:rsid w:val="5526774F"/>
    <w:rsid w:val="55287D15"/>
    <w:rsid w:val="55D03AF6"/>
    <w:rsid w:val="5616180F"/>
    <w:rsid w:val="561620B2"/>
    <w:rsid w:val="56334D5F"/>
    <w:rsid w:val="564A4845"/>
    <w:rsid w:val="56510B67"/>
    <w:rsid w:val="571A5EB6"/>
    <w:rsid w:val="57335173"/>
    <w:rsid w:val="57C01C9E"/>
    <w:rsid w:val="58073DAC"/>
    <w:rsid w:val="580F6C69"/>
    <w:rsid w:val="58240296"/>
    <w:rsid w:val="58AB4EB1"/>
    <w:rsid w:val="58F014C9"/>
    <w:rsid w:val="59194ECF"/>
    <w:rsid w:val="596C0CB3"/>
    <w:rsid w:val="59E21326"/>
    <w:rsid w:val="5A4E5337"/>
    <w:rsid w:val="5A646491"/>
    <w:rsid w:val="5A7B1F6C"/>
    <w:rsid w:val="5AB83921"/>
    <w:rsid w:val="5AC31640"/>
    <w:rsid w:val="5BC173B3"/>
    <w:rsid w:val="5C124C0E"/>
    <w:rsid w:val="5C3A3C93"/>
    <w:rsid w:val="5C593D42"/>
    <w:rsid w:val="5C711C78"/>
    <w:rsid w:val="5C9F0170"/>
    <w:rsid w:val="5CBF70EB"/>
    <w:rsid w:val="5DE00DC4"/>
    <w:rsid w:val="5E5E156A"/>
    <w:rsid w:val="5E97214B"/>
    <w:rsid w:val="5F5B1620"/>
    <w:rsid w:val="5FD255E8"/>
    <w:rsid w:val="5FEC7140"/>
    <w:rsid w:val="601B2600"/>
    <w:rsid w:val="6044212D"/>
    <w:rsid w:val="607C4B84"/>
    <w:rsid w:val="60996FBB"/>
    <w:rsid w:val="61084574"/>
    <w:rsid w:val="610C3486"/>
    <w:rsid w:val="61510AC1"/>
    <w:rsid w:val="617E7104"/>
    <w:rsid w:val="618F5B4C"/>
    <w:rsid w:val="61A34B6D"/>
    <w:rsid w:val="61C207C4"/>
    <w:rsid w:val="624125B1"/>
    <w:rsid w:val="628220E4"/>
    <w:rsid w:val="62E74BCB"/>
    <w:rsid w:val="63311CEA"/>
    <w:rsid w:val="638300C4"/>
    <w:rsid w:val="63906458"/>
    <w:rsid w:val="64436804"/>
    <w:rsid w:val="646B1EF4"/>
    <w:rsid w:val="648F1E2B"/>
    <w:rsid w:val="649A6113"/>
    <w:rsid w:val="64CD637E"/>
    <w:rsid w:val="657A522F"/>
    <w:rsid w:val="663E3EE9"/>
    <w:rsid w:val="668073BA"/>
    <w:rsid w:val="66C537B1"/>
    <w:rsid w:val="671D522F"/>
    <w:rsid w:val="679C722E"/>
    <w:rsid w:val="67D25710"/>
    <w:rsid w:val="67D82882"/>
    <w:rsid w:val="67DA4A91"/>
    <w:rsid w:val="67EE728C"/>
    <w:rsid w:val="68455E39"/>
    <w:rsid w:val="684C26B5"/>
    <w:rsid w:val="68692648"/>
    <w:rsid w:val="688D02FE"/>
    <w:rsid w:val="68CD4B9F"/>
    <w:rsid w:val="68DC4A3A"/>
    <w:rsid w:val="68E40F21"/>
    <w:rsid w:val="68E87C2B"/>
    <w:rsid w:val="69936CC0"/>
    <w:rsid w:val="69AD5CF3"/>
    <w:rsid w:val="69CB42B6"/>
    <w:rsid w:val="69CF4F91"/>
    <w:rsid w:val="69F90C8C"/>
    <w:rsid w:val="6A3F08F2"/>
    <w:rsid w:val="6A8763FA"/>
    <w:rsid w:val="6A8E10E0"/>
    <w:rsid w:val="6A9B6F96"/>
    <w:rsid w:val="6AB47F5A"/>
    <w:rsid w:val="6AC2327A"/>
    <w:rsid w:val="6AC81C21"/>
    <w:rsid w:val="6AF712B1"/>
    <w:rsid w:val="6B83208D"/>
    <w:rsid w:val="6BFBCEC7"/>
    <w:rsid w:val="6CB51F53"/>
    <w:rsid w:val="6D1C6DDF"/>
    <w:rsid w:val="6D5533B5"/>
    <w:rsid w:val="6D7C1AC6"/>
    <w:rsid w:val="6DBB11BE"/>
    <w:rsid w:val="6EE13659"/>
    <w:rsid w:val="6F0A0ECC"/>
    <w:rsid w:val="6F2B1EFF"/>
    <w:rsid w:val="6F4503B2"/>
    <w:rsid w:val="6F4F27D9"/>
    <w:rsid w:val="6FC45BAA"/>
    <w:rsid w:val="6FE03A88"/>
    <w:rsid w:val="704C0A9F"/>
    <w:rsid w:val="70553DF8"/>
    <w:rsid w:val="70934C70"/>
    <w:rsid w:val="70E71AC3"/>
    <w:rsid w:val="71674505"/>
    <w:rsid w:val="71700EAD"/>
    <w:rsid w:val="719E040C"/>
    <w:rsid w:val="725102E9"/>
    <w:rsid w:val="72B27499"/>
    <w:rsid w:val="739E3EDA"/>
    <w:rsid w:val="73B3601A"/>
    <w:rsid w:val="73B36E80"/>
    <w:rsid w:val="73BF552E"/>
    <w:rsid w:val="73D83EBB"/>
    <w:rsid w:val="73FD3084"/>
    <w:rsid w:val="746712EC"/>
    <w:rsid w:val="74FA3225"/>
    <w:rsid w:val="75FBA417"/>
    <w:rsid w:val="76261A22"/>
    <w:rsid w:val="766238D2"/>
    <w:rsid w:val="76753108"/>
    <w:rsid w:val="76F87C01"/>
    <w:rsid w:val="77332BD2"/>
    <w:rsid w:val="774B41DD"/>
    <w:rsid w:val="77A21731"/>
    <w:rsid w:val="77D60F3F"/>
    <w:rsid w:val="77EF9707"/>
    <w:rsid w:val="77F674EC"/>
    <w:rsid w:val="781E6315"/>
    <w:rsid w:val="78314C10"/>
    <w:rsid w:val="785A2CEC"/>
    <w:rsid w:val="7924418F"/>
    <w:rsid w:val="792E7192"/>
    <w:rsid w:val="79B36154"/>
    <w:rsid w:val="7A0B3C26"/>
    <w:rsid w:val="7A2E7F98"/>
    <w:rsid w:val="7A56569D"/>
    <w:rsid w:val="7A6173AE"/>
    <w:rsid w:val="7A8E1F4E"/>
    <w:rsid w:val="7AA15AAF"/>
    <w:rsid w:val="7AC025E9"/>
    <w:rsid w:val="7AF171DB"/>
    <w:rsid w:val="7AFD72CA"/>
    <w:rsid w:val="7B6624EA"/>
    <w:rsid w:val="7BBF4956"/>
    <w:rsid w:val="7C505EC0"/>
    <w:rsid w:val="7C7170A4"/>
    <w:rsid w:val="7C8E0A3C"/>
    <w:rsid w:val="7D151AF9"/>
    <w:rsid w:val="7D285898"/>
    <w:rsid w:val="7D512DF3"/>
    <w:rsid w:val="7D5D0208"/>
    <w:rsid w:val="7DE01153"/>
    <w:rsid w:val="7E442645"/>
    <w:rsid w:val="7E475586"/>
    <w:rsid w:val="7EAE12AF"/>
    <w:rsid w:val="7EBE941E"/>
    <w:rsid w:val="7EBF2997"/>
    <w:rsid w:val="7EBF310B"/>
    <w:rsid w:val="7EE54599"/>
    <w:rsid w:val="7EF96296"/>
    <w:rsid w:val="7F044C09"/>
    <w:rsid w:val="7FE505C8"/>
    <w:rsid w:val="DA7FF9C0"/>
    <w:rsid w:val="DDD54E6C"/>
    <w:rsid w:val="EFFDD95B"/>
    <w:rsid w:val="F5BF6D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iPriority="99"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99"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Calibri" w:hAnsi="Calibri" w:eastAsia="仿宋" w:cs="Times New Roman"/>
      <w:kern w:val="2"/>
      <w:sz w:val="28"/>
      <w:lang w:val="en-US" w:eastAsia="zh-CN" w:bidi="ar-SA"/>
    </w:rPr>
  </w:style>
  <w:style w:type="paragraph" w:styleId="2">
    <w:name w:val="heading 1"/>
    <w:basedOn w:val="1"/>
    <w:next w:val="1"/>
    <w:link w:val="203"/>
    <w:qFormat/>
    <w:uiPriority w:val="0"/>
    <w:pPr>
      <w:keepNext/>
      <w:keepLines/>
      <w:adjustRightInd w:val="0"/>
      <w:snapToGrid w:val="0"/>
      <w:spacing w:before="120" w:beforeLines="50" w:after="120" w:afterLines="50"/>
      <w:textAlignment w:val="baseline"/>
      <w:outlineLvl w:val="0"/>
    </w:pPr>
    <w:rPr>
      <w:rFonts w:ascii="仿宋_GB2312" w:eastAsia="仿宋_GB2312"/>
      <w:b/>
      <w:kern w:val="44"/>
      <w:sz w:val="30"/>
      <w:szCs w:val="30"/>
    </w:rPr>
  </w:style>
  <w:style w:type="paragraph" w:styleId="3">
    <w:name w:val="heading 2"/>
    <w:basedOn w:val="1"/>
    <w:next w:val="1"/>
    <w:link w:val="208"/>
    <w:qFormat/>
    <w:uiPriority w:val="0"/>
    <w:pPr>
      <w:keepNext/>
      <w:keepLines/>
      <w:adjustRightInd w:val="0"/>
      <w:snapToGrid w:val="0"/>
      <w:ind w:firstLine="480" w:firstLineChars="200"/>
      <w:jc w:val="left"/>
      <w:textAlignment w:val="baseline"/>
      <w:outlineLvl w:val="1"/>
    </w:pPr>
    <w:rPr>
      <w:rFonts w:eastAsia="黑体"/>
      <w:kern w:val="0"/>
      <w:sz w:val="24"/>
    </w:rPr>
  </w:style>
  <w:style w:type="paragraph" w:styleId="4">
    <w:name w:val="heading 3"/>
    <w:basedOn w:val="1"/>
    <w:next w:val="5"/>
    <w:link w:val="210"/>
    <w:qFormat/>
    <w:uiPriority w:val="0"/>
    <w:pPr>
      <w:keepNext/>
      <w:keepLines/>
      <w:spacing w:line="480" w:lineRule="atLeast"/>
      <w:ind w:firstLine="480"/>
      <w:outlineLvl w:val="2"/>
    </w:pPr>
    <w:rPr>
      <w:rFonts w:ascii="黑体" w:eastAsia="黑体"/>
      <w:sz w:val="24"/>
    </w:rPr>
  </w:style>
  <w:style w:type="paragraph" w:styleId="6">
    <w:name w:val="heading 4"/>
    <w:basedOn w:val="1"/>
    <w:next w:val="7"/>
    <w:link w:val="174"/>
    <w:qFormat/>
    <w:uiPriority w:val="0"/>
    <w:pPr>
      <w:keepNext/>
      <w:keepLines/>
      <w:spacing w:line="480" w:lineRule="atLeast"/>
      <w:ind w:firstLine="482"/>
      <w:outlineLvl w:val="3"/>
    </w:pPr>
    <w:rPr>
      <w:sz w:val="24"/>
    </w:rPr>
  </w:style>
  <w:style w:type="paragraph" w:styleId="8">
    <w:name w:val="heading 5"/>
    <w:basedOn w:val="9"/>
    <w:next w:val="7"/>
    <w:link w:val="190"/>
    <w:qFormat/>
    <w:uiPriority w:val="0"/>
    <w:pPr>
      <w:keepNext/>
      <w:keepLines/>
      <w:spacing w:before="280" w:after="290" w:line="376" w:lineRule="auto"/>
      <w:outlineLvl w:val="4"/>
    </w:pPr>
    <w:rPr>
      <w:b/>
      <w:sz w:val="28"/>
    </w:rPr>
  </w:style>
  <w:style w:type="paragraph" w:styleId="10">
    <w:name w:val="heading 6"/>
    <w:basedOn w:val="1"/>
    <w:next w:val="1"/>
    <w:link w:val="205"/>
    <w:qFormat/>
    <w:uiPriority w:val="0"/>
    <w:pPr>
      <w:keepNext/>
      <w:keepLines/>
      <w:spacing w:before="240" w:after="64"/>
      <w:ind w:firstLine="200" w:firstLineChars="200"/>
      <w:jc w:val="left"/>
      <w:outlineLvl w:val="5"/>
    </w:pPr>
    <w:rPr>
      <w:rFonts w:eastAsia="仿宋_GB2312"/>
      <w:bCs/>
      <w:sz w:val="24"/>
      <w:szCs w:val="24"/>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customStyle="1" w:styleId="5">
    <w:name w:val="应急预案-正文"/>
    <w:basedOn w:val="1"/>
    <w:next w:val="1"/>
    <w:qFormat/>
    <w:uiPriority w:val="0"/>
    <w:pPr>
      <w:spacing w:line="360" w:lineRule="auto"/>
    </w:pPr>
    <w:rPr>
      <w:szCs w:val="28"/>
    </w:rPr>
  </w:style>
  <w:style w:type="paragraph" w:styleId="7">
    <w:name w:val="Normal Indent"/>
    <w:basedOn w:val="1"/>
    <w:next w:val="1"/>
    <w:qFormat/>
    <w:uiPriority w:val="0"/>
    <w:pPr>
      <w:ind w:firstLine="420"/>
    </w:pPr>
  </w:style>
  <w:style w:type="paragraph" w:customStyle="1" w:styleId="9">
    <w:name w:val="中文报告书样式"/>
    <w:basedOn w:val="1"/>
    <w:link w:val="182"/>
    <w:qFormat/>
    <w:uiPriority w:val="0"/>
    <w:pPr>
      <w:adjustRightInd w:val="0"/>
      <w:snapToGrid w:val="0"/>
      <w:ind w:firstLine="480" w:firstLineChars="200"/>
      <w:textAlignment w:val="baseline"/>
    </w:pPr>
    <w:rPr>
      <w:kern w:val="24"/>
      <w:sz w:val="24"/>
    </w:rPr>
  </w:style>
  <w:style w:type="paragraph" w:styleId="11">
    <w:name w:val="toc 7"/>
    <w:basedOn w:val="1"/>
    <w:next w:val="1"/>
    <w:semiHidden/>
    <w:qFormat/>
    <w:uiPriority w:val="0"/>
    <w:pPr>
      <w:ind w:left="1260"/>
      <w:jc w:val="left"/>
    </w:pPr>
    <w:rPr>
      <w:sz w:val="18"/>
    </w:rPr>
  </w:style>
  <w:style w:type="paragraph" w:styleId="12">
    <w:name w:val="Note Heading"/>
    <w:basedOn w:val="1"/>
    <w:next w:val="1"/>
    <w:link w:val="185"/>
    <w:qFormat/>
    <w:uiPriority w:val="0"/>
    <w:pPr>
      <w:jc w:val="center"/>
    </w:pPr>
    <w:rPr>
      <w:rFonts w:ascii="宋体"/>
    </w:rPr>
  </w:style>
  <w:style w:type="paragraph" w:styleId="13">
    <w:name w:val="caption"/>
    <w:basedOn w:val="1"/>
    <w:next w:val="1"/>
    <w:link w:val="169"/>
    <w:qFormat/>
    <w:uiPriority w:val="0"/>
    <w:pPr>
      <w:spacing w:before="152" w:after="160"/>
    </w:pPr>
    <w:rPr>
      <w:sz w:val="24"/>
    </w:rPr>
  </w:style>
  <w:style w:type="paragraph" w:styleId="14">
    <w:name w:val="Document Map"/>
    <w:basedOn w:val="1"/>
    <w:link w:val="167"/>
    <w:semiHidden/>
    <w:qFormat/>
    <w:uiPriority w:val="99"/>
    <w:pPr>
      <w:shd w:val="clear" w:color="auto" w:fill="000080"/>
    </w:pPr>
  </w:style>
  <w:style w:type="paragraph" w:styleId="15">
    <w:name w:val="annotation text"/>
    <w:basedOn w:val="1"/>
    <w:link w:val="177"/>
    <w:semiHidden/>
    <w:qFormat/>
    <w:uiPriority w:val="0"/>
    <w:pPr>
      <w:jc w:val="left"/>
    </w:pPr>
  </w:style>
  <w:style w:type="paragraph" w:styleId="16">
    <w:name w:val="Body Text 3"/>
    <w:basedOn w:val="1"/>
    <w:link w:val="204"/>
    <w:qFormat/>
    <w:uiPriority w:val="0"/>
    <w:pPr>
      <w:jc w:val="center"/>
    </w:pPr>
    <w:rPr>
      <w:rFonts w:ascii="黑体" w:hAnsi="宋体" w:eastAsia="黑体"/>
      <w:kern w:val="0"/>
      <w:sz w:val="72"/>
      <w:szCs w:val="18"/>
    </w:rPr>
  </w:style>
  <w:style w:type="paragraph" w:styleId="17">
    <w:name w:val="Body Text"/>
    <w:basedOn w:val="1"/>
    <w:link w:val="215"/>
    <w:qFormat/>
    <w:uiPriority w:val="0"/>
    <w:pPr>
      <w:adjustRightInd w:val="0"/>
      <w:snapToGrid w:val="0"/>
    </w:pPr>
    <w:rPr>
      <w:sz w:val="24"/>
    </w:rPr>
  </w:style>
  <w:style w:type="paragraph" w:styleId="18">
    <w:name w:val="Body Text Indent"/>
    <w:basedOn w:val="1"/>
    <w:next w:val="19"/>
    <w:link w:val="212"/>
    <w:qFormat/>
    <w:uiPriority w:val="0"/>
    <w:pPr>
      <w:adjustRightInd w:val="0"/>
      <w:spacing w:line="440" w:lineRule="atLeast"/>
      <w:ind w:firstLine="480"/>
      <w:jc w:val="left"/>
      <w:textAlignment w:val="baseline"/>
    </w:pPr>
    <w:rPr>
      <w:kern w:val="0"/>
      <w:sz w:val="24"/>
    </w:rPr>
  </w:style>
  <w:style w:type="paragraph" w:styleId="19">
    <w:name w:val="Body Text Indent 2"/>
    <w:basedOn w:val="1"/>
    <w:link w:val="181"/>
    <w:qFormat/>
    <w:uiPriority w:val="0"/>
    <w:pPr>
      <w:spacing w:line="440" w:lineRule="atLeast"/>
      <w:ind w:firstLine="480"/>
    </w:pPr>
    <w:rPr>
      <w:rFonts w:ascii="宋体" w:hAnsi="宋体"/>
      <w:sz w:val="24"/>
    </w:rPr>
  </w:style>
  <w:style w:type="paragraph" w:styleId="20">
    <w:name w:val="toc 5"/>
    <w:basedOn w:val="1"/>
    <w:next w:val="1"/>
    <w:semiHidden/>
    <w:qFormat/>
    <w:uiPriority w:val="0"/>
    <w:pPr>
      <w:ind w:left="840"/>
      <w:jc w:val="left"/>
    </w:pPr>
    <w:rPr>
      <w:sz w:val="18"/>
    </w:rPr>
  </w:style>
  <w:style w:type="paragraph" w:styleId="21">
    <w:name w:val="toc 3"/>
    <w:basedOn w:val="1"/>
    <w:next w:val="1"/>
    <w:semiHidden/>
    <w:qFormat/>
    <w:uiPriority w:val="0"/>
    <w:pPr>
      <w:ind w:left="420"/>
      <w:jc w:val="left"/>
    </w:pPr>
    <w:rPr>
      <w:i/>
      <w:sz w:val="20"/>
    </w:rPr>
  </w:style>
  <w:style w:type="paragraph" w:styleId="22">
    <w:name w:val="Plain Text"/>
    <w:basedOn w:val="1"/>
    <w:link w:val="209"/>
    <w:qFormat/>
    <w:uiPriority w:val="0"/>
    <w:rPr>
      <w:rFonts w:ascii="宋体" w:hAnsi="Courier New"/>
    </w:rPr>
  </w:style>
  <w:style w:type="paragraph" w:styleId="23">
    <w:name w:val="toc 8"/>
    <w:basedOn w:val="1"/>
    <w:next w:val="1"/>
    <w:semiHidden/>
    <w:qFormat/>
    <w:uiPriority w:val="0"/>
    <w:pPr>
      <w:ind w:left="1470"/>
      <w:jc w:val="left"/>
    </w:pPr>
    <w:rPr>
      <w:sz w:val="18"/>
    </w:rPr>
  </w:style>
  <w:style w:type="paragraph" w:styleId="24">
    <w:name w:val="Date"/>
    <w:basedOn w:val="1"/>
    <w:next w:val="1"/>
    <w:link w:val="168"/>
    <w:qFormat/>
    <w:uiPriority w:val="0"/>
    <w:rPr>
      <w:sz w:val="24"/>
    </w:rPr>
  </w:style>
  <w:style w:type="paragraph" w:styleId="25">
    <w:name w:val="Balloon Text"/>
    <w:basedOn w:val="1"/>
    <w:link w:val="214"/>
    <w:semiHidden/>
    <w:qFormat/>
    <w:uiPriority w:val="0"/>
    <w:rPr>
      <w:sz w:val="18"/>
      <w:szCs w:val="18"/>
    </w:rPr>
  </w:style>
  <w:style w:type="paragraph" w:styleId="26">
    <w:name w:val="footer"/>
    <w:basedOn w:val="1"/>
    <w:link w:val="201"/>
    <w:qFormat/>
    <w:uiPriority w:val="99"/>
    <w:pPr>
      <w:tabs>
        <w:tab w:val="center" w:pos="4153"/>
        <w:tab w:val="right" w:pos="8306"/>
      </w:tabs>
      <w:snapToGrid w:val="0"/>
      <w:jc w:val="left"/>
    </w:pPr>
    <w:rPr>
      <w:sz w:val="18"/>
    </w:rPr>
  </w:style>
  <w:style w:type="paragraph" w:styleId="27">
    <w:name w:val="header"/>
    <w:basedOn w:val="1"/>
    <w:link w:val="191"/>
    <w:qFormat/>
    <w:uiPriority w:val="99"/>
    <w:pPr>
      <w:pBdr>
        <w:bottom w:val="single" w:color="auto" w:sz="6" w:space="1"/>
      </w:pBdr>
      <w:tabs>
        <w:tab w:val="center" w:pos="4153"/>
        <w:tab w:val="right" w:pos="8306"/>
      </w:tabs>
      <w:snapToGrid w:val="0"/>
      <w:jc w:val="center"/>
    </w:pPr>
    <w:rPr>
      <w:sz w:val="18"/>
    </w:rPr>
  </w:style>
  <w:style w:type="paragraph" w:styleId="28">
    <w:name w:val="toc 1"/>
    <w:basedOn w:val="1"/>
    <w:next w:val="1"/>
    <w:qFormat/>
    <w:uiPriority w:val="39"/>
    <w:pPr>
      <w:tabs>
        <w:tab w:val="right" w:leader="dot" w:pos="8296"/>
      </w:tabs>
      <w:spacing w:before="120" w:after="120"/>
      <w:jc w:val="left"/>
    </w:pPr>
    <w:rPr>
      <w:rFonts w:ascii="楷体_GB2312" w:eastAsia="楷体_GB2312"/>
      <w:b/>
      <w:caps/>
      <w:sz w:val="24"/>
    </w:rPr>
  </w:style>
  <w:style w:type="paragraph" w:styleId="29">
    <w:name w:val="toc 4"/>
    <w:basedOn w:val="1"/>
    <w:next w:val="1"/>
    <w:semiHidden/>
    <w:qFormat/>
    <w:uiPriority w:val="0"/>
    <w:pPr>
      <w:ind w:left="630"/>
      <w:jc w:val="left"/>
    </w:pPr>
    <w:rPr>
      <w:sz w:val="18"/>
    </w:rPr>
  </w:style>
  <w:style w:type="paragraph" w:styleId="30">
    <w:name w:val="Subtitle"/>
    <w:basedOn w:val="1"/>
    <w:next w:val="1"/>
    <w:link w:val="186"/>
    <w:qFormat/>
    <w:uiPriority w:val="0"/>
    <w:pPr>
      <w:widowControl/>
      <w:jc w:val="left"/>
      <w:outlineLvl w:val="1"/>
    </w:pPr>
    <w:rPr>
      <w:rFonts w:ascii="Cambria" w:hAnsi="Cambria"/>
      <w:b/>
      <w:bCs/>
      <w:kern w:val="28"/>
      <w:sz w:val="24"/>
      <w:szCs w:val="32"/>
    </w:rPr>
  </w:style>
  <w:style w:type="paragraph" w:styleId="31">
    <w:name w:val="toc 6"/>
    <w:basedOn w:val="1"/>
    <w:next w:val="1"/>
    <w:semiHidden/>
    <w:qFormat/>
    <w:uiPriority w:val="0"/>
    <w:pPr>
      <w:ind w:left="1050"/>
      <w:jc w:val="left"/>
    </w:pPr>
    <w:rPr>
      <w:sz w:val="18"/>
    </w:rPr>
  </w:style>
  <w:style w:type="paragraph" w:styleId="32">
    <w:name w:val="Body Text Indent 3"/>
    <w:basedOn w:val="1"/>
    <w:link w:val="202"/>
    <w:qFormat/>
    <w:uiPriority w:val="0"/>
    <w:pPr>
      <w:spacing w:after="120"/>
      <w:ind w:left="420" w:leftChars="200"/>
    </w:pPr>
    <w:rPr>
      <w:sz w:val="16"/>
      <w:szCs w:val="16"/>
    </w:rPr>
  </w:style>
  <w:style w:type="paragraph" w:styleId="33">
    <w:name w:val="toc 2"/>
    <w:basedOn w:val="1"/>
    <w:next w:val="1"/>
    <w:qFormat/>
    <w:uiPriority w:val="39"/>
    <w:pPr>
      <w:tabs>
        <w:tab w:val="right" w:leader="dot" w:pos="8296"/>
      </w:tabs>
      <w:spacing w:line="312" w:lineRule="auto"/>
      <w:ind w:left="210"/>
      <w:jc w:val="left"/>
    </w:pPr>
    <w:rPr>
      <w:rFonts w:ascii="楷体_GB2312" w:eastAsia="楷体_GB2312"/>
      <w:smallCaps/>
      <w:sz w:val="24"/>
    </w:rPr>
  </w:style>
  <w:style w:type="paragraph" w:styleId="34">
    <w:name w:val="toc 9"/>
    <w:basedOn w:val="1"/>
    <w:next w:val="1"/>
    <w:semiHidden/>
    <w:qFormat/>
    <w:uiPriority w:val="0"/>
    <w:pPr>
      <w:ind w:left="1680"/>
      <w:jc w:val="left"/>
    </w:pPr>
    <w:rPr>
      <w:sz w:val="18"/>
    </w:rPr>
  </w:style>
  <w:style w:type="paragraph" w:styleId="35">
    <w:name w:val="Body Text 2"/>
    <w:basedOn w:val="1"/>
    <w:link w:val="193"/>
    <w:qFormat/>
    <w:uiPriority w:val="0"/>
    <w:pPr>
      <w:spacing w:after="120" w:line="480" w:lineRule="auto"/>
    </w:pPr>
  </w:style>
  <w:style w:type="paragraph" w:styleId="36">
    <w:name w:val="HTML Preformatted"/>
    <w:basedOn w:val="1"/>
    <w:link w:val="199"/>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4"/>
    </w:rPr>
  </w:style>
  <w:style w:type="paragraph" w:styleId="37">
    <w:name w:val="Normal (Web)"/>
    <w:basedOn w:val="1"/>
    <w:qFormat/>
    <w:uiPriority w:val="99"/>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styleId="38">
    <w:name w:val="annotation subject"/>
    <w:basedOn w:val="15"/>
    <w:next w:val="15"/>
    <w:link w:val="194"/>
    <w:semiHidden/>
    <w:qFormat/>
    <w:uiPriority w:val="0"/>
    <w:rPr>
      <w:b/>
      <w:bCs/>
    </w:rPr>
  </w:style>
  <w:style w:type="paragraph" w:styleId="39">
    <w:name w:val="Body Text First Indent 2"/>
    <w:basedOn w:val="1"/>
    <w:next w:val="1"/>
    <w:link w:val="189"/>
    <w:unhideWhenUsed/>
    <w:qFormat/>
    <w:uiPriority w:val="99"/>
    <w:pPr>
      <w:adjustRightInd/>
      <w:spacing w:after="120" w:line="240" w:lineRule="auto"/>
      <w:ind w:left="420" w:leftChars="200" w:firstLine="420" w:firstLineChars="200"/>
      <w:jc w:val="both"/>
      <w:textAlignment w:val="auto"/>
    </w:pPr>
    <w:rPr>
      <w:kern w:val="2"/>
      <w:sz w:val="21"/>
    </w:rPr>
  </w:style>
  <w:style w:type="table" w:styleId="41">
    <w:name w:val="Table Grid"/>
    <w:basedOn w:val="40"/>
    <w:qFormat/>
    <w:uiPriority w:val="0"/>
    <w:pPr>
      <w:widowControl w:val="0"/>
      <w:adjustRightInd w:val="0"/>
      <w:spacing w:line="360" w:lineRule="atLeast"/>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bCs/>
    </w:rPr>
  </w:style>
  <w:style w:type="character" w:styleId="44">
    <w:name w:val="page number"/>
    <w:basedOn w:val="42"/>
    <w:qFormat/>
    <w:uiPriority w:val="0"/>
  </w:style>
  <w:style w:type="character" w:styleId="45">
    <w:name w:val="FollowedHyperlink"/>
    <w:qFormat/>
    <w:uiPriority w:val="0"/>
    <w:rPr>
      <w:color w:val="800080"/>
      <w:u w:val="single"/>
    </w:rPr>
  </w:style>
  <w:style w:type="character" w:styleId="46">
    <w:name w:val="Hyperlink"/>
    <w:qFormat/>
    <w:uiPriority w:val="99"/>
    <w:rPr>
      <w:color w:val="0000FF"/>
      <w:u w:val="single"/>
    </w:rPr>
  </w:style>
  <w:style w:type="character" w:styleId="47">
    <w:name w:val="annotation reference"/>
    <w:semiHidden/>
    <w:qFormat/>
    <w:uiPriority w:val="0"/>
    <w:rPr>
      <w:sz w:val="21"/>
      <w:szCs w:val="21"/>
    </w:rPr>
  </w:style>
  <w:style w:type="paragraph" w:customStyle="1" w:styleId="48">
    <w:name w:val="xl68"/>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49">
    <w:name w:val="WPSOffice手动目录 1"/>
    <w:qFormat/>
    <w:uiPriority w:val="0"/>
    <w:rPr>
      <w:rFonts w:ascii="Calibri" w:hAnsi="Calibri" w:eastAsia="宋体" w:cs="Times New Roman"/>
      <w:lang w:val="en-US" w:eastAsia="zh-CN" w:bidi="ar-SA"/>
    </w:rPr>
  </w:style>
  <w:style w:type="paragraph" w:customStyle="1" w:styleId="50">
    <w:name w:val="标准公文"/>
    <w:qFormat/>
    <w:uiPriority w:val="0"/>
    <w:pPr>
      <w:spacing w:line="610" w:lineRule="atLeast"/>
      <w:ind w:firstLine="658"/>
      <w:jc w:val="both"/>
    </w:pPr>
    <w:rPr>
      <w:rFonts w:ascii="Calibri" w:hAnsi="Calibri" w:eastAsia="仿宋_GB2312" w:cs="Times New Roman"/>
      <w:sz w:val="32"/>
      <w:lang w:val="en-US" w:eastAsia="zh-CN" w:bidi="ar-SA"/>
    </w:rPr>
  </w:style>
  <w:style w:type="paragraph" w:customStyle="1" w:styleId="51">
    <w:name w:val="xl60"/>
    <w:basedOn w:val="1"/>
    <w:qFormat/>
    <w:uiPriority w:val="0"/>
    <w:pPr>
      <w:widowControl/>
      <w:pBdr>
        <w:left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52">
    <w:name w:val="xl30"/>
    <w:basedOn w:val="1"/>
    <w:qFormat/>
    <w:uiPriority w:val="0"/>
    <w:pPr>
      <w:widowControl/>
      <w:pBdr>
        <w:top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53">
    <w:name w:val="xl33"/>
    <w:basedOn w:val="1"/>
    <w:qFormat/>
    <w:uiPriority w:val="0"/>
    <w:pPr>
      <w:widowControl/>
      <w:pBdr>
        <w:top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54">
    <w:name w:val="报告书"/>
    <w:basedOn w:val="1"/>
    <w:link w:val="198"/>
    <w:qFormat/>
    <w:uiPriority w:val="0"/>
    <w:pPr>
      <w:adjustRightInd w:val="0"/>
      <w:snapToGrid w:val="0"/>
      <w:spacing w:line="440" w:lineRule="atLeast"/>
      <w:ind w:firstLine="482"/>
      <w:textAlignment w:val="baseline"/>
    </w:pPr>
    <w:rPr>
      <w:rFonts w:ascii="宋体"/>
      <w:kern w:val="24"/>
      <w:sz w:val="24"/>
    </w:rPr>
  </w:style>
  <w:style w:type="paragraph" w:customStyle="1" w:styleId="55">
    <w:name w:val="Char"/>
    <w:basedOn w:val="1"/>
    <w:qFormat/>
    <w:uiPriority w:val="0"/>
    <w:pPr>
      <w:ind w:firstLine="200" w:firstLineChars="200"/>
    </w:pPr>
    <w:rPr>
      <w:rFonts w:ascii="宋体" w:hAnsi="宋体" w:cs="宋体"/>
      <w:sz w:val="24"/>
      <w:szCs w:val="24"/>
    </w:rPr>
  </w:style>
  <w:style w:type="paragraph" w:customStyle="1" w:styleId="56">
    <w:name w:val="标题4"/>
    <w:basedOn w:val="4"/>
    <w:next w:val="17"/>
    <w:qFormat/>
    <w:uiPriority w:val="0"/>
    <w:pPr>
      <w:adjustRightInd w:val="0"/>
      <w:spacing w:line="480" w:lineRule="exact"/>
      <w:ind w:left="480" w:leftChars="200" w:firstLine="0"/>
      <w:jc w:val="left"/>
      <w:textAlignment w:val="baseline"/>
      <w:outlineLvl w:val="3"/>
    </w:pPr>
    <w:rPr>
      <w:rFonts w:hAnsi="Arial"/>
      <w:bCs/>
      <w:kern w:val="0"/>
      <w:szCs w:val="32"/>
    </w:rPr>
  </w:style>
  <w:style w:type="paragraph" w:customStyle="1" w:styleId="57">
    <w:name w:val="xl50"/>
    <w:basedOn w:val="1"/>
    <w:qFormat/>
    <w:uiPriority w:val="0"/>
    <w:pPr>
      <w:widowControl/>
      <w:pBdr>
        <w:top w:val="double" w:color="auto" w:sz="6" w:space="0"/>
        <w:left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58">
    <w:name w:val="1-正文"/>
    <w:basedOn w:val="1"/>
    <w:qFormat/>
    <w:uiPriority w:val="0"/>
    <w:pPr>
      <w:ind w:firstLine="480" w:firstLineChars="200"/>
      <w:jc w:val="left"/>
    </w:pPr>
    <w:rPr>
      <w:rFonts w:ascii="宋体" w:hAnsi="宋体" w:cs="宋体"/>
      <w:sz w:val="24"/>
      <w:szCs w:val="24"/>
    </w:rPr>
  </w:style>
  <w:style w:type="paragraph" w:customStyle="1" w:styleId="59">
    <w:name w:val="1"/>
    <w:basedOn w:val="1"/>
    <w:next w:val="7"/>
    <w:qFormat/>
    <w:uiPriority w:val="0"/>
    <w:pPr>
      <w:ind w:firstLine="420"/>
    </w:pPr>
  </w:style>
  <w:style w:type="paragraph" w:customStyle="1" w:styleId="60">
    <w:name w:val="Char Char Char Char Char1 Char Char Char Char Char Char Char Char Char1 Char Char Char Char Char Char Char Char Char Char Char Char Char"/>
    <w:basedOn w:val="14"/>
    <w:qFormat/>
    <w:uiPriority w:val="0"/>
    <w:rPr>
      <w:rFonts w:ascii="Tahoma" w:hAnsi="Tahoma" w:eastAsia="等线"/>
      <w:sz w:val="24"/>
      <w:szCs w:val="24"/>
    </w:rPr>
  </w:style>
  <w:style w:type="paragraph" w:customStyle="1" w:styleId="61">
    <w:name w:val="表1"/>
    <w:basedOn w:val="1"/>
    <w:qFormat/>
    <w:uiPriority w:val="0"/>
    <w:pPr>
      <w:spacing w:before="40" w:line="0" w:lineRule="atLeast"/>
      <w:jc w:val="center"/>
    </w:pPr>
  </w:style>
  <w:style w:type="paragraph" w:customStyle="1" w:styleId="62">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63">
    <w:name w:val="xl34"/>
    <w:basedOn w:val="1"/>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64">
    <w:name w:val="表格内容"/>
    <w:basedOn w:val="1"/>
    <w:qFormat/>
    <w:uiPriority w:val="0"/>
    <w:pPr>
      <w:adjustRightInd w:val="0"/>
      <w:jc w:val="center"/>
      <w:textAlignment w:val="baseline"/>
    </w:pPr>
    <w:rPr>
      <w:rFonts w:ascii="宋体"/>
      <w:kern w:val="0"/>
      <w:szCs w:val="28"/>
    </w:rPr>
  </w:style>
  <w:style w:type="paragraph" w:customStyle="1" w:styleId="65">
    <w:name w:val="font7"/>
    <w:basedOn w:val="1"/>
    <w:qFormat/>
    <w:uiPriority w:val="0"/>
    <w:pPr>
      <w:widowControl/>
      <w:spacing w:before="100" w:beforeAutospacing="1" w:after="100" w:afterAutospacing="1"/>
      <w:jc w:val="left"/>
    </w:pPr>
    <w:rPr>
      <w:rFonts w:eastAsia="Arial Unicode MS"/>
      <w:kern w:val="0"/>
      <w:sz w:val="18"/>
      <w:szCs w:val="18"/>
    </w:rPr>
  </w:style>
  <w:style w:type="paragraph" w:customStyle="1" w:styleId="66">
    <w:name w:val="其 它 文 件"/>
    <w:basedOn w:val="1"/>
    <w:qFormat/>
    <w:uiPriority w:val="0"/>
    <w:pPr>
      <w:spacing w:after="80" w:line="440" w:lineRule="atLeast"/>
    </w:pPr>
    <w:rPr>
      <w:rFonts w:eastAsia="楷体"/>
    </w:rPr>
  </w:style>
  <w:style w:type="paragraph" w:customStyle="1" w:styleId="67">
    <w:name w:val="xl36"/>
    <w:basedOn w:val="1"/>
    <w:qFormat/>
    <w:uiPriority w:val="0"/>
    <w:pPr>
      <w:widowControl/>
      <w:pBdr>
        <w:top w:val="double" w:color="auto" w:sz="6"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68">
    <w:name w:val="xl71"/>
    <w:basedOn w:val="1"/>
    <w:qFormat/>
    <w:uiPriority w:val="0"/>
    <w:pPr>
      <w:widowControl/>
      <w:pBdr>
        <w:left w:val="single" w:color="auto" w:sz="4" w:space="0"/>
        <w:bottom w:val="double" w:color="auto" w:sz="6"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69">
    <w:name w:val="2"/>
    <w:basedOn w:val="1"/>
    <w:next w:val="18"/>
    <w:qFormat/>
    <w:uiPriority w:val="0"/>
    <w:pPr>
      <w:adjustRightInd w:val="0"/>
      <w:spacing w:line="440" w:lineRule="atLeast"/>
      <w:ind w:firstLine="480"/>
      <w:jc w:val="left"/>
      <w:textAlignment w:val="baseline"/>
    </w:pPr>
    <w:rPr>
      <w:kern w:val="0"/>
      <w:sz w:val="24"/>
    </w:rPr>
  </w:style>
  <w:style w:type="paragraph" w:customStyle="1" w:styleId="70">
    <w:name w:val="Char Char Char"/>
    <w:basedOn w:val="1"/>
    <w:qFormat/>
    <w:uiPriority w:val="0"/>
    <w:rPr>
      <w:sz w:val="24"/>
      <w:szCs w:val="24"/>
    </w:rPr>
  </w:style>
  <w:style w:type="paragraph" w:customStyle="1" w:styleId="71">
    <w:name w:val="xl70"/>
    <w:basedOn w:val="1"/>
    <w:qFormat/>
    <w:uiPriority w:val="0"/>
    <w:pPr>
      <w:widowControl/>
      <w:pBdr>
        <w:left w:val="single" w:color="auto" w:sz="4" w:space="0"/>
        <w:bottom w:val="double" w:color="auto" w:sz="6" w:space="0"/>
        <w:right w:val="single" w:color="auto" w:sz="4" w:space="0"/>
      </w:pBdr>
      <w:spacing w:before="100" w:beforeAutospacing="1" w:after="100" w:afterAutospacing="1"/>
      <w:jc w:val="left"/>
    </w:pPr>
    <w:rPr>
      <w:rFonts w:ascii="Arial Unicode MS" w:hAnsi="Arial Unicode MS" w:eastAsia="Arial Unicode MS" w:cs="Arial Unicode MS"/>
      <w:kern w:val="0"/>
      <w:sz w:val="18"/>
      <w:szCs w:val="18"/>
    </w:rPr>
  </w:style>
  <w:style w:type="paragraph" w:customStyle="1" w:styleId="72">
    <w:name w:val="样式 报告书正文 + 首行缩进:  2 字符"/>
    <w:basedOn w:val="1"/>
    <w:link w:val="175"/>
    <w:qFormat/>
    <w:uiPriority w:val="0"/>
    <w:pPr>
      <w:ind w:firstLine="480" w:firstLineChars="200"/>
    </w:pPr>
    <w:rPr>
      <w:rFonts w:cs="宋体"/>
      <w:sz w:val="24"/>
    </w:rPr>
  </w:style>
  <w:style w:type="paragraph" w:customStyle="1" w:styleId="73">
    <w:name w:val="标注"/>
    <w:basedOn w:val="64"/>
    <w:qFormat/>
    <w:uiPriority w:val="0"/>
    <w:pPr>
      <w:ind w:firstLine="425"/>
      <w:jc w:val="left"/>
    </w:pPr>
    <w:rPr>
      <w:sz w:val="24"/>
      <w:szCs w:val="24"/>
    </w:rPr>
  </w:style>
  <w:style w:type="paragraph" w:customStyle="1" w:styleId="74">
    <w:name w:val="xl43"/>
    <w:basedOn w:val="1"/>
    <w:qFormat/>
    <w:uiPriority w:val="0"/>
    <w:pPr>
      <w:widowControl/>
      <w:pBdr>
        <w:top w:val="double" w:color="auto" w:sz="6" w:space="0"/>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75">
    <w:name w:val="font5"/>
    <w:basedOn w:val="1"/>
    <w:qFormat/>
    <w:uiPriority w:val="0"/>
    <w:pPr>
      <w:widowControl/>
      <w:spacing w:before="100" w:beforeAutospacing="1" w:after="100" w:afterAutospacing="1"/>
      <w:jc w:val="left"/>
    </w:pPr>
    <w:rPr>
      <w:rFonts w:eastAsia="Arial Unicode MS"/>
      <w:kern w:val="0"/>
      <w:sz w:val="18"/>
      <w:szCs w:val="18"/>
    </w:rPr>
  </w:style>
  <w:style w:type="paragraph" w:customStyle="1" w:styleId="76">
    <w:name w:val="Default Text"/>
    <w:basedOn w:val="1"/>
    <w:qFormat/>
    <w:uiPriority w:val="0"/>
    <w:pPr>
      <w:widowControl/>
      <w:tabs>
        <w:tab w:val="left" w:pos="2268"/>
      </w:tabs>
      <w:jc w:val="left"/>
    </w:pPr>
    <w:rPr>
      <w:kern w:val="0"/>
      <w:sz w:val="24"/>
      <w:lang w:eastAsia="en-US"/>
    </w:rPr>
  </w:style>
  <w:style w:type="paragraph" w:customStyle="1" w:styleId="77">
    <w:name w:val="表格王"/>
    <w:basedOn w:val="1"/>
    <w:qFormat/>
    <w:uiPriority w:val="0"/>
    <w:pPr>
      <w:spacing w:line="240" w:lineRule="auto"/>
      <w:jc w:val="center"/>
    </w:pPr>
    <w:rPr>
      <w:rFonts w:ascii="宋体" w:hAnsi="宋体" w:eastAsia="宋体"/>
      <w:sz w:val="21"/>
    </w:rPr>
  </w:style>
  <w:style w:type="paragraph" w:customStyle="1" w:styleId="78">
    <w:name w:val="刘文婷"/>
    <w:basedOn w:val="1"/>
    <w:link w:val="180"/>
    <w:qFormat/>
    <w:uiPriority w:val="0"/>
    <w:rPr>
      <w:szCs w:val="28"/>
    </w:rPr>
  </w:style>
  <w:style w:type="paragraph" w:customStyle="1" w:styleId="79">
    <w:name w:val="xl65"/>
    <w:basedOn w:val="1"/>
    <w:qFormat/>
    <w:uiPriority w:val="0"/>
    <w:pPr>
      <w:widowControl/>
      <w:pBdr>
        <w:top w:val="single" w:color="auto" w:sz="8" w:space="0"/>
        <w:left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80">
    <w:name w:val="xl69"/>
    <w:basedOn w:val="1"/>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18"/>
      <w:szCs w:val="18"/>
    </w:rPr>
  </w:style>
  <w:style w:type="paragraph" w:customStyle="1" w:styleId="81">
    <w:name w:val="_Style 79"/>
    <w:unhideWhenUsed/>
    <w:qFormat/>
    <w:uiPriority w:val="99"/>
    <w:rPr>
      <w:rFonts w:ascii="Calibri" w:hAnsi="Calibri" w:eastAsia="宋体" w:cs="Times New Roman"/>
      <w:kern w:val="2"/>
      <w:sz w:val="21"/>
      <w:lang w:val="en-US" w:eastAsia="zh-CN" w:bidi="ar-SA"/>
    </w:rPr>
  </w:style>
  <w:style w:type="paragraph" w:customStyle="1" w:styleId="82">
    <w:name w:val="表中文字"/>
    <w:basedOn w:val="1"/>
    <w:qFormat/>
    <w:uiPriority w:val="0"/>
    <w:pPr>
      <w:spacing w:line="280" w:lineRule="exact"/>
      <w:jc w:val="center"/>
    </w:pPr>
    <w:rPr>
      <w:rFonts w:ascii="宋体" w:hAnsi="宋体"/>
      <w:sz w:val="18"/>
      <w:szCs w:val="18"/>
    </w:rPr>
  </w:style>
  <w:style w:type="paragraph" w:customStyle="1" w:styleId="83">
    <w:name w:val="预案-正文缩进"/>
    <w:basedOn w:val="1"/>
    <w:qFormat/>
    <w:uiPriority w:val="0"/>
    <w:pPr>
      <w:adjustRightInd w:val="0"/>
      <w:spacing w:line="346" w:lineRule="atLeast"/>
      <w:ind w:firstLine="200" w:firstLineChars="200"/>
      <w:textAlignment w:val="baseline"/>
    </w:pPr>
    <w:rPr>
      <w:kern w:val="0"/>
      <w:sz w:val="24"/>
    </w:rPr>
  </w:style>
  <w:style w:type="paragraph" w:customStyle="1" w:styleId="84">
    <w:name w:val="Char Char Char Char Char Char1 Char Char Char Char"/>
    <w:basedOn w:val="1"/>
    <w:qFormat/>
    <w:uiPriority w:val="0"/>
    <w:pPr>
      <w:ind w:firstLine="200" w:firstLineChars="200"/>
    </w:pPr>
    <w:rPr>
      <w:rFonts w:ascii="宋体" w:hAnsi="宋体" w:cs="宋体"/>
      <w:sz w:val="24"/>
      <w:szCs w:val="24"/>
    </w:rPr>
  </w:style>
  <w:style w:type="paragraph" w:customStyle="1" w:styleId="85">
    <w:name w:val="Char Char Char Char Char Char Char"/>
    <w:basedOn w:val="1"/>
    <w:qFormat/>
    <w:uiPriority w:val="0"/>
    <w:pPr>
      <w:ind w:firstLine="200" w:firstLineChars="200"/>
    </w:pPr>
    <w:rPr>
      <w:rFonts w:ascii="宋体" w:hAnsi="宋体" w:cs="宋体"/>
      <w:sz w:val="24"/>
      <w:szCs w:val="24"/>
    </w:rPr>
  </w:style>
  <w:style w:type="paragraph" w:customStyle="1" w:styleId="86">
    <w:name w:val="Char Char Char1"/>
    <w:basedOn w:val="1"/>
    <w:qFormat/>
    <w:uiPriority w:val="0"/>
    <w:rPr>
      <w:sz w:val="24"/>
      <w:szCs w:val="24"/>
    </w:rPr>
  </w:style>
  <w:style w:type="paragraph" w:customStyle="1" w:styleId="87">
    <w:name w:val="正文999"/>
    <w:basedOn w:val="1"/>
    <w:qFormat/>
    <w:uiPriority w:val="0"/>
    <w:pPr>
      <w:ind w:firstLine="480" w:firstLineChars="200"/>
    </w:pPr>
    <w:rPr>
      <w:rFonts w:ascii="宋体" w:hAnsi="宋体"/>
      <w:sz w:val="24"/>
      <w:szCs w:val="24"/>
    </w:rPr>
  </w:style>
  <w:style w:type="paragraph" w:customStyle="1" w:styleId="88">
    <w:name w:val="样式 样式 (中文) 仿宋_GB2312 四号 + 首行缩进:  2 字符"/>
    <w:basedOn w:val="1"/>
    <w:qFormat/>
    <w:uiPriority w:val="0"/>
    <w:pPr>
      <w:snapToGrid w:val="0"/>
      <w:ind w:firstLine="200" w:firstLineChars="200"/>
      <w:textAlignment w:val="baseline"/>
    </w:pPr>
    <w:rPr>
      <w:rFonts w:cs="宋体"/>
      <w:color w:val="000000"/>
      <w:kern w:val="0"/>
      <w:u w:color="000000"/>
    </w:rPr>
  </w:style>
  <w:style w:type="paragraph" w:customStyle="1" w:styleId="89">
    <w:name w:val="Char Char Char Char Char Char1 Char"/>
    <w:basedOn w:val="1"/>
    <w:qFormat/>
    <w:uiPriority w:val="0"/>
    <w:pPr>
      <w:ind w:firstLine="200" w:firstLineChars="200"/>
    </w:pPr>
    <w:rPr>
      <w:rFonts w:ascii="宋体" w:hAnsi="宋体" w:cs="宋体"/>
      <w:sz w:val="24"/>
      <w:szCs w:val="24"/>
    </w:rPr>
  </w:style>
  <w:style w:type="paragraph" w:customStyle="1" w:styleId="90">
    <w:name w:val="xl61"/>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91">
    <w:name w:val="xl32"/>
    <w:basedOn w:val="1"/>
    <w:qFormat/>
    <w:uiPriority w:val="0"/>
    <w:pPr>
      <w:widowControl/>
      <w:pBdr>
        <w:top w:val="single" w:color="auto" w:sz="4" w:space="0"/>
        <w:lef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92">
    <w:name w:val="Char Char Char Char"/>
    <w:basedOn w:val="1"/>
    <w:qFormat/>
    <w:uiPriority w:val="0"/>
    <w:pPr>
      <w:ind w:firstLine="200" w:firstLineChars="200"/>
    </w:pPr>
    <w:rPr>
      <w:rFonts w:ascii="宋体" w:hAnsi="宋体" w:cs="宋体"/>
      <w:sz w:val="24"/>
      <w:szCs w:val="24"/>
    </w:rPr>
  </w:style>
  <w:style w:type="paragraph" w:customStyle="1" w:styleId="93">
    <w:name w:val="xl73"/>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hint="eastAsia" w:ascii="宋体" w:hAnsi="宋体" w:cs="Arial Unicode MS"/>
      <w:kern w:val="0"/>
      <w:sz w:val="18"/>
      <w:szCs w:val="18"/>
    </w:rPr>
  </w:style>
  <w:style w:type="paragraph" w:customStyle="1" w:styleId="94">
    <w:name w:val="xl39"/>
    <w:basedOn w:val="1"/>
    <w:qFormat/>
    <w:uiPriority w:val="0"/>
    <w:pPr>
      <w:widowControl/>
      <w:pBdr>
        <w:top w:val="single" w:color="auto" w:sz="4" w:space="0"/>
        <w:bottom w:val="double" w:color="auto" w:sz="6"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95">
    <w:name w:val="xl47"/>
    <w:basedOn w:val="1"/>
    <w:qFormat/>
    <w:uiPriority w:val="0"/>
    <w:pPr>
      <w:widowControl/>
      <w:pBdr>
        <w:left w:val="single" w:color="auto" w:sz="4" w:space="0"/>
        <w:bottom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96">
    <w:name w:val="表格正文"/>
    <w:basedOn w:val="1"/>
    <w:qFormat/>
    <w:uiPriority w:val="0"/>
    <w:pPr>
      <w:spacing w:line="360" w:lineRule="exact"/>
      <w:jc w:val="center"/>
    </w:pPr>
    <w:rPr>
      <w:szCs w:val="24"/>
    </w:rPr>
  </w:style>
  <w:style w:type="paragraph" w:customStyle="1" w:styleId="97">
    <w:name w:val="其 它 文 件 样 式"/>
    <w:basedOn w:val="1"/>
    <w:qFormat/>
    <w:uiPriority w:val="0"/>
    <w:pPr>
      <w:adjustRightInd w:val="0"/>
      <w:spacing w:line="400" w:lineRule="atLeast"/>
      <w:ind w:firstLine="567"/>
      <w:jc w:val="left"/>
      <w:textAlignment w:val="baseline"/>
    </w:pPr>
    <w:rPr>
      <w:rFonts w:eastAsia="楷体"/>
      <w:spacing w:val="10"/>
      <w:kern w:val="28"/>
    </w:rPr>
  </w:style>
  <w:style w:type="paragraph" w:customStyle="1" w:styleId="98">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99">
    <w:name w:val="中 文 论 文"/>
    <w:basedOn w:val="1"/>
    <w:qFormat/>
    <w:uiPriority w:val="0"/>
    <w:pPr>
      <w:adjustRightInd w:val="0"/>
      <w:spacing w:line="480" w:lineRule="atLeast"/>
      <w:ind w:firstLine="510"/>
      <w:jc w:val="left"/>
      <w:textAlignment w:val="baseline"/>
    </w:pPr>
    <w:rPr>
      <w:rFonts w:eastAsia="仿宋_GB2312"/>
      <w:kern w:val="0"/>
    </w:rPr>
  </w:style>
  <w:style w:type="paragraph" w:customStyle="1" w:styleId="100">
    <w:name w:val="Char Char Char Char Char Char1 Char Char Char Char1"/>
    <w:basedOn w:val="1"/>
    <w:qFormat/>
    <w:uiPriority w:val="0"/>
    <w:pPr>
      <w:ind w:firstLine="200" w:firstLineChars="200"/>
    </w:pPr>
    <w:rPr>
      <w:rFonts w:ascii="宋体" w:hAnsi="宋体" w:cs="宋体"/>
      <w:sz w:val="24"/>
      <w:szCs w:val="24"/>
    </w:rPr>
  </w:style>
  <w:style w:type="paragraph" w:customStyle="1" w:styleId="101">
    <w:name w:val="Char Char Char Char Char Char1 Char1"/>
    <w:basedOn w:val="1"/>
    <w:qFormat/>
    <w:uiPriority w:val="0"/>
    <w:pPr>
      <w:ind w:firstLine="200" w:firstLineChars="200"/>
    </w:pPr>
    <w:rPr>
      <w:rFonts w:ascii="宋体" w:hAnsi="宋体" w:cs="宋体"/>
      <w:sz w:val="24"/>
      <w:szCs w:val="24"/>
    </w:rPr>
  </w:style>
  <w:style w:type="paragraph" w:customStyle="1" w:styleId="102">
    <w:name w:val="xl72"/>
    <w:basedOn w:val="1"/>
    <w:qFormat/>
    <w:uiPriority w:val="0"/>
    <w:pPr>
      <w:widowControl/>
      <w:pBdr>
        <w:left w:val="single" w:color="auto" w:sz="8"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03">
    <w:name w:val="xl35"/>
    <w:basedOn w:val="1"/>
    <w:qFormat/>
    <w:uiPriority w:val="0"/>
    <w:pPr>
      <w:widowControl/>
      <w:pBdr>
        <w:top w:val="double" w:color="auto" w:sz="6" w:space="0"/>
        <w:left w:val="single" w:color="auto" w:sz="4" w:space="0"/>
        <w:bottom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104">
    <w:name w:val="样式 报告正文 + 首行缩进:  2 字符"/>
    <w:basedOn w:val="1"/>
    <w:qFormat/>
    <w:uiPriority w:val="0"/>
    <w:pPr>
      <w:autoSpaceDE w:val="0"/>
      <w:autoSpaceDN w:val="0"/>
      <w:ind w:firstLine="200" w:firstLineChars="200"/>
    </w:pPr>
    <w:rPr>
      <w:rFonts w:cs="宋体"/>
      <w:sz w:val="24"/>
    </w:rPr>
  </w:style>
  <w:style w:type="paragraph" w:customStyle="1" w:styleId="105">
    <w:name w:val="表头"/>
    <w:link w:val="172"/>
    <w:qFormat/>
    <w:uiPriority w:val="99"/>
    <w:pPr>
      <w:snapToGrid w:val="0"/>
      <w:jc w:val="center"/>
    </w:pPr>
    <w:rPr>
      <w:rFonts w:ascii="宋体" w:hAnsi="宋体" w:eastAsia="宋体" w:cs="Times New Roman"/>
      <w:sz w:val="24"/>
      <w:lang w:val="en-US" w:eastAsia="zh-CN" w:bidi="ar-SA"/>
    </w:rPr>
  </w:style>
  <w:style w:type="paragraph" w:customStyle="1" w:styleId="106">
    <w:name w:val="Char Char Char Char Char Char"/>
    <w:basedOn w:val="1"/>
    <w:qFormat/>
    <w:uiPriority w:val="0"/>
    <w:pPr>
      <w:ind w:firstLine="200" w:firstLineChars="200"/>
    </w:pPr>
    <w:rPr>
      <w:rFonts w:ascii="宋体" w:hAnsi="宋体" w:cs="宋体"/>
      <w:sz w:val="24"/>
      <w:szCs w:val="24"/>
    </w:rPr>
  </w:style>
  <w:style w:type="paragraph" w:customStyle="1" w:styleId="107">
    <w:name w:val="表格"/>
    <w:basedOn w:val="1"/>
    <w:qFormat/>
    <w:uiPriority w:val="0"/>
    <w:pPr>
      <w:adjustRightInd w:val="0"/>
      <w:snapToGrid w:val="0"/>
      <w:spacing w:before="120"/>
      <w:jc w:val="center"/>
      <w:textAlignment w:val="baseline"/>
    </w:pPr>
    <w:rPr>
      <w:kern w:val="0"/>
    </w:rPr>
  </w:style>
  <w:style w:type="paragraph" w:customStyle="1" w:styleId="108">
    <w:name w:val="Char Char Char Char Char1 Char Char Char Char Char Char Char Char Char1 Char Char Char Char Char Char Char Char Char Char Char Char Char1"/>
    <w:basedOn w:val="14"/>
    <w:qFormat/>
    <w:uiPriority w:val="0"/>
    <w:rPr>
      <w:rFonts w:ascii="Tahoma" w:hAnsi="Tahoma"/>
      <w:sz w:val="24"/>
      <w:szCs w:val="24"/>
    </w:rPr>
  </w:style>
  <w:style w:type="paragraph" w:customStyle="1" w:styleId="109">
    <w:name w:val="表"/>
    <w:basedOn w:val="1"/>
    <w:qFormat/>
    <w:uiPriority w:val="0"/>
    <w:pPr>
      <w:adjustRightInd w:val="0"/>
      <w:snapToGrid w:val="0"/>
    </w:pPr>
    <w:rPr>
      <w:rFonts w:eastAsia="仿宋_GB2312"/>
      <w:bCs/>
      <w:color w:val="000000"/>
      <w:szCs w:val="24"/>
    </w:rPr>
  </w:style>
  <w:style w:type="paragraph" w:customStyle="1" w:styleId="110">
    <w:name w:val="Default"/>
    <w:unhideWhenUsed/>
    <w:qFormat/>
    <w:uiPriority w:val="99"/>
    <w:pPr>
      <w:widowControl w:val="0"/>
      <w:autoSpaceDE w:val="0"/>
      <w:autoSpaceDN w:val="0"/>
      <w:adjustRightInd w:val="0"/>
    </w:pPr>
    <w:rPr>
      <w:rFonts w:hint="eastAsia" w:ascii="仿宋_GB2312" w:hAnsi="仿宋_GB2312" w:eastAsia="仿宋_GB2312" w:cs="Times New Roman"/>
      <w:color w:val="000000"/>
      <w:sz w:val="24"/>
      <w:lang w:val="en-US" w:eastAsia="zh-CN" w:bidi="ar-SA"/>
    </w:rPr>
  </w:style>
  <w:style w:type="paragraph" w:customStyle="1" w:styleId="111">
    <w:name w:val="中文报告书"/>
    <w:basedOn w:val="1"/>
    <w:qFormat/>
    <w:uiPriority w:val="0"/>
    <w:pPr>
      <w:adjustRightInd w:val="0"/>
      <w:spacing w:after="80" w:line="420" w:lineRule="atLeast"/>
      <w:jc w:val="left"/>
      <w:textAlignment w:val="baseline"/>
    </w:pPr>
    <w:rPr>
      <w:kern w:val="0"/>
      <w:sz w:val="24"/>
    </w:rPr>
  </w:style>
  <w:style w:type="paragraph" w:customStyle="1" w:styleId="112">
    <w:name w:val="3"/>
    <w:basedOn w:val="1"/>
    <w:next w:val="22"/>
    <w:qFormat/>
    <w:uiPriority w:val="0"/>
    <w:rPr>
      <w:rFonts w:ascii="宋体" w:hAnsi="Courier New" w:cs="宋体"/>
      <w:szCs w:val="21"/>
    </w:rPr>
  </w:style>
  <w:style w:type="paragraph" w:customStyle="1" w:styleId="113">
    <w:name w:val="font6"/>
    <w:basedOn w:val="1"/>
    <w:qFormat/>
    <w:uiPriority w:val="0"/>
    <w:pPr>
      <w:widowControl/>
      <w:spacing w:before="100" w:beforeAutospacing="1" w:after="100" w:afterAutospacing="1"/>
      <w:jc w:val="left"/>
    </w:pPr>
    <w:rPr>
      <w:rFonts w:hint="eastAsia" w:ascii="宋体" w:hAnsi="宋体" w:cs="Arial Unicode MS"/>
      <w:kern w:val="0"/>
      <w:sz w:val="18"/>
      <w:szCs w:val="18"/>
    </w:rPr>
  </w:style>
  <w:style w:type="paragraph" w:customStyle="1" w:styleId="114">
    <w:name w:val="Char1 Char Char Char1 Char Char Char Char Char Char Char Char Char Char Char Char"/>
    <w:basedOn w:val="14"/>
    <w:qFormat/>
    <w:uiPriority w:val="0"/>
    <w:pPr>
      <w:adjustRightInd w:val="0"/>
      <w:spacing w:line="436" w:lineRule="exact"/>
      <w:ind w:left="357"/>
      <w:jc w:val="left"/>
      <w:outlineLvl w:val="3"/>
    </w:pPr>
    <w:rPr>
      <w:rFonts w:ascii="Tahoma" w:hAnsi="Tahoma"/>
      <w:b/>
      <w:sz w:val="24"/>
      <w:szCs w:val="24"/>
    </w:rPr>
  </w:style>
  <w:style w:type="paragraph" w:customStyle="1" w:styleId="115">
    <w:name w:val="xl55"/>
    <w:basedOn w:val="1"/>
    <w:qFormat/>
    <w:uiPriority w:val="0"/>
    <w:pPr>
      <w:widowControl/>
      <w:pBdr>
        <w:left w:val="single" w:color="auto" w:sz="8" w:space="0"/>
        <w:bottom w:val="double" w:color="auto" w:sz="6"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16">
    <w:name w:val="xl37"/>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117">
    <w:name w:val="默认段落字体 Para Char Char Char Char"/>
    <w:basedOn w:val="1"/>
    <w:qFormat/>
    <w:uiPriority w:val="0"/>
    <w:rPr>
      <w:szCs w:val="24"/>
    </w:rPr>
  </w:style>
  <w:style w:type="paragraph" w:customStyle="1" w:styleId="118">
    <w:name w:val="xl57"/>
    <w:basedOn w:val="1"/>
    <w:qFormat/>
    <w:uiPriority w:val="0"/>
    <w:pPr>
      <w:widowControl/>
      <w:spacing w:before="100" w:beforeAutospacing="1" w:after="100" w:afterAutospacing="1"/>
      <w:jc w:val="center"/>
      <w:textAlignment w:val="center"/>
    </w:pPr>
    <w:rPr>
      <w:rFonts w:ascii="Arial Unicode MS" w:hAnsi="Arial Unicode MS" w:eastAsia="Arial Unicode MS" w:cs="Arial Unicode MS"/>
      <w:b/>
      <w:bCs/>
      <w:kern w:val="0"/>
      <w:sz w:val="18"/>
      <w:szCs w:val="18"/>
    </w:rPr>
  </w:style>
  <w:style w:type="paragraph" w:customStyle="1" w:styleId="119">
    <w:name w:val="xl38"/>
    <w:basedOn w:val="1"/>
    <w:qFormat/>
    <w:uiPriority w:val="0"/>
    <w:pPr>
      <w:widowControl/>
      <w:pBdr>
        <w:top w:val="single" w:color="auto" w:sz="4" w:space="0"/>
        <w:left w:val="single" w:color="auto" w:sz="4" w:space="0"/>
        <w:bottom w:val="double" w:color="auto" w:sz="6"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120">
    <w:name w:val="xl27"/>
    <w:basedOn w:val="1"/>
    <w:qFormat/>
    <w:uiPriority w:val="0"/>
    <w:pPr>
      <w:widowControl/>
      <w:pBdr>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21">
    <w:name w:val="xl24"/>
    <w:basedOn w:val="1"/>
    <w:qFormat/>
    <w:uiPriority w:val="0"/>
    <w:pPr>
      <w:widowControl/>
      <w:pBdr>
        <w:top w:val="single" w:color="auto" w:sz="4" w:space="0"/>
        <w:bottom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22">
    <w:name w:val="xl54"/>
    <w:basedOn w:val="1"/>
    <w:qFormat/>
    <w:uiPriority w:val="0"/>
    <w:pPr>
      <w:widowControl/>
      <w:pBdr>
        <w:left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23">
    <w:name w:val="xl59"/>
    <w:basedOn w:val="1"/>
    <w:qFormat/>
    <w:uiPriority w:val="0"/>
    <w:pPr>
      <w:widowControl/>
      <w:pBdr>
        <w:left w:val="single" w:color="auto" w:sz="4" w:space="0"/>
        <w:bottom w:val="double" w:color="auto" w:sz="6"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24">
    <w:name w:val="Char1"/>
    <w:basedOn w:val="1"/>
    <w:qFormat/>
    <w:uiPriority w:val="0"/>
    <w:pPr>
      <w:ind w:firstLine="200" w:firstLineChars="200"/>
    </w:pPr>
    <w:rPr>
      <w:rFonts w:ascii="宋体" w:hAnsi="宋体" w:cs="宋体"/>
      <w:sz w:val="24"/>
      <w:szCs w:val="24"/>
    </w:rPr>
  </w:style>
  <w:style w:type="paragraph" w:customStyle="1" w:styleId="125">
    <w:name w:val="Char Char Char Char Char Char Char Char Char Char"/>
    <w:basedOn w:val="1"/>
    <w:qFormat/>
    <w:uiPriority w:val="0"/>
    <w:pPr>
      <w:ind w:firstLine="200" w:firstLineChars="200"/>
    </w:pPr>
    <w:rPr>
      <w:rFonts w:ascii="宋体" w:hAnsi="宋体" w:cs="宋体"/>
      <w:sz w:val="24"/>
      <w:szCs w:val="24"/>
    </w:rPr>
  </w:style>
  <w:style w:type="paragraph" w:customStyle="1" w:styleId="126">
    <w:name w:val="xl58"/>
    <w:basedOn w:val="1"/>
    <w:qFormat/>
    <w:uiPriority w:val="0"/>
    <w:pPr>
      <w:widowControl/>
      <w:pBdr>
        <w:top w:val="double" w:color="auto" w:sz="6" w:space="0"/>
        <w:left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27">
    <w:name w:val="xl49"/>
    <w:basedOn w:val="1"/>
    <w:qFormat/>
    <w:uiPriority w:val="0"/>
    <w:pPr>
      <w:widowControl/>
      <w:pBdr>
        <w:left w:val="single" w:color="auto" w:sz="4" w:space="0"/>
        <w:bottom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28">
    <w:name w:val="默认段落字体 Para Char"/>
    <w:basedOn w:val="1"/>
    <w:qFormat/>
    <w:uiPriority w:val="0"/>
    <w:pPr>
      <w:ind w:firstLine="200" w:firstLineChars="200"/>
    </w:pPr>
    <w:rPr>
      <w:rFonts w:ascii="宋体" w:hAnsi="宋体" w:cs="宋体"/>
      <w:sz w:val="24"/>
      <w:szCs w:val="24"/>
    </w:rPr>
  </w:style>
  <w:style w:type="paragraph" w:customStyle="1" w:styleId="129">
    <w:name w:val="表格文字"/>
    <w:basedOn w:val="17"/>
    <w:qFormat/>
    <w:uiPriority w:val="0"/>
    <w:pPr>
      <w:spacing w:line="240" w:lineRule="auto"/>
      <w:jc w:val="center"/>
    </w:pPr>
    <w:rPr>
      <w:szCs w:val="24"/>
    </w:rPr>
  </w:style>
  <w:style w:type="paragraph" w:customStyle="1" w:styleId="130">
    <w:name w:val="中心文件"/>
    <w:basedOn w:val="111"/>
    <w:qFormat/>
    <w:uiPriority w:val="0"/>
    <w:pPr>
      <w:spacing w:after="0" w:line="480" w:lineRule="atLeast"/>
    </w:pPr>
    <w:rPr>
      <w:rFonts w:eastAsia="仿宋_GB2312"/>
      <w:sz w:val="28"/>
    </w:rPr>
  </w:style>
  <w:style w:type="paragraph" w:customStyle="1" w:styleId="131">
    <w:name w:val="Char Char Char Char Char Char1"/>
    <w:basedOn w:val="1"/>
    <w:qFormat/>
    <w:uiPriority w:val="0"/>
    <w:pPr>
      <w:ind w:firstLine="200" w:firstLineChars="200"/>
    </w:pPr>
    <w:rPr>
      <w:rFonts w:ascii="宋体" w:hAnsi="宋体" w:cs="宋体"/>
      <w:sz w:val="24"/>
      <w:szCs w:val="24"/>
    </w:rPr>
  </w:style>
  <w:style w:type="paragraph" w:customStyle="1" w:styleId="132">
    <w:name w:val="正文格式"/>
    <w:basedOn w:val="1"/>
    <w:link w:val="176"/>
    <w:qFormat/>
    <w:uiPriority w:val="0"/>
    <w:pPr>
      <w:ind w:firstLine="482"/>
    </w:pPr>
    <w:rPr>
      <w:rFonts w:ascii="宋体" w:hAnsi="宋体"/>
      <w:sz w:val="24"/>
      <w:szCs w:val="24"/>
    </w:rPr>
  </w:style>
  <w:style w:type="paragraph" w:customStyle="1" w:styleId="133">
    <w:name w:val="王治民正文"/>
    <w:basedOn w:val="1"/>
    <w:link w:val="195"/>
    <w:qFormat/>
    <w:uiPriority w:val="0"/>
    <w:pPr>
      <w:ind w:firstLine="200" w:firstLineChars="200"/>
    </w:pPr>
    <w:rPr>
      <w:sz w:val="24"/>
      <w:szCs w:val="24"/>
    </w:rPr>
  </w:style>
  <w:style w:type="paragraph" w:customStyle="1" w:styleId="134">
    <w:name w:val="xl31"/>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135">
    <w:name w:val="declear1"/>
    <w:basedOn w:val="1"/>
    <w:qFormat/>
    <w:uiPriority w:val="0"/>
    <w:pPr>
      <w:widowControl/>
      <w:spacing w:after="30" w:line="240" w:lineRule="atLeast"/>
      <w:jc w:val="left"/>
    </w:pPr>
    <w:rPr>
      <w:rFonts w:ascii="宋体" w:hAnsi="宋体" w:cs="宋体"/>
      <w:vanish/>
      <w:color w:val="999999"/>
      <w:kern w:val="0"/>
      <w:sz w:val="18"/>
      <w:szCs w:val="18"/>
    </w:rPr>
  </w:style>
  <w:style w:type="paragraph" w:customStyle="1" w:styleId="136">
    <w:name w:val="xl41"/>
    <w:basedOn w:val="1"/>
    <w:qFormat/>
    <w:uiPriority w:val="0"/>
    <w:pPr>
      <w:widowControl/>
      <w:pBdr>
        <w:top w:val="single" w:color="auto" w:sz="4" w:space="0"/>
        <w:left w:val="single" w:color="auto" w:sz="4" w:space="0"/>
        <w:bottom w:val="single" w:color="auto" w:sz="8"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137">
    <w:name w:val="默认段落字体 Para Char Char Char Char Char Char Char Char Char Char"/>
    <w:basedOn w:val="1"/>
    <w:qFormat/>
    <w:uiPriority w:val="0"/>
    <w:pPr>
      <w:ind w:firstLine="200" w:firstLineChars="200"/>
    </w:pPr>
    <w:rPr>
      <w:rFonts w:ascii="宋体" w:hAnsi="宋体" w:cs="宋体"/>
      <w:sz w:val="24"/>
      <w:szCs w:val="24"/>
    </w:rPr>
  </w:style>
  <w:style w:type="paragraph" w:customStyle="1" w:styleId="138">
    <w:name w:val="xl40"/>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139">
    <w:name w:val="_Style 137"/>
    <w:basedOn w:val="1"/>
    <w:qFormat/>
    <w:uiPriority w:val="99"/>
    <w:pPr>
      <w:ind w:firstLine="420" w:firstLineChars="200"/>
    </w:pPr>
  </w:style>
  <w:style w:type="paragraph" w:customStyle="1" w:styleId="140">
    <w:name w:val="xl48"/>
    <w:basedOn w:val="1"/>
    <w:qFormat/>
    <w:uiPriority w:val="0"/>
    <w:pPr>
      <w:widowControl/>
      <w:pBdr>
        <w:top w:val="single" w:color="auto" w:sz="8" w:space="0"/>
        <w:lef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41">
    <w:name w:val="xl52"/>
    <w:basedOn w:val="1"/>
    <w:qFormat/>
    <w:uiPriority w:val="0"/>
    <w:pPr>
      <w:widowControl/>
      <w:pBdr>
        <w:left w:val="single" w:color="auto" w:sz="8" w:space="0"/>
        <w:bottom w:val="double" w:color="auto" w:sz="6"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42">
    <w:name w:val="xl46"/>
    <w:basedOn w:val="1"/>
    <w:qFormat/>
    <w:uiPriority w:val="0"/>
    <w:pPr>
      <w:widowControl/>
      <w:pBdr>
        <w:top w:val="single" w:color="auto" w:sz="8" w:space="0"/>
        <w:left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43">
    <w:name w:val="xl44"/>
    <w:basedOn w:val="1"/>
    <w:qFormat/>
    <w:uiPriority w:val="0"/>
    <w:pPr>
      <w:widowControl/>
      <w:pBdr>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44">
    <w:name w:val="Char Char Char Char Char Char Char Char Char Char1"/>
    <w:basedOn w:val="1"/>
    <w:qFormat/>
    <w:uiPriority w:val="0"/>
    <w:pPr>
      <w:ind w:firstLine="200" w:firstLineChars="200"/>
    </w:pPr>
    <w:rPr>
      <w:rFonts w:ascii="宋体" w:hAnsi="宋体" w:cs="宋体"/>
      <w:sz w:val="24"/>
      <w:szCs w:val="24"/>
    </w:rPr>
  </w:style>
  <w:style w:type="paragraph" w:customStyle="1" w:styleId="145">
    <w:name w:val="xl51"/>
    <w:basedOn w:val="1"/>
    <w:qFormat/>
    <w:uiPriority w:val="0"/>
    <w:pPr>
      <w:widowControl/>
      <w:pBdr>
        <w:left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46">
    <w:name w:val="xl26"/>
    <w:basedOn w:val="1"/>
    <w:qFormat/>
    <w:uiPriority w:val="0"/>
    <w:pPr>
      <w:widowControl/>
      <w:pBdr>
        <w:left w:val="single" w:color="auto" w:sz="4" w:space="0"/>
        <w:bottom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147">
    <w:name w:val="Char Char Char Char1"/>
    <w:basedOn w:val="1"/>
    <w:qFormat/>
    <w:uiPriority w:val="0"/>
    <w:pPr>
      <w:ind w:firstLine="200" w:firstLineChars="200"/>
    </w:pPr>
    <w:rPr>
      <w:rFonts w:ascii="宋体" w:hAnsi="宋体" w:cs="宋体"/>
      <w:sz w:val="24"/>
      <w:szCs w:val="24"/>
    </w:rPr>
  </w:style>
  <w:style w:type="paragraph" w:customStyle="1" w:styleId="148">
    <w:name w:val="列表段落1"/>
    <w:basedOn w:val="1"/>
    <w:qFormat/>
    <w:uiPriority w:val="0"/>
    <w:pPr>
      <w:ind w:firstLine="420" w:firstLineChars="200"/>
    </w:pPr>
    <w:rPr>
      <w:szCs w:val="24"/>
    </w:rPr>
  </w:style>
  <w:style w:type="paragraph" w:customStyle="1" w:styleId="149">
    <w:name w:val="xl64"/>
    <w:basedOn w:val="1"/>
    <w:qFormat/>
    <w:uiPriority w:val="0"/>
    <w:pPr>
      <w:widowControl/>
      <w:pBdr>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50">
    <w:name w:val="xl67"/>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51">
    <w:name w:val="报告书表格"/>
    <w:basedOn w:val="1"/>
    <w:link w:val="170"/>
    <w:qFormat/>
    <w:uiPriority w:val="0"/>
    <w:pPr>
      <w:adjustRightInd w:val="0"/>
      <w:snapToGrid w:val="0"/>
      <w:spacing w:line="240" w:lineRule="atLeast"/>
      <w:jc w:val="center"/>
      <w:textAlignment w:val="baseline"/>
    </w:pPr>
    <w:rPr>
      <w:kern w:val="0"/>
    </w:rPr>
  </w:style>
  <w:style w:type="paragraph" w:customStyle="1" w:styleId="152">
    <w:name w:val="xl53"/>
    <w:basedOn w:val="1"/>
    <w:qFormat/>
    <w:uiPriority w:val="0"/>
    <w:pPr>
      <w:widowControl/>
      <w:pBdr>
        <w:top w:val="double" w:color="auto" w:sz="6" w:space="0"/>
        <w:left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53">
    <w:name w:val="列出段落1"/>
    <w:basedOn w:val="1"/>
    <w:qFormat/>
    <w:uiPriority w:val="0"/>
    <w:pPr>
      <w:ind w:firstLine="420" w:firstLineChars="200"/>
    </w:pPr>
    <w:rPr>
      <w:szCs w:val="24"/>
    </w:rPr>
  </w:style>
  <w:style w:type="paragraph" w:customStyle="1" w:styleId="154">
    <w:name w:val="xl63"/>
    <w:basedOn w:val="1"/>
    <w:qFormat/>
    <w:uiPriority w:val="0"/>
    <w:pPr>
      <w:widowControl/>
      <w:pBdr>
        <w:top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55">
    <w:name w:val="BIG BOLD"/>
    <w:basedOn w:val="1"/>
    <w:qFormat/>
    <w:uiPriority w:val="0"/>
    <w:pPr>
      <w:tabs>
        <w:tab w:val="left" w:leader="underscore" w:pos="1134"/>
      </w:tabs>
      <w:adjustRightInd w:val="0"/>
      <w:snapToGrid w:val="0"/>
      <w:spacing w:line="300" w:lineRule="auto"/>
    </w:pPr>
    <w:rPr>
      <w:b/>
    </w:rPr>
  </w:style>
  <w:style w:type="paragraph" w:customStyle="1" w:styleId="156">
    <w:name w:val="xl74"/>
    <w:basedOn w:val="1"/>
    <w:qFormat/>
    <w:uiPriority w:val="0"/>
    <w:pPr>
      <w:widowControl/>
      <w:pBdr>
        <w:top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57">
    <w:name w:val="xl56"/>
    <w:basedOn w:val="1"/>
    <w:qFormat/>
    <w:uiPriority w:val="0"/>
    <w:pPr>
      <w:widowControl/>
      <w:pBdr>
        <w:bottom w:val="single" w:color="auto" w:sz="8" w:space="0"/>
      </w:pBdr>
      <w:spacing w:before="100" w:beforeAutospacing="1" w:after="100" w:afterAutospacing="1"/>
      <w:jc w:val="center"/>
      <w:textAlignment w:val="center"/>
    </w:pPr>
    <w:rPr>
      <w:rFonts w:ascii="Arial Unicode MS" w:hAnsi="Arial Unicode MS" w:eastAsia="Arial Unicode MS" w:cs="Arial Unicode MS"/>
      <w:b/>
      <w:bCs/>
      <w:kern w:val="0"/>
      <w:sz w:val="18"/>
      <w:szCs w:val="18"/>
    </w:rPr>
  </w:style>
  <w:style w:type="paragraph" w:customStyle="1" w:styleId="158">
    <w:name w:val="xl42"/>
    <w:basedOn w:val="1"/>
    <w:qFormat/>
    <w:uiPriority w:val="0"/>
    <w:pPr>
      <w:widowControl/>
      <w:pBdr>
        <w:left w:val="single" w:color="auto" w:sz="8"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59">
    <w:name w:val="xl45"/>
    <w:basedOn w:val="1"/>
    <w:qFormat/>
    <w:uiPriority w:val="0"/>
    <w:pPr>
      <w:widowControl/>
      <w:pBdr>
        <w:left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60">
    <w:name w:val="【表格】"/>
    <w:basedOn w:val="77"/>
    <w:qFormat/>
    <w:uiPriority w:val="0"/>
  </w:style>
  <w:style w:type="paragraph" w:customStyle="1" w:styleId="161">
    <w:name w:val="xl29"/>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162">
    <w:name w:val="xl66"/>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63">
    <w:name w:val="WPSOffice手动目录 2"/>
    <w:qFormat/>
    <w:uiPriority w:val="0"/>
    <w:pPr>
      <w:ind w:left="200" w:leftChars="200"/>
    </w:pPr>
    <w:rPr>
      <w:rFonts w:ascii="Calibri" w:hAnsi="Calibri" w:eastAsia="宋体" w:cs="Times New Roman"/>
      <w:lang w:val="en-US" w:eastAsia="zh-CN" w:bidi="ar-SA"/>
    </w:rPr>
  </w:style>
  <w:style w:type="paragraph" w:customStyle="1" w:styleId="164">
    <w:name w:val="Char Char Char Char Char Char Char1"/>
    <w:basedOn w:val="1"/>
    <w:qFormat/>
    <w:uiPriority w:val="0"/>
    <w:pPr>
      <w:ind w:firstLine="200" w:firstLineChars="200"/>
    </w:pPr>
    <w:rPr>
      <w:rFonts w:ascii="宋体" w:hAnsi="宋体" w:cs="宋体"/>
      <w:sz w:val="24"/>
      <w:szCs w:val="24"/>
    </w:rPr>
  </w:style>
  <w:style w:type="paragraph" w:customStyle="1" w:styleId="165">
    <w:name w:val="xl62"/>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66">
    <w:name w:val="Char3"/>
    <w:basedOn w:val="1"/>
    <w:qFormat/>
    <w:uiPriority w:val="0"/>
    <w:pPr>
      <w:ind w:firstLine="200" w:firstLineChars="200"/>
    </w:pPr>
    <w:rPr>
      <w:rFonts w:ascii="宋体" w:hAnsi="宋体" w:cs="宋体"/>
      <w:sz w:val="24"/>
      <w:szCs w:val="24"/>
    </w:rPr>
  </w:style>
  <w:style w:type="character" w:customStyle="1" w:styleId="167">
    <w:name w:val="文档结构图 字符"/>
    <w:link w:val="14"/>
    <w:semiHidden/>
    <w:qFormat/>
    <w:uiPriority w:val="99"/>
    <w:rPr>
      <w:kern w:val="2"/>
      <w:sz w:val="21"/>
      <w:shd w:val="clear" w:color="auto" w:fill="000080"/>
    </w:rPr>
  </w:style>
  <w:style w:type="character" w:customStyle="1" w:styleId="168">
    <w:name w:val="日期 字符"/>
    <w:link w:val="24"/>
    <w:qFormat/>
    <w:uiPriority w:val="0"/>
    <w:rPr>
      <w:kern w:val="2"/>
      <w:sz w:val="24"/>
    </w:rPr>
  </w:style>
  <w:style w:type="character" w:customStyle="1" w:styleId="169">
    <w:name w:val="题注 字符"/>
    <w:link w:val="13"/>
    <w:qFormat/>
    <w:uiPriority w:val="0"/>
    <w:rPr>
      <w:kern w:val="2"/>
      <w:sz w:val="24"/>
    </w:rPr>
  </w:style>
  <w:style w:type="character" w:customStyle="1" w:styleId="170">
    <w:name w:val="报告书表格 Char"/>
    <w:link w:val="151"/>
    <w:qFormat/>
    <w:uiPriority w:val="0"/>
    <w:rPr>
      <w:sz w:val="21"/>
    </w:rPr>
  </w:style>
  <w:style w:type="character" w:customStyle="1" w:styleId="171">
    <w:name w:val="纯文本 Char1"/>
    <w:qFormat/>
    <w:uiPriority w:val="0"/>
    <w:rPr>
      <w:rFonts w:ascii="宋体" w:hAnsi="Courier New"/>
      <w:kern w:val="2"/>
      <w:sz w:val="21"/>
    </w:rPr>
  </w:style>
  <w:style w:type="character" w:customStyle="1" w:styleId="172">
    <w:name w:val="表头 Char"/>
    <w:link w:val="105"/>
    <w:qFormat/>
    <w:locked/>
    <w:uiPriority w:val="99"/>
    <w:rPr>
      <w:rFonts w:ascii="宋体" w:hAnsi="宋体"/>
      <w:sz w:val="24"/>
      <w:lang w:bidi="ar-SA"/>
    </w:rPr>
  </w:style>
  <w:style w:type="character" w:customStyle="1" w:styleId="173">
    <w:name w:val="Char Char1"/>
    <w:qFormat/>
    <w:uiPriority w:val="0"/>
    <w:rPr>
      <w:rFonts w:hint="default" w:ascii="Arial" w:hAnsi="Arial" w:eastAsia="黑体" w:cs="Arial"/>
      <w:b/>
      <w:bCs/>
      <w:sz w:val="32"/>
      <w:szCs w:val="32"/>
      <w:lang w:val="en-US" w:eastAsia="zh-CN" w:bidi="ar-SA"/>
    </w:rPr>
  </w:style>
  <w:style w:type="character" w:customStyle="1" w:styleId="174">
    <w:name w:val="标题 4 字符"/>
    <w:link w:val="6"/>
    <w:qFormat/>
    <w:uiPriority w:val="0"/>
    <w:rPr>
      <w:rFonts w:eastAsia="宋体"/>
      <w:kern w:val="2"/>
      <w:sz w:val="24"/>
      <w:lang w:val="en-US" w:eastAsia="zh-CN" w:bidi="ar-SA"/>
    </w:rPr>
  </w:style>
  <w:style w:type="character" w:customStyle="1" w:styleId="175">
    <w:name w:val="样式 报告书正文 + 首行缩进:  2 字符 Char"/>
    <w:link w:val="72"/>
    <w:qFormat/>
    <w:uiPriority w:val="0"/>
    <w:rPr>
      <w:rFonts w:eastAsia="宋体" w:cs="宋体"/>
      <w:kern w:val="2"/>
      <w:sz w:val="24"/>
      <w:lang w:val="en-US" w:eastAsia="zh-CN" w:bidi="ar-SA"/>
    </w:rPr>
  </w:style>
  <w:style w:type="character" w:customStyle="1" w:styleId="176">
    <w:name w:val="正文格式 Char"/>
    <w:link w:val="132"/>
    <w:qFormat/>
    <w:uiPriority w:val="0"/>
    <w:rPr>
      <w:rFonts w:ascii="宋体" w:hAnsi="宋体"/>
      <w:kern w:val="2"/>
      <w:sz w:val="24"/>
      <w:szCs w:val="24"/>
    </w:rPr>
  </w:style>
  <w:style w:type="character" w:customStyle="1" w:styleId="177">
    <w:name w:val="批注文字 字符"/>
    <w:link w:val="15"/>
    <w:semiHidden/>
    <w:qFormat/>
    <w:locked/>
    <w:uiPriority w:val="0"/>
    <w:rPr>
      <w:rFonts w:eastAsia="宋体"/>
      <w:kern w:val="2"/>
      <w:sz w:val="21"/>
      <w:lang w:val="en-US" w:eastAsia="zh-CN" w:bidi="ar-SA"/>
    </w:rPr>
  </w:style>
  <w:style w:type="character" w:customStyle="1" w:styleId="178">
    <w:name w:val="gjz1"/>
    <w:qFormat/>
    <w:uiPriority w:val="0"/>
    <w:rPr>
      <w:sz w:val="18"/>
      <w:szCs w:val="18"/>
    </w:rPr>
  </w:style>
  <w:style w:type="character" w:customStyle="1" w:styleId="179">
    <w:name w:val="timu1"/>
    <w:qFormat/>
    <w:uiPriority w:val="0"/>
    <w:rPr>
      <w:sz w:val="24"/>
      <w:szCs w:val="24"/>
    </w:rPr>
  </w:style>
  <w:style w:type="character" w:customStyle="1" w:styleId="180">
    <w:name w:val="刘文婷 字符"/>
    <w:link w:val="78"/>
    <w:qFormat/>
    <w:uiPriority w:val="0"/>
    <w:rPr>
      <w:rFonts w:eastAsia="仿宋"/>
      <w:kern w:val="2"/>
      <w:sz w:val="28"/>
      <w:szCs w:val="28"/>
    </w:rPr>
  </w:style>
  <w:style w:type="character" w:customStyle="1" w:styleId="181">
    <w:name w:val="正文文本缩进 2 字符"/>
    <w:link w:val="19"/>
    <w:qFormat/>
    <w:uiPriority w:val="0"/>
    <w:rPr>
      <w:rFonts w:ascii="宋体" w:hAnsi="宋体"/>
      <w:kern w:val="2"/>
      <w:sz w:val="24"/>
    </w:rPr>
  </w:style>
  <w:style w:type="character" w:customStyle="1" w:styleId="182">
    <w:name w:val="中文报告书样式 Char1"/>
    <w:link w:val="9"/>
    <w:qFormat/>
    <w:uiPriority w:val="0"/>
    <w:rPr>
      <w:rFonts w:eastAsia="宋体"/>
      <w:kern w:val="24"/>
      <w:sz w:val="24"/>
      <w:lang w:val="en-US" w:eastAsia="zh-CN" w:bidi="ar-SA"/>
    </w:rPr>
  </w:style>
  <w:style w:type="character" w:customStyle="1" w:styleId="183">
    <w:name w:val="标题 2 Char"/>
    <w:qFormat/>
    <w:uiPriority w:val="9"/>
    <w:rPr>
      <w:rFonts w:ascii="Arial" w:hAnsi="Arial" w:eastAsia="黑体"/>
      <w:sz w:val="24"/>
      <w:lang w:val="en-US" w:eastAsia="zh-CN" w:bidi="ar-SA"/>
    </w:rPr>
  </w:style>
  <w:style w:type="character" w:customStyle="1" w:styleId="184">
    <w:name w:val="中文报告书 Char"/>
    <w:qFormat/>
    <w:uiPriority w:val="0"/>
    <w:rPr>
      <w:rFonts w:eastAsia="宋体"/>
      <w:sz w:val="24"/>
      <w:lang w:val="en-US" w:eastAsia="zh-CN" w:bidi="ar-SA"/>
    </w:rPr>
  </w:style>
  <w:style w:type="character" w:customStyle="1" w:styleId="185">
    <w:name w:val="注释标题 字符"/>
    <w:link w:val="12"/>
    <w:qFormat/>
    <w:uiPriority w:val="0"/>
    <w:rPr>
      <w:rFonts w:ascii="宋体"/>
      <w:kern w:val="2"/>
      <w:sz w:val="21"/>
    </w:rPr>
  </w:style>
  <w:style w:type="character" w:customStyle="1" w:styleId="186">
    <w:name w:val="副标题 字符"/>
    <w:link w:val="30"/>
    <w:qFormat/>
    <w:uiPriority w:val="0"/>
    <w:rPr>
      <w:rFonts w:ascii="Cambria" w:hAnsi="Cambria"/>
      <w:b/>
      <w:bCs/>
      <w:kern w:val="28"/>
      <w:sz w:val="24"/>
      <w:szCs w:val="32"/>
    </w:rPr>
  </w:style>
  <w:style w:type="character" w:customStyle="1" w:styleId="187">
    <w:name w:val="正文文本缩进 字符"/>
    <w:qFormat/>
    <w:uiPriority w:val="0"/>
    <w:rPr>
      <w:rFonts w:ascii="Times New Roman" w:hAnsi="Times New Roman" w:eastAsia="宋体" w:cs="Times New Roman"/>
      <w:kern w:val="0"/>
      <w:sz w:val="24"/>
      <w:szCs w:val="20"/>
    </w:rPr>
  </w:style>
  <w:style w:type="character" w:customStyle="1" w:styleId="188">
    <w:name w:val="中文报告书样式 Char"/>
    <w:qFormat/>
    <w:uiPriority w:val="0"/>
    <w:rPr>
      <w:rFonts w:eastAsia="宋体"/>
      <w:kern w:val="24"/>
      <w:sz w:val="24"/>
      <w:lang w:val="en-US" w:eastAsia="zh-CN" w:bidi="ar-SA"/>
    </w:rPr>
  </w:style>
  <w:style w:type="character" w:customStyle="1" w:styleId="189">
    <w:name w:val="正文文本首行缩进 2 字符"/>
    <w:link w:val="39"/>
    <w:qFormat/>
    <w:uiPriority w:val="99"/>
    <w:rPr>
      <w:kern w:val="2"/>
      <w:sz w:val="21"/>
    </w:rPr>
  </w:style>
  <w:style w:type="character" w:customStyle="1" w:styleId="190">
    <w:name w:val="标题 5 字符"/>
    <w:link w:val="8"/>
    <w:qFormat/>
    <w:uiPriority w:val="0"/>
    <w:rPr>
      <w:b/>
      <w:kern w:val="24"/>
      <w:sz w:val="28"/>
    </w:rPr>
  </w:style>
  <w:style w:type="character" w:customStyle="1" w:styleId="191">
    <w:name w:val="页眉 字符"/>
    <w:link w:val="27"/>
    <w:qFormat/>
    <w:uiPriority w:val="99"/>
    <w:rPr>
      <w:kern w:val="2"/>
      <w:sz w:val="18"/>
    </w:rPr>
  </w:style>
  <w:style w:type="character" w:customStyle="1" w:styleId="192">
    <w:name w:val="ht1"/>
    <w:qFormat/>
    <w:uiPriority w:val="0"/>
    <w:rPr>
      <w:rFonts w:ascii="黑体" w:eastAsia="黑体"/>
      <w:b/>
      <w:bCs/>
    </w:rPr>
  </w:style>
  <w:style w:type="character" w:customStyle="1" w:styleId="193">
    <w:name w:val="正文文本 2 字符"/>
    <w:link w:val="35"/>
    <w:qFormat/>
    <w:uiPriority w:val="0"/>
    <w:rPr>
      <w:kern w:val="2"/>
      <w:sz w:val="21"/>
    </w:rPr>
  </w:style>
  <w:style w:type="character" w:customStyle="1" w:styleId="194">
    <w:name w:val="批注主题 字符"/>
    <w:link w:val="38"/>
    <w:semiHidden/>
    <w:qFormat/>
    <w:uiPriority w:val="0"/>
    <w:rPr>
      <w:b/>
      <w:bCs/>
      <w:kern w:val="2"/>
      <w:sz w:val="21"/>
    </w:rPr>
  </w:style>
  <w:style w:type="character" w:customStyle="1" w:styleId="195">
    <w:name w:val="王治民正文 Char"/>
    <w:link w:val="133"/>
    <w:qFormat/>
    <w:uiPriority w:val="0"/>
    <w:rPr>
      <w:rFonts w:eastAsia="宋体"/>
      <w:kern w:val="2"/>
      <w:sz w:val="24"/>
      <w:szCs w:val="24"/>
      <w:lang w:val="en-US" w:eastAsia="zh-CN" w:bidi="ar-SA"/>
    </w:rPr>
  </w:style>
  <w:style w:type="character" w:customStyle="1" w:styleId="196">
    <w:name w:val="中文报告书样式 Char Char"/>
    <w:qFormat/>
    <w:uiPriority w:val="0"/>
    <w:rPr>
      <w:rFonts w:hint="eastAsia" w:ascii="宋体" w:hAnsi="宋体" w:eastAsia="宋体"/>
      <w:kern w:val="24"/>
      <w:sz w:val="24"/>
      <w:lang w:val="en-US" w:eastAsia="zh-CN" w:bidi="ar-SA"/>
    </w:rPr>
  </w:style>
  <w:style w:type="character" w:customStyle="1" w:styleId="197">
    <w:name w:val="headline-content2"/>
    <w:basedOn w:val="42"/>
    <w:qFormat/>
    <w:uiPriority w:val="0"/>
  </w:style>
  <w:style w:type="character" w:customStyle="1" w:styleId="198">
    <w:name w:val="报告书 Char"/>
    <w:link w:val="54"/>
    <w:qFormat/>
    <w:uiPriority w:val="0"/>
    <w:rPr>
      <w:rFonts w:ascii="宋体" w:eastAsia="宋体"/>
      <w:kern w:val="24"/>
      <w:sz w:val="24"/>
      <w:lang w:val="en-US" w:eastAsia="zh-CN" w:bidi="ar-SA"/>
    </w:rPr>
  </w:style>
  <w:style w:type="character" w:customStyle="1" w:styleId="199">
    <w:name w:val="HTML 预设格式 字符"/>
    <w:link w:val="36"/>
    <w:qFormat/>
    <w:uiPriority w:val="99"/>
    <w:rPr>
      <w:rFonts w:ascii="Arial" w:hAnsi="Arial" w:cs="Arial"/>
      <w:sz w:val="24"/>
      <w:szCs w:val="24"/>
    </w:rPr>
  </w:style>
  <w:style w:type="character" w:customStyle="1" w:styleId="200">
    <w:name w:val="showtreebodycontent1"/>
    <w:qFormat/>
    <w:uiPriority w:val="0"/>
    <w:rPr>
      <w:sz w:val="21"/>
      <w:szCs w:val="21"/>
    </w:rPr>
  </w:style>
  <w:style w:type="character" w:customStyle="1" w:styleId="201">
    <w:name w:val="页脚 字符"/>
    <w:link w:val="26"/>
    <w:qFormat/>
    <w:uiPriority w:val="99"/>
    <w:rPr>
      <w:kern w:val="2"/>
      <w:sz w:val="18"/>
    </w:rPr>
  </w:style>
  <w:style w:type="character" w:customStyle="1" w:styleId="202">
    <w:name w:val="正文文本缩进 3 字符"/>
    <w:link w:val="32"/>
    <w:qFormat/>
    <w:uiPriority w:val="0"/>
    <w:rPr>
      <w:kern w:val="2"/>
      <w:sz w:val="16"/>
      <w:szCs w:val="16"/>
    </w:rPr>
  </w:style>
  <w:style w:type="character" w:customStyle="1" w:styleId="203">
    <w:name w:val="标题 1 字符"/>
    <w:link w:val="2"/>
    <w:qFormat/>
    <w:uiPriority w:val="0"/>
    <w:rPr>
      <w:rFonts w:ascii="仿宋_GB2312" w:eastAsia="仿宋_GB2312"/>
      <w:b/>
      <w:kern w:val="44"/>
      <w:sz w:val="30"/>
      <w:szCs w:val="30"/>
    </w:rPr>
  </w:style>
  <w:style w:type="character" w:customStyle="1" w:styleId="204">
    <w:name w:val="正文文本 3 字符"/>
    <w:link w:val="16"/>
    <w:qFormat/>
    <w:uiPriority w:val="0"/>
    <w:rPr>
      <w:rFonts w:ascii="黑体" w:hAnsi="宋体" w:eastAsia="黑体"/>
      <w:sz w:val="72"/>
      <w:szCs w:val="18"/>
    </w:rPr>
  </w:style>
  <w:style w:type="character" w:customStyle="1" w:styleId="205">
    <w:name w:val="标题 6 字符"/>
    <w:link w:val="10"/>
    <w:qFormat/>
    <w:uiPriority w:val="0"/>
    <w:rPr>
      <w:rFonts w:eastAsia="仿宋_GB2312"/>
      <w:bCs/>
      <w:kern w:val="2"/>
      <w:sz w:val="24"/>
      <w:szCs w:val="24"/>
    </w:rPr>
  </w:style>
  <w:style w:type="character" w:customStyle="1" w:styleId="206">
    <w:name w:val="zhengwen"/>
    <w:basedOn w:val="42"/>
    <w:qFormat/>
    <w:uiPriority w:val="0"/>
  </w:style>
  <w:style w:type="character" w:customStyle="1" w:styleId="207">
    <w:name w:val="副标题 字符1"/>
    <w:qFormat/>
    <w:uiPriority w:val="11"/>
    <w:rPr>
      <w:b/>
      <w:bCs/>
      <w:kern w:val="28"/>
      <w:sz w:val="32"/>
      <w:szCs w:val="32"/>
    </w:rPr>
  </w:style>
  <w:style w:type="character" w:customStyle="1" w:styleId="208">
    <w:name w:val="标题 2 字符"/>
    <w:link w:val="3"/>
    <w:qFormat/>
    <w:uiPriority w:val="0"/>
    <w:rPr>
      <w:rFonts w:eastAsia="黑体"/>
      <w:sz w:val="24"/>
      <w:lang w:val="en-US" w:eastAsia="zh-CN" w:bidi="ar-SA"/>
    </w:rPr>
  </w:style>
  <w:style w:type="character" w:customStyle="1" w:styleId="209">
    <w:name w:val="纯文本 字符"/>
    <w:link w:val="22"/>
    <w:qFormat/>
    <w:uiPriority w:val="0"/>
    <w:rPr>
      <w:rFonts w:ascii="宋体" w:hAnsi="Courier New"/>
      <w:kern w:val="2"/>
      <w:sz w:val="21"/>
    </w:rPr>
  </w:style>
  <w:style w:type="character" w:customStyle="1" w:styleId="210">
    <w:name w:val="标题 3 字符"/>
    <w:link w:val="4"/>
    <w:qFormat/>
    <w:uiPriority w:val="0"/>
    <w:rPr>
      <w:rFonts w:ascii="黑体" w:eastAsia="黑体"/>
      <w:kern w:val="2"/>
      <w:sz w:val="24"/>
    </w:rPr>
  </w:style>
  <w:style w:type="character" w:customStyle="1" w:styleId="211">
    <w:name w:val="kt1"/>
    <w:basedOn w:val="42"/>
    <w:qFormat/>
    <w:uiPriority w:val="0"/>
  </w:style>
  <w:style w:type="character" w:customStyle="1" w:styleId="212">
    <w:name w:val="正文文本缩进 字符1"/>
    <w:link w:val="18"/>
    <w:qFormat/>
    <w:uiPriority w:val="0"/>
    <w:rPr>
      <w:sz w:val="24"/>
    </w:rPr>
  </w:style>
  <w:style w:type="character" w:customStyle="1" w:styleId="213">
    <w:name w:val="副标题 Char"/>
    <w:qFormat/>
    <w:uiPriority w:val="11"/>
    <w:rPr>
      <w:rFonts w:ascii="等线 Light" w:hAnsi="等线 Light" w:eastAsia="宋体" w:cs="Times New Roman"/>
      <w:b/>
      <w:bCs/>
      <w:kern w:val="28"/>
      <w:sz w:val="32"/>
      <w:szCs w:val="32"/>
    </w:rPr>
  </w:style>
  <w:style w:type="character" w:customStyle="1" w:styleId="214">
    <w:name w:val="批注框文本 字符"/>
    <w:link w:val="25"/>
    <w:semiHidden/>
    <w:qFormat/>
    <w:uiPriority w:val="0"/>
    <w:rPr>
      <w:kern w:val="2"/>
      <w:sz w:val="18"/>
      <w:szCs w:val="18"/>
    </w:rPr>
  </w:style>
  <w:style w:type="character" w:customStyle="1" w:styleId="215">
    <w:name w:val="正文文本 字符"/>
    <w:link w:val="17"/>
    <w:qFormat/>
    <w:uiPriority w:val="0"/>
    <w:rPr>
      <w:kern w:val="2"/>
      <w:sz w:val="24"/>
    </w:rPr>
  </w:style>
  <w:style w:type="character" w:customStyle="1" w:styleId="216">
    <w:name w:val="bb1"/>
    <w:qFormat/>
    <w:uiPriority w:val="0"/>
    <w:rPr>
      <w:sz w:val="21"/>
      <w:szCs w:val="21"/>
      <w:u w:val="none"/>
    </w:rPr>
  </w:style>
  <w:style w:type="paragraph" w:customStyle="1" w:styleId="217">
    <w:name w:val="修订1"/>
    <w:hidden/>
    <w:unhideWhenUsed/>
    <w:qFormat/>
    <w:uiPriority w:val="99"/>
    <w:rPr>
      <w:rFonts w:ascii="Calibri" w:hAnsi="Calibri" w:eastAsia="仿宋" w:cs="Times New Roman"/>
      <w:kern w:val="2"/>
      <w:sz w:val="28"/>
      <w:lang w:val="en-US" w:eastAsia="zh-CN" w:bidi="ar-SA"/>
    </w:rPr>
  </w:style>
  <w:style w:type="paragraph" w:customStyle="1" w:styleId="218">
    <w:name w:val="预案正文"/>
    <w:basedOn w:val="1"/>
    <w:qFormat/>
    <w:uiPriority w:val="0"/>
    <w:pPr>
      <w:ind w:firstLine="200" w:firstLineChars="200"/>
    </w:pPr>
    <w:rPr>
      <w:rFonts w:eastAsia="仿宋_GB2312"/>
      <w:kern w:val="0"/>
    </w:rPr>
  </w:style>
  <w:style w:type="paragraph" w:customStyle="1" w:styleId="219">
    <w:name w:val="Char11"/>
    <w:basedOn w:val="1"/>
    <w:qFormat/>
    <w:uiPriority w:val="0"/>
    <w:pPr>
      <w:snapToGrid w:val="0"/>
      <w:ind w:firstLine="200" w:firstLineChars="200"/>
    </w:pPr>
    <w:rPr>
      <w:rFonts w:ascii="Times New Roman" w:hAnsi="Times New Roman" w:eastAsia="宋体"/>
      <w:sz w:val="21"/>
    </w:rPr>
  </w:style>
  <w:style w:type="paragraph" w:customStyle="1" w:styleId="220">
    <w:name w:val="列表段落2"/>
    <w:basedOn w:val="1"/>
    <w:qFormat/>
    <w:uiPriority w:val="0"/>
    <w:pPr>
      <w:spacing w:line="240" w:lineRule="auto"/>
      <w:ind w:firstLine="420" w:firstLineChars="200"/>
    </w:pPr>
    <w:rPr>
      <w:rFonts w:ascii="Times New Roman" w:hAnsi="Times New Roman"/>
      <w:sz w:val="24"/>
      <w:szCs w:val="24"/>
    </w:rPr>
  </w:style>
  <w:style w:type="character" w:customStyle="1" w:styleId="221">
    <w:name w:val="fontstyle01"/>
    <w:basedOn w:val="42"/>
    <w:qFormat/>
    <w:uiPriority w:val="0"/>
    <w:rPr>
      <w:rFonts w:ascii="宋体" w:hAnsi="宋体" w:eastAsia="宋体" w:cs="宋体"/>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3074"/>
    <customShpInfo spid="_x0000_s3073"/>
    <customShpInfo spid="_x0000_s2069"/>
  </customShpExts>
  <extobjs>
    <extobj name="ECB019B1-382A-4266-B25C-5B523AA43C14-1">
      <extobjdata type="ECB019B1-382A-4266-B25C-5B523AA43C14" data="ewoJIkZpbGVJZCIgOiAiMTk5NTE0MjYwMjc2IiwKCSJHcm91cElkIiA6ICIyMDAwMTQzMjIiLAoJIkltYWdlIiA6ICJpVkJPUncwS0dnb0FBQUFOU1VoRVVnQUFBY3NBQUFGM0NBWUFBQURLQ21CSkFBQUFDWEJJV1hNQUFBc1RBQUFMRXdFQW1wd1lBQUFnQUVsRVFWUjRuT3pkZDFnVTEvb0g4Ty9ReEFJbWxtQXNpVVpqYkZGWkpCSDFpbUJRTVFaRllzRVdOY1lXVWNIOEpEWkVqQVd1dlVaRlJTVVdyRnhRWWdNYmVpMFVDeHBVZ2hVVVJjckNBdHZPN3creWMzZlpoVjBVMllWOVA4L2o0NVF6TTJlV3Mvdk9uRG5uREVB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"/>
    </extobj>
    <extobj name="ECB019B1-382A-4266-B25C-5B523AA43C14-2">
      <extobjdata type="ECB019B1-382A-4266-B25C-5B523AA43C14" data="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58</Pages>
  <Words>19555</Words>
  <Characters>23181</Characters>
  <Lines>145</Lines>
  <Paragraphs>41</Paragraphs>
  <TotalTime>0</TotalTime>
  <ScaleCrop>false</ScaleCrop>
  <LinksUpToDate>false</LinksUpToDate>
  <CharactersWithSpaces>23516</CharactersWithSpaces>
  <Application>WPS Office_12.1.0.15398_F1E327BC-269C-435d-A152-05C5408002CA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2019-06-21T08:19:00Z</dcterms:created>
  <dc:creator>WZ</dc:creator>
  <cp:lastModifiedBy>WPS_545190386</cp:lastModifiedBy>
  <cp:lastPrinted>2022-11-24T06:15:00Z</cp:lastPrinted>
  <dcterms:modified xsi:type="dcterms:W3CDTF">2023-10-18T05:48:19Z</dcterms:modified>
  <dc:title>1ǰ�</dc:title>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2052-12.1.0.15398</vt:lpwstr>
  </property>
  <property fmtid="{D5CDD505-2E9C-101B-9397-08002B2CF9AE}" pid="3" name="ICV">
    <vt:lpwstr>2EDE944DA885448DA671DFFBECB74FB9</vt:lpwstr>
  </property>
</Properties>
</file>