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793D04">
      <w:pPr>
        <w:jc w:val="center"/>
        <w:rPr>
          <w:rFonts w:hint="default" w:ascii="Times New Roman" w:hAnsi="Times New Roman" w:eastAsia="仿宋" w:cs="Times New Roman"/>
          <w:sz w:val="30"/>
          <w:szCs w:val="30"/>
        </w:rPr>
      </w:pPr>
      <w:bookmarkStart w:id="0" w:name="_Toc42314217"/>
      <w:bookmarkStart w:id="1" w:name="_Toc189475665"/>
      <w:bookmarkStart w:id="2" w:name="_Toc296521832"/>
      <w:r>
        <w:rPr>
          <w:rFonts w:ascii="Times New Roman" w:hAnsi="Times New Roman"/>
          <w:szCs w:val="28"/>
        </w:rPr>
        <w:t xml:space="preserve">                         </w:t>
      </w:r>
      <w:r>
        <w:rPr>
          <w:rFonts w:hint="default" w:ascii="Times New Roman" w:hAnsi="Times New Roman" w:eastAsia="仿宋" w:cs="Times New Roman"/>
          <w:szCs w:val="28"/>
        </w:rPr>
        <w:t xml:space="preserve">          </w:t>
      </w:r>
      <w:r>
        <w:rPr>
          <w:rFonts w:hint="default" w:ascii="Times New Roman" w:hAnsi="Times New Roman" w:eastAsia="仿宋" w:cs="Times New Roman"/>
          <w:sz w:val="30"/>
          <w:szCs w:val="30"/>
        </w:rPr>
        <w:t>预案编号：</w:t>
      </w:r>
    </w:p>
    <w:p w14:paraId="2826A24A">
      <w:pPr>
        <w:jc w:val="center"/>
        <w:rPr>
          <w:rFonts w:hint="default" w:ascii="Times New Roman" w:hAnsi="Times New Roman" w:eastAsia="仿宋" w:cs="Times New Roman"/>
          <w:b/>
          <w:bCs/>
          <w:sz w:val="48"/>
          <w:szCs w:val="48"/>
        </w:rPr>
      </w:pPr>
      <w:r>
        <w:rPr>
          <w:rFonts w:hint="default" w:ascii="Times New Roman" w:hAnsi="Times New Roman" w:eastAsia="仿宋" w:cs="Times New Roman"/>
          <w:sz w:val="30"/>
          <w:szCs w:val="30"/>
        </w:rPr>
        <w:t xml:space="preserve">                                  </w:t>
      </w:r>
    </w:p>
    <w:p w14:paraId="6D2CB092">
      <w:pPr>
        <w:jc w:val="center"/>
        <w:rPr>
          <w:rFonts w:hint="default" w:ascii="Times New Roman" w:hAnsi="Times New Roman" w:eastAsia="仿宋" w:cs="Times New Roman"/>
          <w:b/>
          <w:bCs/>
          <w:sz w:val="48"/>
          <w:szCs w:val="48"/>
        </w:rPr>
      </w:pPr>
    </w:p>
    <w:p w14:paraId="66E53199">
      <w:pPr>
        <w:spacing w:line="288" w:lineRule="auto"/>
        <w:jc w:val="center"/>
        <w:rPr>
          <w:rFonts w:hint="default" w:ascii="Times New Roman" w:hAnsi="Times New Roman" w:eastAsia="仿宋" w:cs="Times New Roman"/>
          <w:b/>
          <w:bCs/>
          <w:sz w:val="48"/>
          <w:szCs w:val="48"/>
        </w:rPr>
      </w:pPr>
      <w:r>
        <w:rPr>
          <w:rFonts w:hint="default" w:ascii="Times New Roman" w:hAnsi="Times New Roman" w:eastAsia="仿宋" w:cs="Times New Roman"/>
          <w:b/>
          <w:bCs/>
          <w:sz w:val="48"/>
          <w:szCs w:val="48"/>
        </w:rPr>
        <w:t>东纶科技实业（天津）有限公司</w:t>
      </w:r>
    </w:p>
    <w:p w14:paraId="26B2F15D">
      <w:pPr>
        <w:spacing w:line="288" w:lineRule="auto"/>
        <w:jc w:val="center"/>
        <w:rPr>
          <w:rFonts w:hint="default" w:ascii="Times New Roman" w:hAnsi="Times New Roman" w:eastAsia="仿宋" w:cs="Times New Roman"/>
          <w:b/>
          <w:bCs/>
          <w:sz w:val="48"/>
          <w:szCs w:val="48"/>
        </w:rPr>
      </w:pPr>
      <w:r>
        <w:rPr>
          <w:rFonts w:hint="default" w:ascii="Times New Roman" w:hAnsi="Times New Roman" w:eastAsia="仿宋" w:cs="Times New Roman"/>
          <w:b/>
          <w:bCs/>
          <w:sz w:val="48"/>
          <w:szCs w:val="48"/>
        </w:rPr>
        <w:t>突发环境事件应急预案</w:t>
      </w:r>
    </w:p>
    <w:p w14:paraId="39E24252">
      <w:pPr>
        <w:spacing w:line="288" w:lineRule="auto"/>
        <w:jc w:val="center"/>
        <w:rPr>
          <w:rFonts w:hint="default" w:ascii="Times New Roman" w:hAnsi="Times New Roman" w:eastAsia="仿宋" w:cs="Times New Roman"/>
          <w:b/>
          <w:bCs/>
          <w:sz w:val="48"/>
          <w:szCs w:val="48"/>
        </w:rPr>
      </w:pPr>
    </w:p>
    <w:p w14:paraId="38170CD8">
      <w:pPr>
        <w:rPr>
          <w:rFonts w:hint="default" w:ascii="Times New Roman" w:hAnsi="Times New Roman" w:eastAsia="仿宋" w:cs="Times New Roman"/>
          <w:szCs w:val="28"/>
        </w:rPr>
      </w:pPr>
    </w:p>
    <w:p w14:paraId="67549821">
      <w:pPr>
        <w:rPr>
          <w:rFonts w:hint="default" w:ascii="Times New Roman" w:hAnsi="Times New Roman" w:eastAsia="仿宋" w:cs="Times New Roman"/>
          <w:szCs w:val="28"/>
        </w:rPr>
      </w:pPr>
    </w:p>
    <w:p w14:paraId="335D05C7">
      <w:pPr>
        <w:rPr>
          <w:rFonts w:hint="default" w:ascii="Times New Roman" w:hAnsi="Times New Roman" w:eastAsia="仿宋" w:cs="Times New Roman"/>
          <w:szCs w:val="28"/>
        </w:rPr>
      </w:pPr>
    </w:p>
    <w:p w14:paraId="12B36A54">
      <w:pPr>
        <w:rPr>
          <w:rFonts w:hint="default" w:ascii="Times New Roman" w:hAnsi="Times New Roman" w:eastAsia="仿宋" w:cs="Times New Roman"/>
          <w:szCs w:val="28"/>
        </w:rPr>
      </w:pPr>
    </w:p>
    <w:p w14:paraId="0802D37D">
      <w:pPr>
        <w:rPr>
          <w:rFonts w:hint="default" w:ascii="Times New Roman" w:hAnsi="Times New Roman" w:eastAsia="仿宋" w:cs="Times New Roman"/>
          <w:szCs w:val="28"/>
        </w:rPr>
      </w:pPr>
    </w:p>
    <w:p w14:paraId="6F781403">
      <w:pPr>
        <w:rPr>
          <w:rFonts w:hint="default" w:ascii="Times New Roman" w:hAnsi="Times New Roman" w:eastAsia="仿宋" w:cs="Times New Roman"/>
          <w:szCs w:val="28"/>
        </w:rPr>
      </w:pPr>
    </w:p>
    <w:p w14:paraId="6CA49A5E">
      <w:pPr>
        <w:rPr>
          <w:rFonts w:hint="default" w:ascii="Times New Roman" w:hAnsi="Times New Roman" w:eastAsia="仿宋" w:cs="Times New Roman"/>
          <w:szCs w:val="28"/>
        </w:rPr>
      </w:pPr>
    </w:p>
    <w:p w14:paraId="01C2FBEB">
      <w:pPr>
        <w:rPr>
          <w:rFonts w:hint="default" w:ascii="Times New Roman" w:hAnsi="Times New Roman" w:eastAsia="仿宋" w:cs="Times New Roman"/>
          <w:szCs w:val="28"/>
        </w:rPr>
      </w:pPr>
    </w:p>
    <w:p w14:paraId="30470BE9">
      <w:pPr>
        <w:rPr>
          <w:rFonts w:hint="default" w:ascii="Times New Roman" w:hAnsi="Times New Roman" w:eastAsia="仿宋" w:cs="Times New Roman"/>
          <w:szCs w:val="28"/>
        </w:rPr>
      </w:pPr>
    </w:p>
    <w:p w14:paraId="30A0C390">
      <w:pPr>
        <w:rPr>
          <w:rFonts w:hint="default" w:ascii="Times New Roman" w:hAnsi="Times New Roman" w:eastAsia="仿宋" w:cs="Times New Roman"/>
          <w:szCs w:val="28"/>
        </w:rPr>
      </w:pPr>
    </w:p>
    <w:p w14:paraId="227B3498">
      <w:pPr>
        <w:rPr>
          <w:rFonts w:hint="default" w:ascii="Times New Roman" w:hAnsi="Times New Roman" w:eastAsia="仿宋" w:cs="Times New Roman"/>
          <w:szCs w:val="28"/>
        </w:rPr>
      </w:pPr>
    </w:p>
    <w:bookmarkEnd w:id="0"/>
    <w:bookmarkEnd w:id="1"/>
    <w:bookmarkEnd w:id="2"/>
    <w:p w14:paraId="6B9D776B">
      <w:pPr>
        <w:rPr>
          <w:rFonts w:hint="default" w:ascii="Times New Roman" w:hAnsi="Times New Roman" w:eastAsia="仿宋" w:cs="Times New Roman"/>
          <w:szCs w:val="28"/>
        </w:rPr>
      </w:pPr>
    </w:p>
    <w:p w14:paraId="12FB39A9">
      <w:pPr>
        <w:rPr>
          <w:rFonts w:hint="default" w:ascii="Times New Roman" w:hAnsi="Times New Roman" w:eastAsia="仿宋" w:cs="Times New Roman"/>
        </w:rPr>
      </w:pPr>
    </w:p>
    <w:p w14:paraId="4ADFD08D">
      <w:pPr>
        <w:jc w:val="center"/>
        <w:rPr>
          <w:rFonts w:hint="default" w:ascii="Times New Roman" w:hAnsi="Times New Roman" w:eastAsia="仿宋" w:cs="Times New Roman"/>
          <w:b/>
          <w:bCs/>
          <w:sz w:val="30"/>
          <w:szCs w:val="30"/>
        </w:rPr>
      </w:pPr>
      <w:r>
        <w:rPr>
          <w:rFonts w:hint="default" w:ascii="Times New Roman" w:hAnsi="Times New Roman" w:eastAsia="仿宋" w:cs="Times New Roman"/>
          <w:b/>
          <w:bCs/>
          <w:sz w:val="30"/>
          <w:szCs w:val="30"/>
        </w:rPr>
        <w:t>东纶科技实业（天津）有限公司</w:t>
      </w:r>
    </w:p>
    <w:p w14:paraId="075087FE">
      <w:pPr>
        <w:jc w:val="center"/>
        <w:rPr>
          <w:rFonts w:hint="default" w:ascii="Times New Roman" w:hAnsi="Times New Roman" w:eastAsia="仿宋" w:cs="Times New Roman"/>
          <w:b/>
          <w:bCs/>
          <w:sz w:val="30"/>
          <w:szCs w:val="30"/>
        </w:rPr>
      </w:pPr>
      <w:r>
        <w:rPr>
          <w:rFonts w:hint="default" w:ascii="Times New Roman" w:hAnsi="Times New Roman" w:eastAsia="仿宋" w:cs="Times New Roman"/>
          <w:b/>
          <w:bCs/>
          <w:sz w:val="30"/>
          <w:szCs w:val="30"/>
        </w:rPr>
        <w:t>2024年</w:t>
      </w:r>
      <w:r>
        <w:rPr>
          <w:rFonts w:hint="eastAsia" w:ascii="Times New Roman" w:hAnsi="Times New Roman" w:cs="Times New Roman"/>
          <w:b/>
          <w:bCs/>
          <w:sz w:val="30"/>
          <w:szCs w:val="30"/>
          <w:lang w:val="en-US" w:eastAsia="zh-CN"/>
        </w:rPr>
        <w:t>11</w:t>
      </w:r>
      <w:r>
        <w:rPr>
          <w:rFonts w:hint="default" w:ascii="Times New Roman" w:hAnsi="Times New Roman" w:eastAsia="仿宋" w:cs="Times New Roman"/>
          <w:b/>
          <w:bCs/>
          <w:sz w:val="30"/>
          <w:szCs w:val="30"/>
        </w:rPr>
        <w:t>月</w:t>
      </w:r>
    </w:p>
    <w:p w14:paraId="377DDBCA">
      <w:pPr>
        <w:jc w:val="center"/>
        <w:rPr>
          <w:rFonts w:hint="default" w:ascii="Times New Roman" w:hAnsi="Times New Roman" w:eastAsia="仿宋" w:cs="Times New Roman"/>
          <w:szCs w:val="28"/>
        </w:rPr>
      </w:pPr>
    </w:p>
    <w:p w14:paraId="726596EB">
      <w:pPr>
        <w:jc w:val="center"/>
        <w:rPr>
          <w:rFonts w:hint="default" w:ascii="Times New Roman" w:hAnsi="Times New Roman" w:eastAsia="仿宋" w:cs="Times New Roman"/>
          <w:szCs w:val="28"/>
        </w:rPr>
      </w:pPr>
    </w:p>
    <w:p w14:paraId="3E5B9A9A">
      <w:pPr>
        <w:jc w:val="center"/>
        <w:rPr>
          <w:rFonts w:hint="default" w:ascii="Times New Roman" w:hAnsi="Times New Roman" w:eastAsia="仿宋" w:cs="Times New Roman"/>
          <w:szCs w:val="28"/>
        </w:rPr>
      </w:pPr>
    </w:p>
    <w:p w14:paraId="5D991E66">
      <w:pPr>
        <w:jc w:val="center"/>
        <w:rPr>
          <w:rFonts w:hint="default" w:ascii="Times New Roman" w:hAnsi="Times New Roman" w:eastAsia="仿宋" w:cs="Times New Roman"/>
          <w:szCs w:val="28"/>
        </w:rPr>
        <w:sectPr>
          <w:headerReference r:id="rId5" w:type="default"/>
          <w:footerReference r:id="rId6" w:type="default"/>
          <w:pgSz w:w="12240" w:h="15840"/>
          <w:pgMar w:top="1440" w:right="1080" w:bottom="1440" w:left="1080" w:header="720" w:footer="720" w:gutter="0"/>
          <w:pgNumType w:fmt="upperRoman" w:start="1"/>
          <w:cols w:space="720" w:num="1"/>
        </w:sectPr>
      </w:pPr>
    </w:p>
    <w:p w14:paraId="458E9B86">
      <w:pPr>
        <w:autoSpaceDE w:val="0"/>
        <w:autoSpaceDN w:val="0"/>
        <w:adjustRightInd w:val="0"/>
        <w:jc w:val="center"/>
        <w:rPr>
          <w:rFonts w:hint="default" w:ascii="Times New Roman" w:hAnsi="Times New Roman" w:eastAsia="仿宋" w:cs="Times New Roman"/>
          <w:b/>
          <w:kern w:val="0"/>
          <w:sz w:val="36"/>
          <w:szCs w:val="36"/>
        </w:rPr>
      </w:pPr>
    </w:p>
    <w:p w14:paraId="0AF1405F">
      <w:pPr>
        <w:autoSpaceDE w:val="0"/>
        <w:autoSpaceDN w:val="0"/>
        <w:adjustRightInd w:val="0"/>
        <w:jc w:val="center"/>
        <w:rPr>
          <w:rFonts w:hint="default" w:ascii="Times New Roman" w:hAnsi="Times New Roman" w:eastAsia="仿宋" w:cs="Times New Roman"/>
          <w:b/>
          <w:kern w:val="0"/>
          <w:sz w:val="36"/>
          <w:szCs w:val="36"/>
        </w:rPr>
      </w:pPr>
      <w:r>
        <w:rPr>
          <w:rFonts w:hint="default" w:ascii="Times New Roman" w:hAnsi="Times New Roman" w:eastAsia="仿宋" w:cs="Times New Roman"/>
          <w:b/>
          <w:kern w:val="0"/>
          <w:sz w:val="36"/>
          <w:szCs w:val="36"/>
        </w:rPr>
        <w:t>发布令</w:t>
      </w:r>
    </w:p>
    <w:p w14:paraId="643F2412">
      <w:pPr>
        <w:autoSpaceDE w:val="0"/>
        <w:autoSpaceDN w:val="0"/>
        <w:adjustRightInd w:val="0"/>
        <w:jc w:val="center"/>
        <w:rPr>
          <w:rFonts w:hint="default" w:ascii="Times New Roman" w:hAnsi="Times New Roman" w:eastAsia="仿宋" w:cs="Times New Roman"/>
          <w:b/>
          <w:kern w:val="0"/>
          <w:sz w:val="32"/>
          <w:szCs w:val="32"/>
        </w:rPr>
      </w:pPr>
    </w:p>
    <w:p w14:paraId="6557C325">
      <w:pPr>
        <w:autoSpaceDE w:val="0"/>
        <w:autoSpaceDN w:val="0"/>
        <w:adjustRightInd w:val="0"/>
        <w:jc w:val="center"/>
        <w:rPr>
          <w:rFonts w:hint="default" w:ascii="Times New Roman" w:hAnsi="Times New Roman" w:eastAsia="仿宋" w:cs="Times New Roman"/>
          <w:b/>
          <w:kern w:val="0"/>
          <w:sz w:val="32"/>
          <w:szCs w:val="32"/>
        </w:rPr>
      </w:pPr>
    </w:p>
    <w:p w14:paraId="72E63EE6">
      <w:pPr>
        <w:autoSpaceDE w:val="0"/>
        <w:autoSpaceDN w:val="0"/>
        <w:adjustRightInd w:val="0"/>
        <w:ind w:firstLine="600"/>
        <w:jc w:val="left"/>
        <w:rPr>
          <w:rFonts w:hint="default" w:ascii="Times New Roman" w:hAnsi="Times New Roman" w:eastAsia="仿宋" w:cs="Times New Roman"/>
          <w:kern w:val="0"/>
          <w:szCs w:val="28"/>
        </w:rPr>
      </w:pPr>
      <w:r>
        <w:rPr>
          <w:rFonts w:hint="default" w:ascii="Times New Roman" w:hAnsi="Times New Roman" w:eastAsia="仿宋" w:cs="Times New Roman"/>
          <w:kern w:val="0"/>
          <w:szCs w:val="28"/>
        </w:rPr>
        <w:t>依据《中华人民共和国环境保护法》、《中华人民共和国安全生产法》、《中华人民共和国突发事件应对法》、《企业事业单位突发环境事件应急预案管理办法（试行）》等法律法规，特编制及发布了东纶科技实业（天津）有限公司突发环境事件应急预案。</w:t>
      </w:r>
    </w:p>
    <w:p w14:paraId="0608034E">
      <w:pPr>
        <w:autoSpaceDE w:val="0"/>
        <w:autoSpaceDN w:val="0"/>
        <w:adjustRightInd w:val="0"/>
        <w:ind w:firstLine="600"/>
        <w:jc w:val="left"/>
        <w:rPr>
          <w:rFonts w:hint="default" w:ascii="Times New Roman" w:hAnsi="Times New Roman" w:eastAsia="仿宋" w:cs="Times New Roman"/>
          <w:kern w:val="0"/>
          <w:szCs w:val="28"/>
        </w:rPr>
      </w:pPr>
      <w:r>
        <w:rPr>
          <w:rFonts w:hint="default" w:ascii="Times New Roman" w:hAnsi="Times New Roman" w:eastAsia="仿宋" w:cs="Times New Roman"/>
          <w:kern w:val="0"/>
          <w:szCs w:val="28"/>
        </w:rPr>
        <w:t>公司要严格按照预案中的职责、程序等有关要求，组织培训、演练等工作，坚持事故应急与预防工作相结合，做好预防、预测、预警、预报等工作，认真贯彻实施。</w:t>
      </w:r>
    </w:p>
    <w:p w14:paraId="7C7383A6">
      <w:pPr>
        <w:autoSpaceDE w:val="0"/>
        <w:autoSpaceDN w:val="0"/>
        <w:adjustRightInd w:val="0"/>
        <w:ind w:firstLine="600"/>
        <w:jc w:val="left"/>
        <w:rPr>
          <w:rFonts w:hint="default" w:ascii="Times New Roman" w:hAnsi="Times New Roman" w:eastAsia="仿宋" w:cs="Times New Roman"/>
          <w:kern w:val="0"/>
          <w:szCs w:val="28"/>
        </w:rPr>
      </w:pPr>
      <w:r>
        <w:rPr>
          <w:rFonts w:hint="default" w:ascii="Times New Roman" w:hAnsi="Times New Roman" w:eastAsia="仿宋" w:cs="Times New Roman"/>
          <w:kern w:val="0"/>
          <w:szCs w:val="28"/>
        </w:rPr>
        <w:t>本预案自发布之日起实施。</w:t>
      </w:r>
    </w:p>
    <w:p w14:paraId="768E7FF9">
      <w:pPr>
        <w:autoSpaceDE w:val="0"/>
        <w:autoSpaceDN w:val="0"/>
        <w:adjustRightInd w:val="0"/>
        <w:jc w:val="left"/>
        <w:rPr>
          <w:rFonts w:hint="default" w:ascii="Times New Roman" w:hAnsi="Times New Roman" w:eastAsia="仿宋" w:cs="Times New Roman"/>
          <w:kern w:val="0"/>
          <w:szCs w:val="28"/>
        </w:rPr>
      </w:pPr>
    </w:p>
    <w:p w14:paraId="53D05949">
      <w:pPr>
        <w:autoSpaceDE w:val="0"/>
        <w:autoSpaceDN w:val="0"/>
        <w:adjustRightInd w:val="0"/>
        <w:jc w:val="left"/>
        <w:rPr>
          <w:rFonts w:hint="default" w:ascii="Times New Roman" w:hAnsi="Times New Roman" w:eastAsia="仿宋" w:cs="Times New Roman"/>
          <w:kern w:val="0"/>
          <w:szCs w:val="28"/>
        </w:rPr>
      </w:pPr>
    </w:p>
    <w:p w14:paraId="7AFE19A9">
      <w:pPr>
        <w:autoSpaceDE w:val="0"/>
        <w:autoSpaceDN w:val="0"/>
        <w:adjustRightInd w:val="0"/>
        <w:jc w:val="left"/>
        <w:rPr>
          <w:rFonts w:hint="default" w:ascii="Times New Roman" w:hAnsi="Times New Roman" w:eastAsia="仿宋" w:cs="Times New Roman"/>
          <w:kern w:val="0"/>
          <w:szCs w:val="28"/>
        </w:rPr>
      </w:pPr>
    </w:p>
    <w:p w14:paraId="012B67ED">
      <w:pPr>
        <w:autoSpaceDE w:val="0"/>
        <w:autoSpaceDN w:val="0"/>
        <w:adjustRightInd w:val="0"/>
        <w:ind w:right="560" w:firstLine="5658" w:firstLineChars="2021"/>
        <w:rPr>
          <w:rFonts w:hint="default" w:ascii="Times New Roman" w:hAnsi="Times New Roman" w:eastAsia="仿宋" w:cs="Times New Roman"/>
          <w:kern w:val="0"/>
          <w:szCs w:val="28"/>
        </w:rPr>
      </w:pPr>
      <w:r>
        <w:rPr>
          <w:rFonts w:hint="default" w:ascii="Times New Roman" w:hAnsi="Times New Roman" w:eastAsia="仿宋" w:cs="Times New Roman"/>
          <w:kern w:val="0"/>
          <w:szCs w:val="28"/>
        </w:rPr>
        <w:t>总经理：</w:t>
      </w:r>
    </w:p>
    <w:p w14:paraId="72D86656">
      <w:pPr>
        <w:ind w:right="840"/>
        <w:jc w:val="center"/>
        <w:rPr>
          <w:rFonts w:hint="default" w:ascii="Times New Roman" w:hAnsi="Times New Roman" w:eastAsia="仿宋" w:cs="Times New Roman"/>
          <w:szCs w:val="28"/>
        </w:rPr>
        <w:sectPr>
          <w:pgSz w:w="11906" w:h="16838"/>
          <w:pgMar w:top="1134" w:right="1418" w:bottom="1134" w:left="1418" w:header="851" w:footer="992" w:gutter="0"/>
          <w:cols w:space="720" w:num="1"/>
          <w:docGrid w:linePitch="312" w:charSpace="0"/>
        </w:sectPr>
      </w:pPr>
      <w:r>
        <w:rPr>
          <w:rFonts w:hint="default" w:ascii="Times New Roman" w:hAnsi="Times New Roman" w:eastAsia="仿宋" w:cs="Times New Roman"/>
          <w:kern w:val="0"/>
          <w:szCs w:val="28"/>
        </w:rPr>
        <w:t xml:space="preserve">                                              年   月   日</w:t>
      </w:r>
    </w:p>
    <w:p w14:paraId="73D5A8BA">
      <w:pPr>
        <w:rPr>
          <w:rFonts w:hint="default" w:ascii="Times New Roman" w:hAnsi="Times New Roman" w:eastAsia="仿宋" w:cs="Times New Roman"/>
        </w:rPr>
      </w:pPr>
    </w:p>
    <w:p w14:paraId="7455E443">
      <w:pPr>
        <w:rPr>
          <w:rFonts w:hint="default" w:ascii="Times New Roman" w:hAnsi="Times New Roman" w:eastAsia="仿宋" w:cs="Times New Roman"/>
          <w:szCs w:val="28"/>
        </w:rPr>
        <w:sectPr>
          <w:pgSz w:w="12240" w:h="15840"/>
          <w:pgMar w:top="1440" w:right="1080" w:bottom="1440" w:left="1080" w:header="720" w:footer="720" w:gutter="0"/>
          <w:pgNumType w:fmt="upperRoman" w:start="1"/>
          <w:cols w:space="720" w:num="1"/>
        </w:sectPr>
      </w:pPr>
    </w:p>
    <w:p w14:paraId="1ADB035D">
      <w:pPr>
        <w:spacing w:line="288" w:lineRule="auto"/>
        <w:jc w:val="center"/>
        <w:rPr>
          <w:rFonts w:hint="default" w:ascii="Times New Roman" w:hAnsi="Times New Roman" w:eastAsia="仿宋" w:cs="Times New Roman"/>
          <w:kern w:val="2"/>
          <w:sz w:val="28"/>
          <w:szCs w:val="28"/>
          <w:lang w:val="en-US" w:eastAsia="zh-CN" w:bidi="ar-SA"/>
        </w:rPr>
      </w:pPr>
      <w:bookmarkStart w:id="3" w:name="_Toc28826_WPSOffice_Level1"/>
      <w:r>
        <w:rPr>
          <w:rFonts w:hint="default" w:ascii="Times New Roman" w:hAnsi="Times New Roman" w:eastAsia="仿宋" w:cs="Times New Roman"/>
          <w:b/>
          <w:bCs/>
          <w:szCs w:val="28"/>
        </w:rPr>
        <w:t>目  录</w:t>
      </w: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TOC \o "1-2" \h \u </w:instrText>
      </w:r>
      <w:r>
        <w:rPr>
          <w:rFonts w:hint="default" w:ascii="Times New Roman" w:hAnsi="Times New Roman" w:eastAsia="仿宋" w:cs="Times New Roman"/>
          <w:szCs w:val="28"/>
        </w:rPr>
        <w:fldChar w:fldCharType="separate"/>
      </w:r>
    </w:p>
    <w:p w14:paraId="3E9FF7D8">
      <w:pPr>
        <w:pStyle w:val="30"/>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_Toc32446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1.总则</w:t>
      </w:r>
      <w:r>
        <w:tab/>
      </w:r>
      <w:r>
        <w:fldChar w:fldCharType="begin"/>
      </w:r>
      <w:r>
        <w:instrText xml:space="preserve"> PAGEREF _Toc32446 \h </w:instrText>
      </w:r>
      <w:r>
        <w:fldChar w:fldCharType="separate"/>
      </w:r>
      <w:r>
        <w:t>1</w:t>
      </w:r>
      <w:r>
        <w:fldChar w:fldCharType="end"/>
      </w:r>
      <w:r>
        <w:rPr>
          <w:rFonts w:hint="default" w:ascii="Times New Roman" w:hAnsi="Times New Roman" w:eastAsia="仿宋" w:cs="Times New Roman"/>
          <w:szCs w:val="28"/>
        </w:rPr>
        <w:fldChar w:fldCharType="end"/>
      </w:r>
    </w:p>
    <w:p w14:paraId="223D5394">
      <w:pPr>
        <w:pStyle w:val="35"/>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_Toc22848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1.1编制目的</w:t>
      </w:r>
      <w:r>
        <w:tab/>
      </w:r>
      <w:r>
        <w:fldChar w:fldCharType="begin"/>
      </w:r>
      <w:r>
        <w:instrText xml:space="preserve"> PAGEREF _Toc22848 \h </w:instrText>
      </w:r>
      <w:r>
        <w:fldChar w:fldCharType="separate"/>
      </w:r>
      <w:r>
        <w:t>1</w:t>
      </w:r>
      <w:r>
        <w:fldChar w:fldCharType="end"/>
      </w:r>
      <w:r>
        <w:rPr>
          <w:rFonts w:hint="default" w:ascii="Times New Roman" w:hAnsi="Times New Roman" w:eastAsia="仿宋" w:cs="Times New Roman"/>
          <w:szCs w:val="28"/>
        </w:rPr>
        <w:fldChar w:fldCharType="end"/>
      </w:r>
    </w:p>
    <w:p w14:paraId="1A3A1317">
      <w:pPr>
        <w:pStyle w:val="35"/>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_Toc15319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1.2编制依据</w:t>
      </w:r>
      <w:r>
        <w:tab/>
      </w:r>
      <w:r>
        <w:fldChar w:fldCharType="begin"/>
      </w:r>
      <w:r>
        <w:instrText xml:space="preserve"> PAGEREF _Toc15319 \h </w:instrText>
      </w:r>
      <w:r>
        <w:fldChar w:fldCharType="separate"/>
      </w:r>
      <w:r>
        <w:t>1</w:t>
      </w:r>
      <w:r>
        <w:fldChar w:fldCharType="end"/>
      </w:r>
      <w:r>
        <w:rPr>
          <w:rFonts w:hint="default" w:ascii="Times New Roman" w:hAnsi="Times New Roman" w:eastAsia="仿宋" w:cs="Times New Roman"/>
          <w:szCs w:val="28"/>
        </w:rPr>
        <w:fldChar w:fldCharType="end"/>
      </w:r>
    </w:p>
    <w:p w14:paraId="29558802">
      <w:pPr>
        <w:pStyle w:val="35"/>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_Toc1005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1.3适用范围</w:t>
      </w:r>
      <w:r>
        <w:tab/>
      </w:r>
      <w:r>
        <w:fldChar w:fldCharType="begin"/>
      </w:r>
      <w:r>
        <w:instrText xml:space="preserve"> PAGEREF _Toc1005 \h </w:instrText>
      </w:r>
      <w:r>
        <w:fldChar w:fldCharType="separate"/>
      </w:r>
      <w:r>
        <w:t>3</w:t>
      </w:r>
      <w:r>
        <w:fldChar w:fldCharType="end"/>
      </w:r>
      <w:r>
        <w:rPr>
          <w:rFonts w:hint="default" w:ascii="Times New Roman" w:hAnsi="Times New Roman" w:eastAsia="仿宋" w:cs="Times New Roman"/>
          <w:szCs w:val="28"/>
        </w:rPr>
        <w:fldChar w:fldCharType="end"/>
      </w:r>
    </w:p>
    <w:p w14:paraId="112D750C">
      <w:pPr>
        <w:pStyle w:val="35"/>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_Toc18823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1.4工作原则</w:t>
      </w:r>
      <w:r>
        <w:tab/>
      </w:r>
      <w:r>
        <w:fldChar w:fldCharType="begin"/>
      </w:r>
      <w:r>
        <w:instrText xml:space="preserve"> PAGEREF _Toc18823 \h </w:instrText>
      </w:r>
      <w:r>
        <w:fldChar w:fldCharType="separate"/>
      </w:r>
      <w:r>
        <w:t>3</w:t>
      </w:r>
      <w:r>
        <w:fldChar w:fldCharType="end"/>
      </w:r>
      <w:r>
        <w:rPr>
          <w:rFonts w:hint="default" w:ascii="Times New Roman" w:hAnsi="Times New Roman" w:eastAsia="仿宋" w:cs="Times New Roman"/>
          <w:szCs w:val="28"/>
        </w:rPr>
        <w:fldChar w:fldCharType="end"/>
      </w:r>
    </w:p>
    <w:p w14:paraId="1C583DBE">
      <w:pPr>
        <w:pStyle w:val="35"/>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_Toc5851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1.5应急预案体系</w:t>
      </w:r>
      <w:r>
        <w:tab/>
      </w:r>
      <w:r>
        <w:fldChar w:fldCharType="begin"/>
      </w:r>
      <w:r>
        <w:instrText xml:space="preserve"> PAGEREF _Toc5851 \h </w:instrText>
      </w:r>
      <w:r>
        <w:fldChar w:fldCharType="separate"/>
      </w:r>
      <w:r>
        <w:t>4</w:t>
      </w:r>
      <w:r>
        <w:fldChar w:fldCharType="end"/>
      </w:r>
      <w:r>
        <w:rPr>
          <w:rFonts w:hint="default" w:ascii="Times New Roman" w:hAnsi="Times New Roman" w:eastAsia="仿宋" w:cs="Times New Roman"/>
          <w:szCs w:val="28"/>
        </w:rPr>
        <w:fldChar w:fldCharType="end"/>
      </w:r>
    </w:p>
    <w:p w14:paraId="2FA502DF">
      <w:pPr>
        <w:pStyle w:val="30"/>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_Toc11626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2.企业基本情况</w:t>
      </w:r>
      <w:r>
        <w:tab/>
      </w:r>
      <w:r>
        <w:fldChar w:fldCharType="begin"/>
      </w:r>
      <w:r>
        <w:instrText xml:space="preserve"> PAGEREF _Toc11626 \h </w:instrText>
      </w:r>
      <w:r>
        <w:fldChar w:fldCharType="separate"/>
      </w:r>
      <w:r>
        <w:t>1</w:t>
      </w:r>
      <w:r>
        <w:fldChar w:fldCharType="end"/>
      </w:r>
      <w:r>
        <w:rPr>
          <w:rFonts w:hint="default" w:ascii="Times New Roman" w:hAnsi="Times New Roman" w:eastAsia="仿宋" w:cs="Times New Roman"/>
          <w:szCs w:val="28"/>
        </w:rPr>
        <w:fldChar w:fldCharType="end"/>
      </w:r>
    </w:p>
    <w:p w14:paraId="4F546850">
      <w:pPr>
        <w:pStyle w:val="35"/>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_Toc9034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2.1基本信息</w:t>
      </w:r>
      <w:r>
        <w:tab/>
      </w:r>
      <w:r>
        <w:fldChar w:fldCharType="begin"/>
      </w:r>
      <w:r>
        <w:instrText xml:space="preserve"> PAGEREF _Toc9034 \h </w:instrText>
      </w:r>
      <w:r>
        <w:fldChar w:fldCharType="separate"/>
      </w:r>
      <w:r>
        <w:t>1</w:t>
      </w:r>
      <w:r>
        <w:fldChar w:fldCharType="end"/>
      </w:r>
      <w:r>
        <w:rPr>
          <w:rFonts w:hint="default" w:ascii="Times New Roman" w:hAnsi="Times New Roman" w:eastAsia="仿宋" w:cs="Times New Roman"/>
          <w:szCs w:val="28"/>
        </w:rPr>
        <w:fldChar w:fldCharType="end"/>
      </w:r>
    </w:p>
    <w:p w14:paraId="4604616E">
      <w:pPr>
        <w:pStyle w:val="35"/>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_Toc13681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2.2平面布局</w:t>
      </w:r>
      <w:r>
        <w:tab/>
      </w:r>
      <w:r>
        <w:fldChar w:fldCharType="begin"/>
      </w:r>
      <w:r>
        <w:instrText xml:space="preserve"> PAGEREF _Toc13681 \h </w:instrText>
      </w:r>
      <w:r>
        <w:fldChar w:fldCharType="separate"/>
      </w:r>
      <w:r>
        <w:t>1</w:t>
      </w:r>
      <w:r>
        <w:fldChar w:fldCharType="end"/>
      </w:r>
      <w:r>
        <w:rPr>
          <w:rFonts w:hint="default" w:ascii="Times New Roman" w:hAnsi="Times New Roman" w:eastAsia="仿宋" w:cs="Times New Roman"/>
          <w:szCs w:val="28"/>
        </w:rPr>
        <w:fldChar w:fldCharType="end"/>
      </w:r>
    </w:p>
    <w:p w14:paraId="1C996097">
      <w:pPr>
        <w:pStyle w:val="35"/>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_Toc598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2.3公用及辅助工程</w:t>
      </w:r>
      <w:r>
        <w:tab/>
      </w:r>
      <w:r>
        <w:fldChar w:fldCharType="begin"/>
      </w:r>
      <w:r>
        <w:instrText xml:space="preserve"> PAGEREF _Toc598 \h </w:instrText>
      </w:r>
      <w:r>
        <w:fldChar w:fldCharType="separate"/>
      </w:r>
      <w:r>
        <w:t>4</w:t>
      </w:r>
      <w:r>
        <w:fldChar w:fldCharType="end"/>
      </w:r>
      <w:r>
        <w:rPr>
          <w:rFonts w:hint="default" w:ascii="Times New Roman" w:hAnsi="Times New Roman" w:eastAsia="仿宋" w:cs="Times New Roman"/>
          <w:szCs w:val="28"/>
        </w:rPr>
        <w:fldChar w:fldCharType="end"/>
      </w:r>
    </w:p>
    <w:p w14:paraId="0214CC6A">
      <w:pPr>
        <w:pStyle w:val="35"/>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_Toc13708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2.4环保治理措施</w:t>
      </w:r>
      <w:r>
        <w:tab/>
      </w:r>
      <w:r>
        <w:fldChar w:fldCharType="begin"/>
      </w:r>
      <w:r>
        <w:instrText xml:space="preserve"> PAGEREF _Toc13708 \h </w:instrText>
      </w:r>
      <w:r>
        <w:fldChar w:fldCharType="separate"/>
      </w:r>
      <w:r>
        <w:t>5</w:t>
      </w:r>
      <w:r>
        <w:fldChar w:fldCharType="end"/>
      </w:r>
      <w:r>
        <w:rPr>
          <w:rFonts w:hint="default" w:ascii="Times New Roman" w:hAnsi="Times New Roman" w:eastAsia="仿宋" w:cs="Times New Roman"/>
          <w:szCs w:val="28"/>
        </w:rPr>
        <w:fldChar w:fldCharType="end"/>
      </w:r>
    </w:p>
    <w:p w14:paraId="40772C5D">
      <w:pPr>
        <w:pStyle w:val="35"/>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_Toc8805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2.5周边环境受体</w:t>
      </w:r>
      <w:r>
        <w:tab/>
      </w:r>
      <w:r>
        <w:fldChar w:fldCharType="begin"/>
      </w:r>
      <w:r>
        <w:instrText xml:space="preserve"> PAGEREF _Toc8805 \h </w:instrText>
      </w:r>
      <w:r>
        <w:fldChar w:fldCharType="separate"/>
      </w:r>
      <w:r>
        <w:t>6</w:t>
      </w:r>
      <w:r>
        <w:fldChar w:fldCharType="end"/>
      </w:r>
      <w:r>
        <w:rPr>
          <w:rFonts w:hint="default" w:ascii="Times New Roman" w:hAnsi="Times New Roman" w:eastAsia="仿宋" w:cs="Times New Roman"/>
          <w:szCs w:val="28"/>
        </w:rPr>
        <w:fldChar w:fldCharType="end"/>
      </w:r>
    </w:p>
    <w:p w14:paraId="04B8EF71">
      <w:pPr>
        <w:pStyle w:val="30"/>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_Toc3036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3.环境风险源辨识与风险评估</w:t>
      </w:r>
      <w:r>
        <w:tab/>
      </w:r>
      <w:r>
        <w:fldChar w:fldCharType="begin"/>
      </w:r>
      <w:r>
        <w:instrText xml:space="preserve"> PAGEREF _Toc3036 \h </w:instrText>
      </w:r>
      <w:r>
        <w:fldChar w:fldCharType="separate"/>
      </w:r>
      <w:r>
        <w:t>15</w:t>
      </w:r>
      <w:r>
        <w:fldChar w:fldCharType="end"/>
      </w:r>
      <w:r>
        <w:rPr>
          <w:rFonts w:hint="default" w:ascii="Times New Roman" w:hAnsi="Times New Roman" w:eastAsia="仿宋" w:cs="Times New Roman"/>
          <w:szCs w:val="28"/>
        </w:rPr>
        <w:fldChar w:fldCharType="end"/>
      </w:r>
    </w:p>
    <w:p w14:paraId="1DD01A91">
      <w:pPr>
        <w:pStyle w:val="35"/>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_Toc13602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3.1环境风险源辨识</w:t>
      </w:r>
      <w:r>
        <w:tab/>
      </w:r>
      <w:r>
        <w:fldChar w:fldCharType="begin"/>
      </w:r>
      <w:r>
        <w:instrText xml:space="preserve"> PAGEREF _Toc13602 \h </w:instrText>
      </w:r>
      <w:r>
        <w:fldChar w:fldCharType="separate"/>
      </w:r>
      <w:r>
        <w:t>15</w:t>
      </w:r>
      <w:r>
        <w:fldChar w:fldCharType="end"/>
      </w:r>
      <w:r>
        <w:rPr>
          <w:rFonts w:hint="default" w:ascii="Times New Roman" w:hAnsi="Times New Roman" w:eastAsia="仿宋" w:cs="Times New Roman"/>
          <w:szCs w:val="28"/>
        </w:rPr>
        <w:fldChar w:fldCharType="end"/>
      </w:r>
    </w:p>
    <w:p w14:paraId="76360454">
      <w:pPr>
        <w:pStyle w:val="35"/>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_Toc26432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3.2环境风险评估</w:t>
      </w:r>
      <w:r>
        <w:tab/>
      </w:r>
      <w:r>
        <w:fldChar w:fldCharType="begin"/>
      </w:r>
      <w:r>
        <w:instrText xml:space="preserve"> PAGEREF _Toc26432 \h </w:instrText>
      </w:r>
      <w:r>
        <w:fldChar w:fldCharType="separate"/>
      </w:r>
      <w:r>
        <w:t>15</w:t>
      </w:r>
      <w:r>
        <w:fldChar w:fldCharType="end"/>
      </w:r>
      <w:r>
        <w:rPr>
          <w:rFonts w:hint="default" w:ascii="Times New Roman" w:hAnsi="Times New Roman" w:eastAsia="仿宋" w:cs="Times New Roman"/>
          <w:szCs w:val="28"/>
        </w:rPr>
        <w:fldChar w:fldCharType="end"/>
      </w:r>
    </w:p>
    <w:p w14:paraId="0904841F">
      <w:pPr>
        <w:pStyle w:val="30"/>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_Toc27209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4.组织指挥机制</w:t>
      </w:r>
      <w:r>
        <w:tab/>
      </w:r>
      <w:r>
        <w:fldChar w:fldCharType="begin"/>
      </w:r>
      <w:r>
        <w:instrText xml:space="preserve"> PAGEREF _Toc27209 \h </w:instrText>
      </w:r>
      <w:r>
        <w:fldChar w:fldCharType="separate"/>
      </w:r>
      <w:r>
        <w:t>16</w:t>
      </w:r>
      <w:r>
        <w:fldChar w:fldCharType="end"/>
      </w:r>
      <w:r>
        <w:rPr>
          <w:rFonts w:hint="default" w:ascii="Times New Roman" w:hAnsi="Times New Roman" w:eastAsia="仿宋" w:cs="Times New Roman"/>
          <w:szCs w:val="28"/>
        </w:rPr>
        <w:fldChar w:fldCharType="end"/>
      </w:r>
    </w:p>
    <w:p w14:paraId="194094FD">
      <w:pPr>
        <w:pStyle w:val="35"/>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_Toc27509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4.1指挥机构组成</w:t>
      </w:r>
      <w:r>
        <w:tab/>
      </w:r>
      <w:r>
        <w:fldChar w:fldCharType="begin"/>
      </w:r>
      <w:r>
        <w:instrText xml:space="preserve"> PAGEREF _Toc27509 \h </w:instrText>
      </w:r>
      <w:r>
        <w:fldChar w:fldCharType="separate"/>
      </w:r>
      <w:r>
        <w:t>16</w:t>
      </w:r>
      <w:r>
        <w:fldChar w:fldCharType="end"/>
      </w:r>
      <w:r>
        <w:rPr>
          <w:rFonts w:hint="default" w:ascii="Times New Roman" w:hAnsi="Times New Roman" w:eastAsia="仿宋" w:cs="Times New Roman"/>
          <w:szCs w:val="28"/>
        </w:rPr>
        <w:fldChar w:fldCharType="end"/>
      </w:r>
    </w:p>
    <w:p w14:paraId="1E42DD7A">
      <w:pPr>
        <w:pStyle w:val="35"/>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_Toc1483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4.2应急成员名单及联系方式</w:t>
      </w:r>
      <w:r>
        <w:tab/>
      </w:r>
      <w:r>
        <w:fldChar w:fldCharType="begin"/>
      </w:r>
      <w:r>
        <w:instrText xml:space="preserve"> PAGEREF _Toc1483 \h </w:instrText>
      </w:r>
      <w:r>
        <w:fldChar w:fldCharType="separate"/>
      </w:r>
      <w:r>
        <w:t>17</w:t>
      </w:r>
      <w:r>
        <w:fldChar w:fldCharType="end"/>
      </w:r>
      <w:r>
        <w:rPr>
          <w:rFonts w:hint="default" w:ascii="Times New Roman" w:hAnsi="Times New Roman" w:eastAsia="仿宋" w:cs="Times New Roman"/>
          <w:szCs w:val="28"/>
        </w:rPr>
        <w:fldChar w:fldCharType="end"/>
      </w:r>
    </w:p>
    <w:p w14:paraId="31B05FF6">
      <w:pPr>
        <w:pStyle w:val="35"/>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_Toc26411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4.3分级响应机制</w:t>
      </w:r>
      <w:r>
        <w:tab/>
      </w:r>
      <w:r>
        <w:fldChar w:fldCharType="begin"/>
      </w:r>
      <w:r>
        <w:instrText xml:space="preserve"> PAGEREF _Toc26411 \h </w:instrText>
      </w:r>
      <w:r>
        <w:fldChar w:fldCharType="separate"/>
      </w:r>
      <w:r>
        <w:t>18</w:t>
      </w:r>
      <w:r>
        <w:fldChar w:fldCharType="end"/>
      </w:r>
      <w:r>
        <w:rPr>
          <w:rFonts w:hint="default" w:ascii="Times New Roman" w:hAnsi="Times New Roman" w:eastAsia="仿宋" w:cs="Times New Roman"/>
          <w:szCs w:val="28"/>
        </w:rPr>
        <w:fldChar w:fldCharType="end"/>
      </w:r>
    </w:p>
    <w:p w14:paraId="61075637">
      <w:pPr>
        <w:pStyle w:val="35"/>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_Toc21523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4.4应急响应流程</w:t>
      </w:r>
      <w:r>
        <w:tab/>
      </w:r>
      <w:r>
        <w:fldChar w:fldCharType="begin"/>
      </w:r>
      <w:r>
        <w:instrText xml:space="preserve"> PAGEREF _Toc21523 \h </w:instrText>
      </w:r>
      <w:r>
        <w:fldChar w:fldCharType="separate"/>
      </w:r>
      <w:r>
        <w:t>21</w:t>
      </w:r>
      <w:r>
        <w:fldChar w:fldCharType="end"/>
      </w:r>
      <w:r>
        <w:rPr>
          <w:rFonts w:hint="default" w:ascii="Times New Roman" w:hAnsi="Times New Roman" w:eastAsia="仿宋" w:cs="Times New Roman"/>
          <w:szCs w:val="28"/>
        </w:rPr>
        <w:fldChar w:fldCharType="end"/>
      </w:r>
    </w:p>
    <w:p w14:paraId="5E5AE449">
      <w:pPr>
        <w:pStyle w:val="30"/>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_Toc13237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5.监测预警</w:t>
      </w:r>
      <w:r>
        <w:tab/>
      </w:r>
      <w:r>
        <w:fldChar w:fldCharType="begin"/>
      </w:r>
      <w:r>
        <w:instrText xml:space="preserve"> PAGEREF _Toc13237 \h </w:instrText>
      </w:r>
      <w:r>
        <w:fldChar w:fldCharType="separate"/>
      </w:r>
      <w:r>
        <w:t>23</w:t>
      </w:r>
      <w:r>
        <w:fldChar w:fldCharType="end"/>
      </w:r>
      <w:r>
        <w:rPr>
          <w:rFonts w:hint="default" w:ascii="Times New Roman" w:hAnsi="Times New Roman" w:eastAsia="仿宋" w:cs="Times New Roman"/>
          <w:szCs w:val="28"/>
        </w:rPr>
        <w:fldChar w:fldCharType="end"/>
      </w:r>
    </w:p>
    <w:p w14:paraId="09F6C6B9">
      <w:pPr>
        <w:pStyle w:val="35"/>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_Toc21874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5.1预警条件</w:t>
      </w:r>
      <w:r>
        <w:tab/>
      </w:r>
      <w:r>
        <w:fldChar w:fldCharType="begin"/>
      </w:r>
      <w:r>
        <w:instrText xml:space="preserve"> PAGEREF _Toc21874 \h </w:instrText>
      </w:r>
      <w:r>
        <w:fldChar w:fldCharType="separate"/>
      </w:r>
      <w:r>
        <w:t>23</w:t>
      </w:r>
      <w:r>
        <w:fldChar w:fldCharType="end"/>
      </w:r>
      <w:r>
        <w:rPr>
          <w:rFonts w:hint="default" w:ascii="Times New Roman" w:hAnsi="Times New Roman" w:eastAsia="仿宋" w:cs="Times New Roman"/>
          <w:szCs w:val="28"/>
        </w:rPr>
        <w:fldChar w:fldCharType="end"/>
      </w:r>
    </w:p>
    <w:p w14:paraId="26105D0E">
      <w:pPr>
        <w:pStyle w:val="35"/>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_Toc21310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5.2预警流程</w:t>
      </w:r>
      <w:r>
        <w:tab/>
      </w:r>
      <w:r>
        <w:fldChar w:fldCharType="begin"/>
      </w:r>
      <w:r>
        <w:instrText xml:space="preserve"> PAGEREF _Toc21310 \h </w:instrText>
      </w:r>
      <w:r>
        <w:fldChar w:fldCharType="separate"/>
      </w:r>
      <w:r>
        <w:t>23</w:t>
      </w:r>
      <w:r>
        <w:fldChar w:fldCharType="end"/>
      </w:r>
      <w:r>
        <w:rPr>
          <w:rFonts w:hint="default" w:ascii="Times New Roman" w:hAnsi="Times New Roman" w:eastAsia="仿宋" w:cs="Times New Roman"/>
          <w:szCs w:val="28"/>
        </w:rPr>
        <w:fldChar w:fldCharType="end"/>
      </w:r>
    </w:p>
    <w:p w14:paraId="792199AE">
      <w:pPr>
        <w:pStyle w:val="35"/>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_Toc515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5.3预警方案</w:t>
      </w:r>
      <w:r>
        <w:tab/>
      </w:r>
      <w:r>
        <w:fldChar w:fldCharType="begin"/>
      </w:r>
      <w:r>
        <w:instrText xml:space="preserve"> PAGEREF _Toc515 \h </w:instrText>
      </w:r>
      <w:r>
        <w:fldChar w:fldCharType="separate"/>
      </w:r>
      <w:r>
        <w:t>24</w:t>
      </w:r>
      <w:r>
        <w:fldChar w:fldCharType="end"/>
      </w:r>
      <w:r>
        <w:rPr>
          <w:rFonts w:hint="default" w:ascii="Times New Roman" w:hAnsi="Times New Roman" w:eastAsia="仿宋" w:cs="Times New Roman"/>
          <w:szCs w:val="28"/>
        </w:rPr>
        <w:fldChar w:fldCharType="end"/>
      </w:r>
    </w:p>
    <w:p w14:paraId="686C1CE0">
      <w:pPr>
        <w:pStyle w:val="30"/>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_Toc18859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6.信息报告</w:t>
      </w:r>
      <w:r>
        <w:tab/>
      </w:r>
      <w:r>
        <w:fldChar w:fldCharType="begin"/>
      </w:r>
      <w:r>
        <w:instrText xml:space="preserve"> PAGEREF _Toc18859 \h </w:instrText>
      </w:r>
      <w:r>
        <w:fldChar w:fldCharType="separate"/>
      </w:r>
      <w:r>
        <w:t>25</w:t>
      </w:r>
      <w:r>
        <w:fldChar w:fldCharType="end"/>
      </w:r>
      <w:r>
        <w:rPr>
          <w:rFonts w:hint="default" w:ascii="Times New Roman" w:hAnsi="Times New Roman" w:eastAsia="仿宋" w:cs="Times New Roman"/>
          <w:szCs w:val="28"/>
        </w:rPr>
        <w:fldChar w:fldCharType="end"/>
      </w:r>
    </w:p>
    <w:p w14:paraId="0644C350">
      <w:pPr>
        <w:pStyle w:val="35"/>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_Toc20861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6.1报警方式</w:t>
      </w:r>
      <w:r>
        <w:tab/>
      </w:r>
      <w:r>
        <w:fldChar w:fldCharType="begin"/>
      </w:r>
      <w:r>
        <w:instrText xml:space="preserve"> PAGEREF _Toc20861 \h </w:instrText>
      </w:r>
      <w:r>
        <w:fldChar w:fldCharType="separate"/>
      </w:r>
      <w:r>
        <w:t>25</w:t>
      </w:r>
      <w:r>
        <w:fldChar w:fldCharType="end"/>
      </w:r>
      <w:r>
        <w:rPr>
          <w:rFonts w:hint="default" w:ascii="Times New Roman" w:hAnsi="Times New Roman" w:eastAsia="仿宋" w:cs="Times New Roman"/>
          <w:szCs w:val="28"/>
        </w:rPr>
        <w:fldChar w:fldCharType="end"/>
      </w:r>
    </w:p>
    <w:p w14:paraId="0A199C03">
      <w:pPr>
        <w:pStyle w:val="35"/>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_Toc19861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6.2信息报告与处置</w:t>
      </w:r>
      <w:r>
        <w:tab/>
      </w:r>
      <w:r>
        <w:fldChar w:fldCharType="begin"/>
      </w:r>
      <w:r>
        <w:instrText xml:space="preserve"> PAGEREF _Toc19861 \h </w:instrText>
      </w:r>
      <w:r>
        <w:fldChar w:fldCharType="separate"/>
      </w:r>
      <w:r>
        <w:t>25</w:t>
      </w:r>
      <w:r>
        <w:fldChar w:fldCharType="end"/>
      </w:r>
      <w:r>
        <w:rPr>
          <w:rFonts w:hint="default" w:ascii="Times New Roman" w:hAnsi="Times New Roman" w:eastAsia="仿宋" w:cs="Times New Roman"/>
          <w:szCs w:val="28"/>
        </w:rPr>
        <w:fldChar w:fldCharType="end"/>
      </w:r>
    </w:p>
    <w:p w14:paraId="66964CF8">
      <w:pPr>
        <w:pStyle w:val="30"/>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_Toc20178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highlight w:val="none"/>
        </w:rPr>
        <w:t>7.应急监测</w:t>
      </w:r>
      <w:r>
        <w:tab/>
      </w:r>
      <w:r>
        <w:fldChar w:fldCharType="begin"/>
      </w:r>
      <w:r>
        <w:instrText xml:space="preserve"> PAGEREF _Toc20178 \h </w:instrText>
      </w:r>
      <w:r>
        <w:fldChar w:fldCharType="separate"/>
      </w:r>
      <w:r>
        <w:t>27</w:t>
      </w:r>
      <w:r>
        <w:fldChar w:fldCharType="end"/>
      </w:r>
      <w:r>
        <w:rPr>
          <w:rFonts w:hint="default" w:ascii="Times New Roman" w:hAnsi="Times New Roman" w:eastAsia="仿宋" w:cs="Times New Roman"/>
          <w:szCs w:val="28"/>
        </w:rPr>
        <w:fldChar w:fldCharType="end"/>
      </w:r>
    </w:p>
    <w:p w14:paraId="15407760">
      <w:pPr>
        <w:pStyle w:val="35"/>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_Toc6652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7.1</w:t>
      </w:r>
      <w:r>
        <w:rPr>
          <w:rFonts w:hint="default" w:ascii="Times New Roman" w:hAnsi="Times New Roman" w:eastAsia="仿宋" w:cs="Times New Roman"/>
          <w:bCs/>
          <w:szCs w:val="28"/>
          <w:lang w:val="en-US" w:eastAsia="zh-CN"/>
        </w:rPr>
        <w:t xml:space="preserve"> 响应程序</w:t>
      </w:r>
      <w:r>
        <w:tab/>
      </w:r>
      <w:r>
        <w:fldChar w:fldCharType="begin"/>
      </w:r>
      <w:r>
        <w:instrText xml:space="preserve"> PAGEREF _Toc6652 \h </w:instrText>
      </w:r>
      <w:r>
        <w:fldChar w:fldCharType="separate"/>
      </w:r>
      <w:r>
        <w:t>27</w:t>
      </w:r>
      <w:r>
        <w:fldChar w:fldCharType="end"/>
      </w:r>
      <w:r>
        <w:rPr>
          <w:rFonts w:hint="default" w:ascii="Times New Roman" w:hAnsi="Times New Roman" w:eastAsia="仿宋" w:cs="Times New Roman"/>
          <w:szCs w:val="28"/>
        </w:rPr>
        <w:fldChar w:fldCharType="end"/>
      </w:r>
    </w:p>
    <w:p w14:paraId="453271D7">
      <w:pPr>
        <w:pStyle w:val="35"/>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_Toc32141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lang w:val="en-US" w:eastAsia="zh-CN"/>
        </w:rPr>
        <w:t xml:space="preserve">7.2 </w:t>
      </w:r>
      <w:r>
        <w:rPr>
          <w:rFonts w:hint="default" w:ascii="Times New Roman" w:hAnsi="Times New Roman" w:eastAsia="仿宋" w:cs="Times New Roman"/>
          <w:bCs/>
          <w:szCs w:val="28"/>
        </w:rPr>
        <w:t>布点</w:t>
      </w:r>
      <w:r>
        <w:rPr>
          <w:rFonts w:hint="default" w:ascii="Times New Roman" w:hAnsi="Times New Roman" w:eastAsia="仿宋" w:cs="Times New Roman"/>
          <w:bCs/>
          <w:szCs w:val="28"/>
          <w:lang w:val="en-US" w:eastAsia="zh-CN"/>
        </w:rPr>
        <w:t>方案</w:t>
      </w:r>
      <w:r>
        <w:tab/>
      </w:r>
      <w:r>
        <w:fldChar w:fldCharType="begin"/>
      </w:r>
      <w:r>
        <w:instrText xml:space="preserve"> PAGEREF _Toc32141 \h </w:instrText>
      </w:r>
      <w:r>
        <w:fldChar w:fldCharType="separate"/>
      </w:r>
      <w:r>
        <w:t>27</w:t>
      </w:r>
      <w:r>
        <w:fldChar w:fldCharType="end"/>
      </w:r>
      <w:r>
        <w:rPr>
          <w:rFonts w:hint="default" w:ascii="Times New Roman" w:hAnsi="Times New Roman" w:eastAsia="仿宋" w:cs="Times New Roman"/>
          <w:szCs w:val="28"/>
        </w:rPr>
        <w:fldChar w:fldCharType="end"/>
      </w:r>
    </w:p>
    <w:p w14:paraId="18D33AC8">
      <w:pPr>
        <w:pStyle w:val="35"/>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_Toc11935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lang w:val="en-US" w:eastAsia="zh-CN"/>
        </w:rPr>
        <w:t>7.3 监测频次</w:t>
      </w:r>
      <w:r>
        <w:tab/>
      </w:r>
      <w:r>
        <w:fldChar w:fldCharType="begin"/>
      </w:r>
      <w:r>
        <w:instrText xml:space="preserve"> PAGEREF _Toc11935 \h </w:instrText>
      </w:r>
      <w:r>
        <w:fldChar w:fldCharType="separate"/>
      </w:r>
      <w:r>
        <w:t>28</w:t>
      </w:r>
      <w:r>
        <w:fldChar w:fldCharType="end"/>
      </w:r>
      <w:r>
        <w:rPr>
          <w:rFonts w:hint="default" w:ascii="Times New Roman" w:hAnsi="Times New Roman" w:eastAsia="仿宋" w:cs="Times New Roman"/>
          <w:szCs w:val="28"/>
        </w:rPr>
        <w:fldChar w:fldCharType="end"/>
      </w:r>
    </w:p>
    <w:p w14:paraId="18B45ED0">
      <w:pPr>
        <w:pStyle w:val="35"/>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_Toc18246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lang w:val="en-US" w:eastAsia="zh-CN"/>
        </w:rPr>
        <w:t>7.4 监测项目</w:t>
      </w:r>
      <w:r>
        <w:tab/>
      </w:r>
      <w:r>
        <w:fldChar w:fldCharType="begin"/>
      </w:r>
      <w:r>
        <w:instrText xml:space="preserve"> PAGEREF _Toc18246 \h </w:instrText>
      </w:r>
      <w:r>
        <w:fldChar w:fldCharType="separate"/>
      </w:r>
      <w:r>
        <w:t>28</w:t>
      </w:r>
      <w:r>
        <w:fldChar w:fldCharType="end"/>
      </w:r>
      <w:r>
        <w:rPr>
          <w:rFonts w:hint="default" w:ascii="Times New Roman" w:hAnsi="Times New Roman" w:eastAsia="仿宋" w:cs="Times New Roman"/>
          <w:szCs w:val="28"/>
        </w:rPr>
        <w:fldChar w:fldCharType="end"/>
      </w:r>
    </w:p>
    <w:p w14:paraId="3218FCD3">
      <w:pPr>
        <w:pStyle w:val="35"/>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_Toc31784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lang w:val="en-US" w:eastAsia="zh-CN"/>
        </w:rPr>
        <w:t xml:space="preserve">7.5 </w:t>
      </w:r>
      <w:r>
        <w:rPr>
          <w:rFonts w:hint="default" w:ascii="Times New Roman" w:hAnsi="Times New Roman" w:eastAsia="仿宋" w:cs="Times New Roman"/>
          <w:bCs/>
          <w:szCs w:val="28"/>
        </w:rPr>
        <w:t>报告内容</w:t>
      </w:r>
      <w:r>
        <w:tab/>
      </w:r>
      <w:r>
        <w:fldChar w:fldCharType="begin"/>
      </w:r>
      <w:r>
        <w:instrText xml:space="preserve"> PAGEREF _Toc31784 \h </w:instrText>
      </w:r>
      <w:r>
        <w:fldChar w:fldCharType="separate"/>
      </w:r>
      <w:r>
        <w:t>29</w:t>
      </w:r>
      <w:r>
        <w:fldChar w:fldCharType="end"/>
      </w:r>
      <w:r>
        <w:rPr>
          <w:rFonts w:hint="default" w:ascii="Times New Roman" w:hAnsi="Times New Roman" w:eastAsia="仿宋" w:cs="Times New Roman"/>
          <w:szCs w:val="28"/>
        </w:rPr>
        <w:fldChar w:fldCharType="end"/>
      </w:r>
    </w:p>
    <w:p w14:paraId="5B3D1D57">
      <w:pPr>
        <w:pStyle w:val="30"/>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_Toc6576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8. 应对流程和措施</w:t>
      </w:r>
      <w:r>
        <w:tab/>
      </w:r>
      <w:r>
        <w:fldChar w:fldCharType="begin"/>
      </w:r>
      <w:r>
        <w:instrText xml:space="preserve"> PAGEREF _Toc6576 \h </w:instrText>
      </w:r>
      <w:r>
        <w:fldChar w:fldCharType="separate"/>
      </w:r>
      <w:r>
        <w:t>30</w:t>
      </w:r>
      <w:r>
        <w:fldChar w:fldCharType="end"/>
      </w:r>
      <w:r>
        <w:rPr>
          <w:rFonts w:hint="default" w:ascii="Times New Roman" w:hAnsi="Times New Roman" w:eastAsia="仿宋" w:cs="Times New Roman"/>
          <w:szCs w:val="28"/>
        </w:rPr>
        <w:fldChar w:fldCharType="end"/>
      </w:r>
    </w:p>
    <w:p w14:paraId="200B68B4">
      <w:pPr>
        <w:pStyle w:val="35"/>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_Toc8832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highlight w:val="none"/>
        </w:rPr>
        <w:t>8.</w:t>
      </w:r>
      <w:r>
        <w:rPr>
          <w:rFonts w:hint="eastAsia" w:ascii="Times New Roman" w:hAnsi="Times New Roman" w:cs="Times New Roman"/>
          <w:bCs/>
          <w:szCs w:val="28"/>
          <w:highlight w:val="none"/>
          <w:lang w:val="en-US" w:eastAsia="zh-CN"/>
        </w:rPr>
        <w:t>1</w:t>
      </w:r>
      <w:r>
        <w:rPr>
          <w:rFonts w:hint="default" w:ascii="Times New Roman" w:hAnsi="Times New Roman" w:eastAsia="仿宋" w:cs="Times New Roman"/>
          <w:bCs/>
          <w:szCs w:val="28"/>
          <w:highlight w:val="none"/>
        </w:rPr>
        <w:t>应急处置</w:t>
      </w:r>
      <w:r>
        <w:rPr>
          <w:rFonts w:hint="default" w:ascii="Times New Roman" w:hAnsi="Times New Roman" w:eastAsia="仿宋" w:cs="Times New Roman"/>
          <w:bCs/>
          <w:szCs w:val="28"/>
          <w:highlight w:val="none"/>
          <w:lang w:val="en-US" w:eastAsia="zh-CN"/>
        </w:rPr>
        <w:t>措施</w:t>
      </w:r>
      <w:r>
        <w:tab/>
      </w:r>
      <w:r>
        <w:fldChar w:fldCharType="begin"/>
      </w:r>
      <w:r>
        <w:instrText xml:space="preserve"> PAGEREF _Toc8832 \h </w:instrText>
      </w:r>
      <w:r>
        <w:fldChar w:fldCharType="separate"/>
      </w:r>
      <w:r>
        <w:t>30</w:t>
      </w:r>
      <w:r>
        <w:fldChar w:fldCharType="end"/>
      </w:r>
      <w:r>
        <w:rPr>
          <w:rFonts w:hint="default" w:ascii="Times New Roman" w:hAnsi="Times New Roman" w:eastAsia="仿宋" w:cs="Times New Roman"/>
          <w:szCs w:val="28"/>
        </w:rPr>
        <w:fldChar w:fldCharType="end"/>
      </w:r>
    </w:p>
    <w:p w14:paraId="1CC55466">
      <w:pPr>
        <w:pStyle w:val="35"/>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_Toc25093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8.</w:t>
      </w:r>
      <w:r>
        <w:rPr>
          <w:rFonts w:hint="eastAsia" w:ascii="Times New Roman" w:hAnsi="Times New Roman" w:cs="Times New Roman"/>
          <w:bCs/>
          <w:szCs w:val="28"/>
          <w:lang w:val="en-US" w:eastAsia="zh-CN"/>
        </w:rPr>
        <w:t>2</w:t>
      </w:r>
      <w:r>
        <w:rPr>
          <w:rFonts w:hint="default" w:ascii="Times New Roman" w:hAnsi="Times New Roman" w:eastAsia="仿宋" w:cs="Times New Roman"/>
          <w:bCs/>
          <w:szCs w:val="28"/>
        </w:rPr>
        <w:t>关键岗位应急处置卡</w:t>
      </w:r>
      <w:r>
        <w:tab/>
      </w:r>
      <w:r>
        <w:fldChar w:fldCharType="begin"/>
      </w:r>
      <w:r>
        <w:instrText xml:space="preserve"> PAGEREF _Toc25093 \h </w:instrText>
      </w:r>
      <w:r>
        <w:fldChar w:fldCharType="separate"/>
      </w:r>
      <w:r>
        <w:t>31</w:t>
      </w:r>
      <w:r>
        <w:fldChar w:fldCharType="end"/>
      </w:r>
      <w:r>
        <w:rPr>
          <w:rFonts w:hint="default" w:ascii="Times New Roman" w:hAnsi="Times New Roman" w:eastAsia="仿宋" w:cs="Times New Roman"/>
          <w:szCs w:val="28"/>
        </w:rPr>
        <w:fldChar w:fldCharType="end"/>
      </w:r>
    </w:p>
    <w:p w14:paraId="1912CF80">
      <w:pPr>
        <w:pStyle w:val="35"/>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_Toc23310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highlight w:val="none"/>
        </w:rPr>
        <w:t>8.</w:t>
      </w:r>
      <w:r>
        <w:rPr>
          <w:rFonts w:hint="eastAsia" w:ascii="Times New Roman" w:hAnsi="Times New Roman" w:cs="Times New Roman"/>
          <w:bCs/>
          <w:szCs w:val="28"/>
          <w:highlight w:val="none"/>
          <w:lang w:val="en-US" w:eastAsia="zh-CN"/>
        </w:rPr>
        <w:t>3</w:t>
      </w:r>
      <w:r>
        <w:rPr>
          <w:rFonts w:hint="default" w:ascii="Times New Roman" w:hAnsi="Times New Roman" w:eastAsia="仿宋" w:cs="Times New Roman"/>
          <w:bCs/>
          <w:szCs w:val="28"/>
          <w:highlight w:val="none"/>
        </w:rPr>
        <w:t>应急设施（备）及应急物资的启用程序</w:t>
      </w:r>
      <w:r>
        <w:tab/>
      </w:r>
      <w:r>
        <w:fldChar w:fldCharType="begin"/>
      </w:r>
      <w:r>
        <w:instrText xml:space="preserve"> PAGEREF _Toc23310 \h </w:instrText>
      </w:r>
      <w:r>
        <w:fldChar w:fldCharType="separate"/>
      </w:r>
      <w:r>
        <w:t>32</w:t>
      </w:r>
      <w:r>
        <w:fldChar w:fldCharType="end"/>
      </w:r>
      <w:r>
        <w:rPr>
          <w:rFonts w:hint="default" w:ascii="Times New Roman" w:hAnsi="Times New Roman" w:eastAsia="仿宋" w:cs="Times New Roman"/>
          <w:szCs w:val="28"/>
        </w:rPr>
        <w:fldChar w:fldCharType="end"/>
      </w:r>
    </w:p>
    <w:p w14:paraId="04D934ED">
      <w:pPr>
        <w:pStyle w:val="35"/>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_Toc14553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8.</w:t>
      </w:r>
      <w:r>
        <w:rPr>
          <w:rFonts w:hint="eastAsia" w:ascii="Times New Roman" w:hAnsi="Times New Roman" w:cs="Times New Roman"/>
          <w:bCs/>
          <w:szCs w:val="28"/>
          <w:lang w:val="en-US" w:eastAsia="zh-CN"/>
        </w:rPr>
        <w:t>4</w:t>
      </w:r>
      <w:r>
        <w:rPr>
          <w:rFonts w:hint="default" w:ascii="Times New Roman" w:hAnsi="Times New Roman" w:eastAsia="仿宋" w:cs="Times New Roman"/>
          <w:bCs/>
          <w:szCs w:val="28"/>
        </w:rPr>
        <w:t>人员紧急撤离和疏散</w:t>
      </w:r>
      <w:r>
        <w:tab/>
      </w:r>
      <w:r>
        <w:fldChar w:fldCharType="begin"/>
      </w:r>
      <w:r>
        <w:instrText xml:space="preserve"> PAGEREF _Toc14553 \h </w:instrText>
      </w:r>
      <w:r>
        <w:fldChar w:fldCharType="separate"/>
      </w:r>
      <w:r>
        <w:t>32</w:t>
      </w:r>
      <w:r>
        <w:fldChar w:fldCharType="end"/>
      </w:r>
      <w:r>
        <w:rPr>
          <w:rFonts w:hint="default" w:ascii="Times New Roman" w:hAnsi="Times New Roman" w:eastAsia="仿宋" w:cs="Times New Roman"/>
          <w:szCs w:val="28"/>
        </w:rPr>
        <w:fldChar w:fldCharType="end"/>
      </w:r>
    </w:p>
    <w:p w14:paraId="497E7751">
      <w:pPr>
        <w:pStyle w:val="30"/>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_Toc13747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9.应急终止</w:t>
      </w:r>
      <w:r>
        <w:tab/>
      </w:r>
      <w:r>
        <w:fldChar w:fldCharType="begin"/>
      </w:r>
      <w:r>
        <w:instrText xml:space="preserve"> PAGEREF _Toc13747 \h </w:instrText>
      </w:r>
      <w:r>
        <w:fldChar w:fldCharType="separate"/>
      </w:r>
      <w:r>
        <w:t>33</w:t>
      </w:r>
      <w:r>
        <w:fldChar w:fldCharType="end"/>
      </w:r>
      <w:r>
        <w:rPr>
          <w:rFonts w:hint="default" w:ascii="Times New Roman" w:hAnsi="Times New Roman" w:eastAsia="仿宋" w:cs="Times New Roman"/>
          <w:szCs w:val="28"/>
        </w:rPr>
        <w:fldChar w:fldCharType="end"/>
      </w:r>
    </w:p>
    <w:p w14:paraId="7B8CE10E">
      <w:pPr>
        <w:pStyle w:val="35"/>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_Toc27047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9.1应急终止的条件</w:t>
      </w:r>
      <w:r>
        <w:tab/>
      </w:r>
      <w:r>
        <w:fldChar w:fldCharType="begin"/>
      </w:r>
      <w:r>
        <w:instrText xml:space="preserve"> PAGEREF _Toc27047 \h </w:instrText>
      </w:r>
      <w:r>
        <w:fldChar w:fldCharType="separate"/>
      </w:r>
      <w:r>
        <w:t>33</w:t>
      </w:r>
      <w:r>
        <w:fldChar w:fldCharType="end"/>
      </w:r>
      <w:r>
        <w:rPr>
          <w:rFonts w:hint="default" w:ascii="Times New Roman" w:hAnsi="Times New Roman" w:eastAsia="仿宋" w:cs="Times New Roman"/>
          <w:szCs w:val="28"/>
        </w:rPr>
        <w:fldChar w:fldCharType="end"/>
      </w:r>
    </w:p>
    <w:p w14:paraId="676467B0">
      <w:pPr>
        <w:pStyle w:val="35"/>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_Toc18099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9.2应急终止</w:t>
      </w:r>
      <w:r>
        <w:tab/>
      </w:r>
      <w:r>
        <w:fldChar w:fldCharType="begin"/>
      </w:r>
      <w:r>
        <w:instrText xml:space="preserve"> PAGEREF _Toc18099 \h </w:instrText>
      </w:r>
      <w:r>
        <w:fldChar w:fldCharType="separate"/>
      </w:r>
      <w:r>
        <w:t>33</w:t>
      </w:r>
      <w:r>
        <w:fldChar w:fldCharType="end"/>
      </w:r>
      <w:r>
        <w:rPr>
          <w:rFonts w:hint="default" w:ascii="Times New Roman" w:hAnsi="Times New Roman" w:eastAsia="仿宋" w:cs="Times New Roman"/>
          <w:szCs w:val="28"/>
        </w:rPr>
        <w:fldChar w:fldCharType="end"/>
      </w:r>
    </w:p>
    <w:p w14:paraId="47D45DFA">
      <w:pPr>
        <w:pStyle w:val="30"/>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_Toc7053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10.后期处置</w:t>
      </w:r>
      <w:r>
        <w:tab/>
      </w:r>
      <w:r>
        <w:fldChar w:fldCharType="begin"/>
      </w:r>
      <w:r>
        <w:instrText xml:space="preserve"> PAGEREF _Toc7053 \h </w:instrText>
      </w:r>
      <w:r>
        <w:fldChar w:fldCharType="separate"/>
      </w:r>
      <w:r>
        <w:t>34</w:t>
      </w:r>
      <w:r>
        <w:fldChar w:fldCharType="end"/>
      </w:r>
      <w:r>
        <w:rPr>
          <w:rFonts w:hint="default" w:ascii="Times New Roman" w:hAnsi="Times New Roman" w:eastAsia="仿宋" w:cs="Times New Roman"/>
          <w:szCs w:val="28"/>
        </w:rPr>
        <w:fldChar w:fldCharType="end"/>
      </w:r>
    </w:p>
    <w:p w14:paraId="6C88C95A">
      <w:pPr>
        <w:pStyle w:val="35"/>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_Toc5364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10.1现场恢复</w:t>
      </w:r>
      <w:r>
        <w:tab/>
      </w:r>
      <w:r>
        <w:fldChar w:fldCharType="begin"/>
      </w:r>
      <w:r>
        <w:instrText xml:space="preserve"> PAGEREF _Toc5364 \h </w:instrText>
      </w:r>
      <w:r>
        <w:fldChar w:fldCharType="separate"/>
      </w:r>
      <w:r>
        <w:t>34</w:t>
      </w:r>
      <w:r>
        <w:fldChar w:fldCharType="end"/>
      </w:r>
      <w:r>
        <w:rPr>
          <w:rFonts w:hint="default" w:ascii="Times New Roman" w:hAnsi="Times New Roman" w:eastAsia="仿宋" w:cs="Times New Roman"/>
          <w:szCs w:val="28"/>
        </w:rPr>
        <w:fldChar w:fldCharType="end"/>
      </w:r>
    </w:p>
    <w:p w14:paraId="46E8FE21">
      <w:pPr>
        <w:pStyle w:val="35"/>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_Toc19726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10.2环境恢复</w:t>
      </w:r>
      <w:r>
        <w:tab/>
      </w:r>
      <w:r>
        <w:fldChar w:fldCharType="begin"/>
      </w:r>
      <w:r>
        <w:instrText xml:space="preserve"> PAGEREF _Toc19726 \h </w:instrText>
      </w:r>
      <w:r>
        <w:fldChar w:fldCharType="separate"/>
      </w:r>
      <w:r>
        <w:t>34</w:t>
      </w:r>
      <w:r>
        <w:fldChar w:fldCharType="end"/>
      </w:r>
      <w:r>
        <w:rPr>
          <w:rFonts w:hint="default" w:ascii="Times New Roman" w:hAnsi="Times New Roman" w:eastAsia="仿宋" w:cs="Times New Roman"/>
          <w:szCs w:val="28"/>
        </w:rPr>
        <w:fldChar w:fldCharType="end"/>
      </w:r>
    </w:p>
    <w:p w14:paraId="5475C819">
      <w:pPr>
        <w:pStyle w:val="35"/>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_Toc21311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10.3善后赔偿</w:t>
      </w:r>
      <w:r>
        <w:tab/>
      </w:r>
      <w:r>
        <w:fldChar w:fldCharType="begin"/>
      </w:r>
      <w:r>
        <w:instrText xml:space="preserve"> PAGEREF _Toc21311 \h </w:instrText>
      </w:r>
      <w:r>
        <w:fldChar w:fldCharType="separate"/>
      </w:r>
      <w:r>
        <w:t>34</w:t>
      </w:r>
      <w:r>
        <w:fldChar w:fldCharType="end"/>
      </w:r>
      <w:r>
        <w:rPr>
          <w:rFonts w:hint="default" w:ascii="Times New Roman" w:hAnsi="Times New Roman" w:eastAsia="仿宋" w:cs="Times New Roman"/>
          <w:szCs w:val="28"/>
        </w:rPr>
        <w:fldChar w:fldCharType="end"/>
      </w:r>
    </w:p>
    <w:p w14:paraId="27155F7E">
      <w:pPr>
        <w:pStyle w:val="35"/>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_Toc8926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10.4调查与评估</w:t>
      </w:r>
      <w:r>
        <w:tab/>
      </w:r>
      <w:r>
        <w:fldChar w:fldCharType="begin"/>
      </w:r>
      <w:r>
        <w:instrText xml:space="preserve"> PAGEREF _Toc8926 \h </w:instrText>
      </w:r>
      <w:r>
        <w:fldChar w:fldCharType="separate"/>
      </w:r>
      <w:r>
        <w:t>34</w:t>
      </w:r>
      <w:r>
        <w:fldChar w:fldCharType="end"/>
      </w:r>
      <w:r>
        <w:rPr>
          <w:rFonts w:hint="default" w:ascii="Times New Roman" w:hAnsi="Times New Roman" w:eastAsia="仿宋" w:cs="Times New Roman"/>
          <w:szCs w:val="28"/>
        </w:rPr>
        <w:fldChar w:fldCharType="end"/>
      </w:r>
    </w:p>
    <w:p w14:paraId="551F144E">
      <w:pPr>
        <w:pStyle w:val="30"/>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_Toc1117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11.保障措施</w:t>
      </w:r>
      <w:r>
        <w:tab/>
      </w:r>
      <w:r>
        <w:fldChar w:fldCharType="begin"/>
      </w:r>
      <w:r>
        <w:instrText xml:space="preserve"> PAGEREF _Toc1117 \h </w:instrText>
      </w:r>
      <w:r>
        <w:fldChar w:fldCharType="separate"/>
      </w:r>
      <w:r>
        <w:t>35</w:t>
      </w:r>
      <w:r>
        <w:fldChar w:fldCharType="end"/>
      </w:r>
      <w:r>
        <w:rPr>
          <w:rFonts w:hint="default" w:ascii="Times New Roman" w:hAnsi="Times New Roman" w:eastAsia="仿宋" w:cs="Times New Roman"/>
          <w:szCs w:val="28"/>
        </w:rPr>
        <w:fldChar w:fldCharType="end"/>
      </w:r>
    </w:p>
    <w:p w14:paraId="2FFE35D3">
      <w:pPr>
        <w:pStyle w:val="35"/>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_Toc18938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11.1通信与信息保障</w:t>
      </w:r>
      <w:r>
        <w:tab/>
      </w:r>
      <w:r>
        <w:fldChar w:fldCharType="begin"/>
      </w:r>
      <w:r>
        <w:instrText xml:space="preserve"> PAGEREF _Toc18938 \h </w:instrText>
      </w:r>
      <w:r>
        <w:fldChar w:fldCharType="separate"/>
      </w:r>
      <w:r>
        <w:t>35</w:t>
      </w:r>
      <w:r>
        <w:fldChar w:fldCharType="end"/>
      </w:r>
      <w:r>
        <w:rPr>
          <w:rFonts w:hint="default" w:ascii="Times New Roman" w:hAnsi="Times New Roman" w:eastAsia="仿宋" w:cs="Times New Roman"/>
          <w:szCs w:val="28"/>
        </w:rPr>
        <w:fldChar w:fldCharType="end"/>
      </w:r>
    </w:p>
    <w:p w14:paraId="2BC29C8E">
      <w:pPr>
        <w:pStyle w:val="35"/>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_Toc26952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11.2应急队伍保障</w:t>
      </w:r>
      <w:r>
        <w:tab/>
      </w:r>
      <w:r>
        <w:fldChar w:fldCharType="begin"/>
      </w:r>
      <w:r>
        <w:instrText xml:space="preserve"> PAGEREF _Toc26952 \h </w:instrText>
      </w:r>
      <w:r>
        <w:fldChar w:fldCharType="separate"/>
      </w:r>
      <w:r>
        <w:t>35</w:t>
      </w:r>
      <w:r>
        <w:fldChar w:fldCharType="end"/>
      </w:r>
      <w:r>
        <w:rPr>
          <w:rFonts w:hint="default" w:ascii="Times New Roman" w:hAnsi="Times New Roman" w:eastAsia="仿宋" w:cs="Times New Roman"/>
          <w:szCs w:val="28"/>
        </w:rPr>
        <w:fldChar w:fldCharType="end"/>
      </w:r>
    </w:p>
    <w:p w14:paraId="7ABD0D96">
      <w:pPr>
        <w:pStyle w:val="35"/>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_Toc28573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11.3应急物资装备保障</w:t>
      </w:r>
      <w:r>
        <w:tab/>
      </w:r>
      <w:r>
        <w:fldChar w:fldCharType="begin"/>
      </w:r>
      <w:r>
        <w:instrText xml:space="preserve"> PAGEREF _Toc28573 \h </w:instrText>
      </w:r>
      <w:r>
        <w:fldChar w:fldCharType="separate"/>
      </w:r>
      <w:r>
        <w:t>35</w:t>
      </w:r>
      <w:r>
        <w:fldChar w:fldCharType="end"/>
      </w:r>
      <w:r>
        <w:rPr>
          <w:rFonts w:hint="default" w:ascii="Times New Roman" w:hAnsi="Times New Roman" w:eastAsia="仿宋" w:cs="Times New Roman"/>
          <w:szCs w:val="28"/>
        </w:rPr>
        <w:fldChar w:fldCharType="end"/>
      </w:r>
    </w:p>
    <w:p w14:paraId="499653ED">
      <w:pPr>
        <w:pStyle w:val="35"/>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_Toc20943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11.4经费保障</w:t>
      </w:r>
      <w:r>
        <w:tab/>
      </w:r>
      <w:r>
        <w:fldChar w:fldCharType="begin"/>
      </w:r>
      <w:r>
        <w:instrText xml:space="preserve"> PAGEREF _Toc20943 \h </w:instrText>
      </w:r>
      <w:r>
        <w:fldChar w:fldCharType="separate"/>
      </w:r>
      <w:r>
        <w:t>35</w:t>
      </w:r>
      <w:r>
        <w:fldChar w:fldCharType="end"/>
      </w:r>
      <w:r>
        <w:rPr>
          <w:rFonts w:hint="default" w:ascii="Times New Roman" w:hAnsi="Times New Roman" w:eastAsia="仿宋" w:cs="Times New Roman"/>
          <w:szCs w:val="28"/>
        </w:rPr>
        <w:fldChar w:fldCharType="end"/>
      </w:r>
    </w:p>
    <w:p w14:paraId="655FB5FD">
      <w:pPr>
        <w:pStyle w:val="35"/>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_Toc9688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11.5其他保障</w:t>
      </w:r>
      <w:r>
        <w:tab/>
      </w:r>
      <w:r>
        <w:fldChar w:fldCharType="begin"/>
      </w:r>
      <w:r>
        <w:instrText xml:space="preserve"> PAGEREF _Toc9688 \h </w:instrText>
      </w:r>
      <w:r>
        <w:fldChar w:fldCharType="separate"/>
      </w:r>
      <w:r>
        <w:t>35</w:t>
      </w:r>
      <w:r>
        <w:fldChar w:fldCharType="end"/>
      </w:r>
      <w:r>
        <w:rPr>
          <w:rFonts w:hint="default" w:ascii="Times New Roman" w:hAnsi="Times New Roman" w:eastAsia="仿宋" w:cs="Times New Roman"/>
          <w:szCs w:val="28"/>
        </w:rPr>
        <w:fldChar w:fldCharType="end"/>
      </w:r>
    </w:p>
    <w:p w14:paraId="13DF3538">
      <w:pPr>
        <w:pStyle w:val="30"/>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_Toc27475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12.培训与演练</w:t>
      </w:r>
      <w:r>
        <w:tab/>
      </w:r>
      <w:r>
        <w:fldChar w:fldCharType="begin"/>
      </w:r>
      <w:r>
        <w:instrText xml:space="preserve"> PAGEREF _Toc27475 \h </w:instrText>
      </w:r>
      <w:r>
        <w:fldChar w:fldCharType="separate"/>
      </w:r>
      <w:r>
        <w:t>36</w:t>
      </w:r>
      <w:r>
        <w:fldChar w:fldCharType="end"/>
      </w:r>
      <w:r>
        <w:rPr>
          <w:rFonts w:hint="default" w:ascii="Times New Roman" w:hAnsi="Times New Roman" w:eastAsia="仿宋" w:cs="Times New Roman"/>
          <w:szCs w:val="28"/>
        </w:rPr>
        <w:fldChar w:fldCharType="end"/>
      </w:r>
    </w:p>
    <w:p w14:paraId="53439757">
      <w:pPr>
        <w:pStyle w:val="35"/>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_Toc460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12.1培训</w:t>
      </w:r>
      <w:r>
        <w:tab/>
      </w:r>
      <w:r>
        <w:fldChar w:fldCharType="begin"/>
      </w:r>
      <w:r>
        <w:instrText xml:space="preserve"> PAGEREF _Toc460 \h </w:instrText>
      </w:r>
      <w:r>
        <w:fldChar w:fldCharType="separate"/>
      </w:r>
      <w:r>
        <w:t>36</w:t>
      </w:r>
      <w:r>
        <w:fldChar w:fldCharType="end"/>
      </w:r>
      <w:r>
        <w:rPr>
          <w:rFonts w:hint="default" w:ascii="Times New Roman" w:hAnsi="Times New Roman" w:eastAsia="仿宋" w:cs="Times New Roman"/>
          <w:szCs w:val="28"/>
        </w:rPr>
        <w:fldChar w:fldCharType="end"/>
      </w:r>
    </w:p>
    <w:p w14:paraId="04F07C6F">
      <w:pPr>
        <w:pStyle w:val="35"/>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_Toc18067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12.2演练</w:t>
      </w:r>
      <w:r>
        <w:tab/>
      </w:r>
      <w:r>
        <w:fldChar w:fldCharType="begin"/>
      </w:r>
      <w:r>
        <w:instrText xml:space="preserve"> PAGEREF _Toc18067 \h </w:instrText>
      </w:r>
      <w:r>
        <w:fldChar w:fldCharType="separate"/>
      </w:r>
      <w:r>
        <w:t>36</w:t>
      </w:r>
      <w:r>
        <w:fldChar w:fldCharType="end"/>
      </w:r>
      <w:r>
        <w:rPr>
          <w:rFonts w:hint="default" w:ascii="Times New Roman" w:hAnsi="Times New Roman" w:eastAsia="仿宋" w:cs="Times New Roman"/>
          <w:szCs w:val="28"/>
        </w:rPr>
        <w:fldChar w:fldCharType="end"/>
      </w:r>
    </w:p>
    <w:p w14:paraId="6AC9BEFD">
      <w:pPr>
        <w:pStyle w:val="30"/>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_Toc26843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13.奖惩</w:t>
      </w:r>
      <w:r>
        <w:tab/>
      </w:r>
      <w:r>
        <w:fldChar w:fldCharType="begin"/>
      </w:r>
      <w:r>
        <w:instrText xml:space="preserve"> PAGEREF _Toc26843 \h </w:instrText>
      </w:r>
      <w:r>
        <w:fldChar w:fldCharType="separate"/>
      </w:r>
      <w:r>
        <w:t>39</w:t>
      </w:r>
      <w:r>
        <w:fldChar w:fldCharType="end"/>
      </w:r>
      <w:r>
        <w:rPr>
          <w:rFonts w:hint="default" w:ascii="Times New Roman" w:hAnsi="Times New Roman" w:eastAsia="仿宋" w:cs="Times New Roman"/>
          <w:szCs w:val="28"/>
        </w:rPr>
        <w:fldChar w:fldCharType="end"/>
      </w:r>
    </w:p>
    <w:p w14:paraId="5292E8BC">
      <w:pPr>
        <w:pStyle w:val="30"/>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_Toc21656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14.预案的评审、发布和更新</w:t>
      </w:r>
      <w:r>
        <w:tab/>
      </w:r>
      <w:r>
        <w:fldChar w:fldCharType="begin"/>
      </w:r>
      <w:r>
        <w:instrText xml:space="preserve"> PAGEREF _Toc21656 \h </w:instrText>
      </w:r>
      <w:r>
        <w:fldChar w:fldCharType="separate"/>
      </w:r>
      <w:r>
        <w:t>40</w:t>
      </w:r>
      <w:r>
        <w:fldChar w:fldCharType="end"/>
      </w:r>
      <w:r>
        <w:rPr>
          <w:rFonts w:hint="default" w:ascii="Times New Roman" w:hAnsi="Times New Roman" w:eastAsia="仿宋" w:cs="Times New Roman"/>
          <w:szCs w:val="28"/>
        </w:rPr>
        <w:fldChar w:fldCharType="end"/>
      </w:r>
    </w:p>
    <w:p w14:paraId="5577384F">
      <w:pPr>
        <w:pStyle w:val="35"/>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_Toc27730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14.1预案评审</w:t>
      </w:r>
      <w:r>
        <w:tab/>
      </w:r>
      <w:r>
        <w:fldChar w:fldCharType="begin"/>
      </w:r>
      <w:r>
        <w:instrText xml:space="preserve"> PAGEREF _Toc27730 \h </w:instrText>
      </w:r>
      <w:r>
        <w:fldChar w:fldCharType="separate"/>
      </w:r>
      <w:r>
        <w:t>40</w:t>
      </w:r>
      <w:r>
        <w:fldChar w:fldCharType="end"/>
      </w:r>
      <w:r>
        <w:rPr>
          <w:rFonts w:hint="default" w:ascii="Times New Roman" w:hAnsi="Times New Roman" w:eastAsia="仿宋" w:cs="Times New Roman"/>
          <w:szCs w:val="28"/>
        </w:rPr>
        <w:fldChar w:fldCharType="end"/>
      </w:r>
    </w:p>
    <w:p w14:paraId="3A117C7E">
      <w:pPr>
        <w:pStyle w:val="35"/>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_Toc23617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14.2预案更新</w:t>
      </w:r>
      <w:r>
        <w:tab/>
      </w:r>
      <w:r>
        <w:fldChar w:fldCharType="begin"/>
      </w:r>
      <w:r>
        <w:instrText xml:space="preserve"> PAGEREF _Toc23617 \h </w:instrText>
      </w:r>
      <w:r>
        <w:fldChar w:fldCharType="separate"/>
      </w:r>
      <w:r>
        <w:t>40</w:t>
      </w:r>
      <w:r>
        <w:fldChar w:fldCharType="end"/>
      </w:r>
      <w:r>
        <w:rPr>
          <w:rFonts w:hint="default" w:ascii="Times New Roman" w:hAnsi="Times New Roman" w:eastAsia="仿宋" w:cs="Times New Roman"/>
          <w:szCs w:val="28"/>
        </w:rPr>
        <w:fldChar w:fldCharType="end"/>
      </w:r>
    </w:p>
    <w:p w14:paraId="6054B294">
      <w:pPr>
        <w:pStyle w:val="35"/>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_Toc20302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14.3预案发布</w:t>
      </w:r>
      <w:r>
        <w:tab/>
      </w:r>
      <w:r>
        <w:fldChar w:fldCharType="begin"/>
      </w:r>
      <w:r>
        <w:instrText xml:space="preserve"> PAGEREF _Toc20302 \h </w:instrText>
      </w:r>
      <w:r>
        <w:fldChar w:fldCharType="separate"/>
      </w:r>
      <w:r>
        <w:t>40</w:t>
      </w:r>
      <w:r>
        <w:fldChar w:fldCharType="end"/>
      </w:r>
      <w:r>
        <w:rPr>
          <w:rFonts w:hint="default" w:ascii="Times New Roman" w:hAnsi="Times New Roman" w:eastAsia="仿宋" w:cs="Times New Roman"/>
          <w:szCs w:val="28"/>
        </w:rPr>
        <w:fldChar w:fldCharType="end"/>
      </w:r>
    </w:p>
    <w:p w14:paraId="0134D7E4">
      <w:pPr>
        <w:pStyle w:val="30"/>
        <w:tabs>
          <w:tab w:val="right" w:leader="dot" w:pos="10080"/>
          <w:tab w:val="clear" w:pos="8296"/>
        </w:tabs>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_Toc13574 </w:instrText>
      </w:r>
      <w:r>
        <w:rPr>
          <w:rFonts w:hint="default" w:ascii="Times New Roman" w:hAnsi="Times New Roman" w:eastAsia="仿宋" w:cs="Times New Roman"/>
          <w:szCs w:val="28"/>
        </w:rPr>
        <w:fldChar w:fldCharType="separate"/>
      </w:r>
      <w:r>
        <w:rPr>
          <w:rFonts w:hint="default" w:ascii="Times New Roman" w:hAnsi="Times New Roman" w:eastAsia="仿宋" w:cs="Times New Roman"/>
          <w:bCs/>
          <w:szCs w:val="28"/>
        </w:rPr>
        <w:t>15.附图、附件</w:t>
      </w:r>
      <w:r>
        <w:tab/>
      </w:r>
      <w:r>
        <w:fldChar w:fldCharType="begin"/>
      </w:r>
      <w:r>
        <w:instrText xml:space="preserve"> PAGEREF _Toc13574 \h </w:instrText>
      </w:r>
      <w:r>
        <w:fldChar w:fldCharType="separate"/>
      </w:r>
      <w:r>
        <w:t>42</w:t>
      </w:r>
      <w:r>
        <w:fldChar w:fldCharType="end"/>
      </w:r>
      <w:r>
        <w:rPr>
          <w:rFonts w:hint="default" w:ascii="Times New Roman" w:hAnsi="Times New Roman" w:eastAsia="仿宋" w:cs="Times New Roman"/>
          <w:szCs w:val="28"/>
        </w:rPr>
        <w:fldChar w:fldCharType="end"/>
      </w:r>
    </w:p>
    <w:p w14:paraId="148D5AC0">
      <w:pPr>
        <w:spacing w:line="288" w:lineRule="auto"/>
        <w:jc w:val="center"/>
        <w:rPr>
          <w:rFonts w:hint="default" w:ascii="Times New Roman" w:hAnsi="Times New Roman" w:eastAsia="仿宋" w:cs="Times New Roman"/>
          <w:szCs w:val="28"/>
        </w:rPr>
        <w:sectPr>
          <w:headerReference r:id="rId7" w:type="default"/>
          <w:footerReference r:id="rId8" w:type="default"/>
          <w:pgSz w:w="12240" w:h="15840"/>
          <w:pgMar w:top="1440" w:right="1080" w:bottom="1440" w:left="1080" w:header="720" w:footer="720" w:gutter="0"/>
          <w:pgNumType w:fmt="upperRoman" w:start="1"/>
          <w:cols w:space="720" w:num="1"/>
        </w:sectPr>
      </w:pPr>
      <w:r>
        <w:rPr>
          <w:rFonts w:hint="default" w:ascii="Times New Roman" w:hAnsi="Times New Roman" w:eastAsia="仿宋" w:cs="Times New Roman"/>
          <w:szCs w:val="28"/>
        </w:rPr>
        <w:fldChar w:fldCharType="end"/>
      </w:r>
    </w:p>
    <w:p w14:paraId="71BD5D58">
      <w:pPr>
        <w:jc w:val="center"/>
        <w:rPr>
          <w:rFonts w:hint="default" w:ascii="Times New Roman" w:hAnsi="Times New Roman" w:eastAsia="仿宋" w:cs="Times New Roman"/>
          <w:szCs w:val="28"/>
        </w:rPr>
        <w:sectPr>
          <w:headerReference r:id="rId9" w:type="default"/>
          <w:footerReference r:id="rId10" w:type="default"/>
          <w:pgSz w:w="12240" w:h="15840"/>
          <w:pgMar w:top="1440" w:right="1080" w:bottom="1440" w:left="1080" w:header="720" w:footer="720" w:gutter="0"/>
          <w:pgNumType w:start="1"/>
          <w:cols w:space="720" w:num="1"/>
        </w:sectPr>
      </w:pPr>
    </w:p>
    <w:bookmarkEnd w:id="3"/>
    <w:p w14:paraId="79106EA9">
      <w:pPr>
        <w:outlineLvl w:val="0"/>
        <w:rPr>
          <w:rFonts w:hint="default" w:ascii="Times New Roman" w:hAnsi="Times New Roman" w:eastAsia="仿宋" w:cs="Times New Roman"/>
          <w:b/>
          <w:bCs/>
          <w:szCs w:val="28"/>
        </w:rPr>
      </w:pPr>
      <w:bookmarkStart w:id="4" w:name="_Toc21025_WPSOffice_Level1"/>
      <w:bookmarkStart w:id="5" w:name="_Toc32446"/>
      <w:r>
        <w:rPr>
          <w:rFonts w:hint="default" w:ascii="Times New Roman" w:hAnsi="Times New Roman" w:eastAsia="仿宋" w:cs="Times New Roman"/>
          <w:b/>
          <w:bCs/>
          <w:szCs w:val="28"/>
        </w:rPr>
        <w:t>1.总则</w:t>
      </w:r>
      <w:bookmarkEnd w:id="4"/>
      <w:bookmarkEnd w:id="5"/>
    </w:p>
    <w:p w14:paraId="0672300D">
      <w:pPr>
        <w:outlineLvl w:val="1"/>
        <w:rPr>
          <w:rFonts w:hint="default" w:ascii="Times New Roman" w:hAnsi="Times New Roman" w:eastAsia="仿宋" w:cs="Times New Roman"/>
          <w:szCs w:val="28"/>
        </w:rPr>
      </w:pPr>
      <w:bookmarkStart w:id="6" w:name="_Toc22848"/>
      <w:bookmarkStart w:id="7" w:name="_Toc22415_WPSOffice_Level2"/>
      <w:r>
        <w:rPr>
          <w:rFonts w:hint="default" w:ascii="Times New Roman" w:hAnsi="Times New Roman" w:eastAsia="仿宋" w:cs="Times New Roman"/>
          <w:b/>
          <w:bCs/>
          <w:szCs w:val="28"/>
        </w:rPr>
        <w:t>1.1编制目的</w:t>
      </w:r>
      <w:bookmarkEnd w:id="6"/>
      <w:bookmarkEnd w:id="7"/>
    </w:p>
    <w:p w14:paraId="65AA1080">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（1）为加强环境风险源的监控和防范，有效降低突发环境事件发生，同时在突发环境事件发生时能够及时采取有效措施，最大限度地减小环境污染。</w:t>
      </w:r>
    </w:p>
    <w:p w14:paraId="4847FE07">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（2）建立健全环境污染事故应急机制，提高企业应对涉及公共危机的突发环境污染事故的能力。</w:t>
      </w:r>
    </w:p>
    <w:p w14:paraId="0CE9323B">
      <w:pPr>
        <w:outlineLvl w:val="1"/>
        <w:rPr>
          <w:rFonts w:hint="default" w:ascii="Times New Roman" w:hAnsi="Times New Roman" w:eastAsia="仿宋" w:cs="Times New Roman"/>
          <w:b/>
          <w:bCs/>
          <w:szCs w:val="28"/>
        </w:rPr>
      </w:pPr>
      <w:bookmarkStart w:id="8" w:name="_Toc7523_WPSOffice_Level2"/>
      <w:bookmarkStart w:id="9" w:name="_Toc15319"/>
      <w:r>
        <w:rPr>
          <w:rFonts w:hint="default" w:ascii="Times New Roman" w:hAnsi="Times New Roman" w:eastAsia="仿宋" w:cs="Times New Roman"/>
          <w:b/>
          <w:bCs/>
          <w:szCs w:val="28"/>
        </w:rPr>
        <w:t>1.2编制依据</w:t>
      </w:r>
      <w:bookmarkEnd w:id="8"/>
      <w:bookmarkEnd w:id="9"/>
    </w:p>
    <w:p w14:paraId="6938B32F">
      <w:pPr>
        <w:rPr>
          <w:rFonts w:hint="default" w:ascii="Times New Roman" w:hAnsi="Times New Roman" w:eastAsia="仿宋" w:cs="Times New Roman"/>
          <w:szCs w:val="28"/>
        </w:rPr>
      </w:pPr>
      <w:bookmarkStart w:id="10" w:name="_Toc30786_WPSOffice_Level2"/>
      <w:r>
        <w:rPr>
          <w:rFonts w:hint="default" w:ascii="Times New Roman" w:hAnsi="Times New Roman" w:eastAsia="仿宋" w:cs="Times New Roman"/>
          <w:b/>
          <w:bCs/>
          <w:szCs w:val="28"/>
        </w:rPr>
        <w:t>1.2.1国家相关法律法规及指导性文件</w:t>
      </w:r>
    </w:p>
    <w:p w14:paraId="682C5BB4">
      <w:pPr>
        <w:pageBreakBefore w:val="0"/>
        <w:widowControl w:val="0"/>
        <w:kinsoku/>
        <w:wordWrap/>
        <w:overflowPunct/>
        <w:topLinePunct w:val="0"/>
        <w:autoSpaceDE/>
        <w:autoSpaceDN/>
        <w:bidi w:val="0"/>
        <w:spacing w:line="360" w:lineRule="auto"/>
        <w:ind w:left="0" w:leftChars="0" w:firstLine="560" w:firstLineChars="200"/>
        <w:rPr>
          <w:rFonts w:hint="default" w:ascii="Times New Roman" w:hAnsi="Times New Roman" w:eastAsia="仿宋" w:cs="Times New Roman"/>
          <w:color w:val="0000FF"/>
          <w:kern w:val="0"/>
          <w:sz w:val="28"/>
          <w:szCs w:val="28"/>
        </w:rPr>
      </w:pPr>
      <w:r>
        <w:rPr>
          <w:rFonts w:hint="default" w:ascii="Times New Roman" w:hAnsi="Times New Roman" w:eastAsia="仿宋" w:cs="Times New Roman"/>
          <w:color w:val="0000FF"/>
          <w:kern w:val="0"/>
          <w:sz w:val="28"/>
          <w:szCs w:val="28"/>
          <w:lang w:val="zh-CN"/>
        </w:rPr>
        <w:t>（</w:t>
      </w:r>
      <w:r>
        <w:rPr>
          <w:rFonts w:hint="default" w:ascii="Times New Roman" w:hAnsi="Times New Roman" w:eastAsia="仿宋" w:cs="Times New Roman"/>
          <w:color w:val="0000FF"/>
          <w:kern w:val="0"/>
          <w:sz w:val="28"/>
          <w:szCs w:val="28"/>
        </w:rPr>
        <w:t>1</w:t>
      </w:r>
      <w:r>
        <w:rPr>
          <w:rFonts w:hint="default" w:ascii="Times New Roman" w:hAnsi="Times New Roman" w:eastAsia="仿宋" w:cs="Times New Roman"/>
          <w:color w:val="0000FF"/>
          <w:kern w:val="0"/>
          <w:sz w:val="28"/>
          <w:szCs w:val="28"/>
          <w:lang w:val="zh-CN"/>
        </w:rPr>
        <w:t>）《中华人民共和国环境保护法》（2015年1月1日施行）；</w:t>
      </w:r>
    </w:p>
    <w:p w14:paraId="393F23CF">
      <w:pPr>
        <w:pageBreakBefore w:val="0"/>
        <w:widowControl w:val="0"/>
        <w:kinsoku/>
        <w:wordWrap/>
        <w:overflowPunct/>
        <w:topLinePunct w:val="0"/>
        <w:autoSpaceDE/>
        <w:autoSpaceDN/>
        <w:bidi w:val="0"/>
        <w:spacing w:line="360" w:lineRule="auto"/>
        <w:ind w:left="0" w:leftChars="0" w:firstLine="560" w:firstLineChars="200"/>
        <w:rPr>
          <w:rFonts w:hint="default" w:ascii="Times New Roman" w:hAnsi="Times New Roman" w:eastAsia="仿宋" w:cs="Times New Roman"/>
          <w:color w:val="0000FF"/>
          <w:kern w:val="0"/>
          <w:sz w:val="28"/>
          <w:szCs w:val="28"/>
        </w:rPr>
      </w:pPr>
      <w:r>
        <w:rPr>
          <w:rFonts w:hint="default" w:ascii="Times New Roman" w:hAnsi="Times New Roman" w:eastAsia="仿宋" w:cs="Times New Roman"/>
          <w:color w:val="0000FF"/>
          <w:kern w:val="0"/>
          <w:sz w:val="28"/>
          <w:szCs w:val="28"/>
        </w:rPr>
        <w:t>（2）《中华人民共和国突发事件应对法》（2007年11月1日施行）；</w:t>
      </w:r>
    </w:p>
    <w:p w14:paraId="603B70FA">
      <w:pPr>
        <w:pageBreakBefore w:val="0"/>
        <w:widowControl w:val="0"/>
        <w:kinsoku/>
        <w:wordWrap/>
        <w:overflowPunct/>
        <w:topLinePunct w:val="0"/>
        <w:autoSpaceDE/>
        <w:autoSpaceDN/>
        <w:bidi w:val="0"/>
        <w:spacing w:line="360" w:lineRule="auto"/>
        <w:ind w:left="0" w:leftChars="0" w:firstLine="560" w:firstLineChars="200"/>
        <w:rPr>
          <w:rFonts w:hint="default" w:ascii="Times New Roman" w:hAnsi="Times New Roman" w:eastAsia="仿宋" w:cs="Times New Roman"/>
          <w:color w:val="0000FF"/>
          <w:kern w:val="0"/>
          <w:sz w:val="28"/>
          <w:szCs w:val="28"/>
        </w:rPr>
      </w:pPr>
      <w:r>
        <w:rPr>
          <w:rFonts w:hint="default" w:ascii="Times New Roman" w:hAnsi="Times New Roman" w:eastAsia="仿宋" w:cs="Times New Roman"/>
          <w:color w:val="0000FF"/>
          <w:kern w:val="0"/>
          <w:sz w:val="28"/>
          <w:szCs w:val="28"/>
        </w:rPr>
        <w:t>（3）《中华人民共和国安全生产法》（2021年9月1日施行）；</w:t>
      </w:r>
    </w:p>
    <w:p w14:paraId="5BC25812">
      <w:pPr>
        <w:pageBreakBefore w:val="0"/>
        <w:widowControl w:val="0"/>
        <w:kinsoku/>
        <w:wordWrap/>
        <w:overflowPunct/>
        <w:topLinePunct w:val="0"/>
        <w:autoSpaceDE/>
        <w:autoSpaceDN/>
        <w:bidi w:val="0"/>
        <w:spacing w:line="360" w:lineRule="auto"/>
        <w:ind w:left="0" w:leftChars="0" w:firstLine="560" w:firstLineChars="200"/>
        <w:rPr>
          <w:rFonts w:hint="default" w:ascii="Times New Roman" w:hAnsi="Times New Roman" w:eastAsia="仿宋" w:cs="Times New Roman"/>
          <w:color w:val="0000FF"/>
          <w:kern w:val="0"/>
          <w:sz w:val="28"/>
          <w:szCs w:val="28"/>
        </w:rPr>
      </w:pPr>
      <w:r>
        <w:rPr>
          <w:rFonts w:hint="default" w:ascii="Times New Roman" w:hAnsi="Times New Roman" w:eastAsia="仿宋" w:cs="Times New Roman"/>
          <w:color w:val="0000FF"/>
          <w:kern w:val="0"/>
          <w:sz w:val="28"/>
          <w:szCs w:val="28"/>
        </w:rPr>
        <w:t>（4）《中华人民共和国水污染防治法》</w:t>
      </w:r>
      <w:r>
        <w:rPr>
          <w:rFonts w:hint="default" w:ascii="Times New Roman" w:hAnsi="Times New Roman" w:eastAsia="仿宋" w:cs="Times New Roman"/>
          <w:color w:val="0000FF"/>
          <w:kern w:val="0"/>
          <w:sz w:val="28"/>
          <w:szCs w:val="28"/>
          <w:lang w:val="zh-CN"/>
        </w:rPr>
        <w:t>（201</w:t>
      </w:r>
      <w:r>
        <w:rPr>
          <w:rFonts w:hint="default" w:ascii="Times New Roman" w:hAnsi="Times New Roman" w:eastAsia="仿宋" w:cs="Times New Roman"/>
          <w:color w:val="0000FF"/>
          <w:kern w:val="0"/>
          <w:sz w:val="28"/>
          <w:szCs w:val="28"/>
        </w:rPr>
        <w:t>7年修正</w:t>
      </w:r>
      <w:r>
        <w:rPr>
          <w:rFonts w:hint="default" w:ascii="Times New Roman" w:hAnsi="Times New Roman" w:eastAsia="仿宋" w:cs="Times New Roman"/>
          <w:color w:val="0000FF"/>
          <w:kern w:val="0"/>
          <w:sz w:val="28"/>
          <w:szCs w:val="28"/>
          <w:lang w:val="zh-CN"/>
        </w:rPr>
        <w:t>）</w:t>
      </w:r>
      <w:r>
        <w:rPr>
          <w:rFonts w:hint="default" w:ascii="Times New Roman" w:hAnsi="Times New Roman" w:eastAsia="仿宋" w:cs="Times New Roman"/>
          <w:color w:val="0000FF"/>
          <w:kern w:val="0"/>
          <w:sz w:val="28"/>
          <w:szCs w:val="28"/>
        </w:rPr>
        <w:t>；</w:t>
      </w:r>
    </w:p>
    <w:p w14:paraId="6AC2CB7C">
      <w:pPr>
        <w:pageBreakBefore w:val="0"/>
        <w:widowControl w:val="0"/>
        <w:kinsoku/>
        <w:wordWrap/>
        <w:overflowPunct/>
        <w:topLinePunct w:val="0"/>
        <w:autoSpaceDE/>
        <w:autoSpaceDN/>
        <w:bidi w:val="0"/>
        <w:spacing w:line="360" w:lineRule="auto"/>
        <w:ind w:left="0" w:leftChars="0" w:firstLine="560" w:firstLineChars="200"/>
        <w:rPr>
          <w:rFonts w:hint="default" w:ascii="Times New Roman" w:hAnsi="Times New Roman" w:eastAsia="仿宋" w:cs="Times New Roman"/>
          <w:color w:val="0000FF"/>
          <w:kern w:val="0"/>
          <w:sz w:val="28"/>
          <w:szCs w:val="28"/>
        </w:rPr>
      </w:pPr>
      <w:r>
        <w:rPr>
          <w:rFonts w:hint="default" w:ascii="Times New Roman" w:hAnsi="Times New Roman" w:eastAsia="仿宋" w:cs="Times New Roman"/>
          <w:color w:val="0000FF"/>
          <w:kern w:val="0"/>
          <w:sz w:val="28"/>
          <w:szCs w:val="28"/>
        </w:rPr>
        <w:t>（5）《中华人民共和国大气污染防治法》（2018年修正）；</w:t>
      </w:r>
    </w:p>
    <w:p w14:paraId="146F5A4D">
      <w:pPr>
        <w:pageBreakBefore w:val="0"/>
        <w:widowControl w:val="0"/>
        <w:kinsoku/>
        <w:wordWrap/>
        <w:overflowPunct/>
        <w:topLinePunct w:val="0"/>
        <w:autoSpaceDE/>
        <w:autoSpaceDN/>
        <w:bidi w:val="0"/>
        <w:spacing w:line="360" w:lineRule="auto"/>
        <w:ind w:left="0" w:leftChars="0" w:firstLine="560" w:firstLineChars="200"/>
        <w:rPr>
          <w:rFonts w:hint="default" w:ascii="Times New Roman" w:hAnsi="Times New Roman" w:eastAsia="仿宋" w:cs="Times New Roman"/>
          <w:color w:val="0000FF"/>
          <w:kern w:val="0"/>
          <w:sz w:val="28"/>
          <w:szCs w:val="28"/>
        </w:rPr>
      </w:pPr>
      <w:r>
        <w:rPr>
          <w:rFonts w:hint="default" w:ascii="Times New Roman" w:hAnsi="Times New Roman" w:eastAsia="仿宋" w:cs="Times New Roman"/>
          <w:color w:val="0000FF"/>
          <w:kern w:val="0"/>
          <w:sz w:val="28"/>
          <w:szCs w:val="28"/>
          <w:lang w:val="zh-CN"/>
        </w:rPr>
        <w:t>（</w:t>
      </w:r>
      <w:r>
        <w:rPr>
          <w:rFonts w:hint="default" w:ascii="Times New Roman" w:hAnsi="Times New Roman" w:eastAsia="仿宋" w:cs="Times New Roman"/>
          <w:color w:val="0000FF"/>
          <w:kern w:val="0"/>
          <w:sz w:val="28"/>
          <w:szCs w:val="28"/>
        </w:rPr>
        <w:t>6</w:t>
      </w:r>
      <w:r>
        <w:rPr>
          <w:rFonts w:hint="default" w:ascii="Times New Roman" w:hAnsi="Times New Roman" w:eastAsia="仿宋" w:cs="Times New Roman"/>
          <w:color w:val="0000FF"/>
          <w:kern w:val="0"/>
          <w:sz w:val="28"/>
          <w:szCs w:val="28"/>
          <w:lang w:val="zh-CN"/>
        </w:rPr>
        <w:t>）《中华人民共和国固体废物污染环境防治法》（2020年9月1日施行）；</w:t>
      </w:r>
    </w:p>
    <w:p w14:paraId="3ED4CF36">
      <w:pPr>
        <w:pageBreakBefore w:val="0"/>
        <w:widowControl w:val="0"/>
        <w:kinsoku/>
        <w:wordWrap/>
        <w:overflowPunct/>
        <w:topLinePunct w:val="0"/>
        <w:autoSpaceDE/>
        <w:autoSpaceDN/>
        <w:bidi w:val="0"/>
        <w:spacing w:line="360" w:lineRule="auto"/>
        <w:ind w:left="0" w:leftChars="0" w:firstLine="560" w:firstLineChars="200"/>
        <w:rPr>
          <w:rFonts w:hint="default" w:ascii="Times New Roman" w:hAnsi="Times New Roman" w:eastAsia="仿宋" w:cs="Times New Roman"/>
          <w:color w:val="0000FF"/>
          <w:kern w:val="0"/>
          <w:sz w:val="28"/>
          <w:szCs w:val="28"/>
          <w:lang w:val="zh-CN"/>
        </w:rPr>
      </w:pPr>
      <w:r>
        <w:rPr>
          <w:rFonts w:hint="default" w:ascii="Times New Roman" w:hAnsi="Times New Roman" w:eastAsia="仿宋" w:cs="Times New Roman"/>
          <w:color w:val="0000FF"/>
          <w:kern w:val="0"/>
          <w:sz w:val="28"/>
          <w:szCs w:val="28"/>
          <w:lang w:val="zh-CN"/>
        </w:rPr>
        <w:t>（</w:t>
      </w:r>
      <w:r>
        <w:rPr>
          <w:rFonts w:hint="default" w:ascii="Times New Roman" w:hAnsi="Times New Roman" w:eastAsia="仿宋" w:cs="Times New Roman"/>
          <w:color w:val="0000FF"/>
          <w:kern w:val="0"/>
          <w:sz w:val="28"/>
          <w:szCs w:val="28"/>
        </w:rPr>
        <w:t>7</w:t>
      </w:r>
      <w:r>
        <w:rPr>
          <w:rFonts w:hint="default" w:ascii="Times New Roman" w:hAnsi="Times New Roman" w:eastAsia="仿宋" w:cs="Times New Roman"/>
          <w:color w:val="0000FF"/>
          <w:kern w:val="0"/>
          <w:sz w:val="28"/>
          <w:szCs w:val="28"/>
          <w:lang w:val="zh-CN"/>
        </w:rPr>
        <w:t>）《中华人民共和国土壤污染防治法》（2019年1月1日施行）。</w:t>
      </w:r>
    </w:p>
    <w:p w14:paraId="0F8882EE">
      <w:pPr>
        <w:pageBreakBefore w:val="0"/>
        <w:widowControl w:val="0"/>
        <w:kinsoku/>
        <w:wordWrap/>
        <w:overflowPunct/>
        <w:topLinePunct w:val="0"/>
        <w:autoSpaceDE/>
        <w:autoSpaceDN/>
        <w:bidi w:val="0"/>
        <w:spacing w:line="360" w:lineRule="auto"/>
        <w:ind w:left="0" w:leftChars="0" w:firstLine="560" w:firstLineChars="200"/>
        <w:rPr>
          <w:rFonts w:hint="default" w:ascii="Times New Roman" w:hAnsi="Times New Roman" w:eastAsia="仿宋" w:cs="Times New Roman"/>
          <w:color w:val="0000FF"/>
          <w:kern w:val="0"/>
          <w:sz w:val="28"/>
          <w:szCs w:val="28"/>
          <w:lang w:val="zh-CN"/>
        </w:rPr>
      </w:pPr>
      <w:r>
        <w:rPr>
          <w:rFonts w:hint="default" w:ascii="Times New Roman" w:hAnsi="Times New Roman" w:eastAsia="仿宋" w:cs="Times New Roman"/>
          <w:color w:val="0000FF"/>
          <w:kern w:val="0"/>
          <w:sz w:val="28"/>
          <w:szCs w:val="28"/>
          <w:lang w:val="zh-CN"/>
        </w:rPr>
        <w:t>（</w:t>
      </w:r>
      <w:r>
        <w:rPr>
          <w:rFonts w:hint="eastAsia" w:ascii="Times New Roman" w:hAnsi="Times New Roman" w:cs="Times New Roman"/>
          <w:color w:val="0000FF"/>
          <w:kern w:val="0"/>
          <w:sz w:val="28"/>
          <w:szCs w:val="28"/>
          <w:lang w:val="en-US" w:eastAsia="zh-CN"/>
        </w:rPr>
        <w:t>8</w:t>
      </w:r>
      <w:r>
        <w:rPr>
          <w:rFonts w:hint="default" w:ascii="Times New Roman" w:hAnsi="Times New Roman" w:eastAsia="仿宋" w:cs="Times New Roman"/>
          <w:color w:val="0000FF"/>
          <w:kern w:val="0"/>
          <w:sz w:val="28"/>
          <w:szCs w:val="28"/>
          <w:lang w:val="zh-CN"/>
        </w:rPr>
        <w:t>）《突发环境事件应急管理办法》（</w:t>
      </w:r>
      <w:r>
        <w:rPr>
          <w:rFonts w:hint="default" w:ascii="Times New Roman" w:hAnsi="Times New Roman" w:eastAsia="仿宋" w:cs="Times New Roman"/>
          <w:color w:val="0000FF"/>
          <w:kern w:val="0"/>
          <w:sz w:val="28"/>
          <w:szCs w:val="28"/>
        </w:rPr>
        <w:t>2015年6月5日施行</w:t>
      </w:r>
      <w:r>
        <w:rPr>
          <w:rFonts w:hint="default" w:ascii="Times New Roman" w:hAnsi="Times New Roman" w:eastAsia="仿宋" w:cs="Times New Roman"/>
          <w:color w:val="0000FF"/>
          <w:kern w:val="0"/>
          <w:sz w:val="28"/>
          <w:szCs w:val="28"/>
          <w:lang w:val="zh-CN"/>
        </w:rPr>
        <w:t>）；</w:t>
      </w:r>
    </w:p>
    <w:p w14:paraId="4265F592">
      <w:pPr>
        <w:pageBreakBefore w:val="0"/>
        <w:widowControl w:val="0"/>
        <w:kinsoku/>
        <w:wordWrap/>
        <w:overflowPunct/>
        <w:topLinePunct w:val="0"/>
        <w:autoSpaceDE/>
        <w:autoSpaceDN/>
        <w:bidi w:val="0"/>
        <w:spacing w:line="360" w:lineRule="auto"/>
        <w:ind w:left="0" w:leftChars="0" w:firstLine="560" w:firstLineChars="200"/>
        <w:rPr>
          <w:rFonts w:hint="default" w:ascii="Times New Roman" w:hAnsi="Times New Roman" w:eastAsia="仿宋" w:cs="Times New Roman"/>
          <w:color w:val="0000FF"/>
          <w:kern w:val="0"/>
          <w:sz w:val="28"/>
          <w:szCs w:val="28"/>
          <w:lang w:val="zh-CN"/>
        </w:rPr>
      </w:pPr>
      <w:r>
        <w:rPr>
          <w:rFonts w:hint="default" w:ascii="Times New Roman" w:hAnsi="Times New Roman" w:eastAsia="仿宋" w:cs="Times New Roman"/>
          <w:color w:val="0000FF"/>
          <w:kern w:val="0"/>
          <w:sz w:val="28"/>
          <w:szCs w:val="28"/>
          <w:lang w:val="zh-CN"/>
        </w:rPr>
        <w:t>（</w:t>
      </w:r>
      <w:r>
        <w:rPr>
          <w:rFonts w:hint="eastAsia" w:ascii="Times New Roman" w:hAnsi="Times New Roman" w:cs="Times New Roman"/>
          <w:color w:val="0000FF"/>
          <w:kern w:val="0"/>
          <w:sz w:val="28"/>
          <w:szCs w:val="28"/>
          <w:lang w:val="en-US" w:eastAsia="zh-CN"/>
        </w:rPr>
        <w:t>9</w:t>
      </w:r>
      <w:r>
        <w:rPr>
          <w:rFonts w:hint="default" w:ascii="Times New Roman" w:hAnsi="Times New Roman" w:eastAsia="仿宋" w:cs="Times New Roman"/>
          <w:color w:val="0000FF"/>
          <w:kern w:val="0"/>
          <w:sz w:val="28"/>
          <w:szCs w:val="28"/>
          <w:lang w:val="zh-CN"/>
        </w:rPr>
        <w:t>）《突发环境事件信息报告办法》（</w:t>
      </w:r>
      <w:r>
        <w:rPr>
          <w:rFonts w:hint="default" w:ascii="Times New Roman" w:hAnsi="Times New Roman" w:eastAsia="仿宋" w:cs="Times New Roman"/>
          <w:color w:val="0000FF"/>
          <w:kern w:val="0"/>
          <w:sz w:val="28"/>
          <w:szCs w:val="28"/>
        </w:rPr>
        <w:t>2011年5月1日施行</w:t>
      </w:r>
      <w:r>
        <w:rPr>
          <w:rFonts w:hint="default" w:ascii="Times New Roman" w:hAnsi="Times New Roman" w:eastAsia="仿宋" w:cs="Times New Roman"/>
          <w:color w:val="0000FF"/>
          <w:kern w:val="0"/>
          <w:sz w:val="28"/>
          <w:szCs w:val="28"/>
          <w:lang w:val="zh-CN"/>
        </w:rPr>
        <w:t>）；</w:t>
      </w:r>
    </w:p>
    <w:p w14:paraId="5F743977">
      <w:pPr>
        <w:pageBreakBefore w:val="0"/>
        <w:widowControl w:val="0"/>
        <w:kinsoku/>
        <w:wordWrap/>
        <w:overflowPunct/>
        <w:topLinePunct w:val="0"/>
        <w:autoSpaceDE/>
        <w:autoSpaceDN/>
        <w:bidi w:val="0"/>
        <w:spacing w:line="360" w:lineRule="auto"/>
        <w:ind w:left="0" w:leftChars="0" w:firstLine="560" w:firstLineChars="200"/>
        <w:rPr>
          <w:rFonts w:hint="default" w:ascii="Times New Roman" w:hAnsi="Times New Roman" w:eastAsia="仿宋" w:cs="Times New Roman"/>
          <w:color w:val="0000FF"/>
          <w:kern w:val="0"/>
          <w:sz w:val="28"/>
          <w:szCs w:val="28"/>
          <w:lang w:val="zh-CN"/>
        </w:rPr>
      </w:pPr>
      <w:r>
        <w:rPr>
          <w:rFonts w:hint="default" w:ascii="Times New Roman" w:hAnsi="Times New Roman" w:eastAsia="仿宋" w:cs="Times New Roman"/>
          <w:color w:val="0000FF"/>
          <w:kern w:val="0"/>
          <w:sz w:val="28"/>
          <w:szCs w:val="28"/>
          <w:lang w:val="zh-CN"/>
        </w:rPr>
        <w:t>（</w:t>
      </w:r>
      <w:r>
        <w:rPr>
          <w:rFonts w:hint="eastAsia" w:ascii="Times New Roman" w:hAnsi="Times New Roman" w:cs="Times New Roman"/>
          <w:color w:val="0000FF"/>
          <w:kern w:val="0"/>
          <w:sz w:val="28"/>
          <w:szCs w:val="28"/>
          <w:lang w:val="en-US" w:eastAsia="zh-CN"/>
        </w:rPr>
        <w:t>10</w:t>
      </w:r>
      <w:r>
        <w:rPr>
          <w:rFonts w:hint="default" w:ascii="Times New Roman" w:hAnsi="Times New Roman" w:eastAsia="仿宋" w:cs="Times New Roman"/>
          <w:color w:val="0000FF"/>
          <w:kern w:val="0"/>
          <w:sz w:val="28"/>
          <w:szCs w:val="28"/>
          <w:lang w:val="zh-CN"/>
        </w:rPr>
        <w:t>）《突发环境事件调查处理办法》（2015年3月1日</w:t>
      </w:r>
      <w:r>
        <w:rPr>
          <w:rFonts w:hint="default" w:ascii="Times New Roman" w:hAnsi="Times New Roman" w:eastAsia="仿宋" w:cs="Times New Roman"/>
          <w:color w:val="0000FF"/>
          <w:kern w:val="0"/>
          <w:sz w:val="28"/>
          <w:szCs w:val="28"/>
        </w:rPr>
        <w:t>施行</w:t>
      </w:r>
      <w:r>
        <w:rPr>
          <w:rFonts w:hint="default" w:ascii="Times New Roman" w:hAnsi="Times New Roman" w:eastAsia="仿宋" w:cs="Times New Roman"/>
          <w:color w:val="0000FF"/>
          <w:kern w:val="0"/>
          <w:sz w:val="28"/>
          <w:szCs w:val="28"/>
          <w:lang w:val="zh-CN"/>
        </w:rPr>
        <w:t>）</w:t>
      </w:r>
    </w:p>
    <w:p w14:paraId="21D3B5E7">
      <w:pPr>
        <w:pageBreakBefore w:val="0"/>
        <w:widowControl w:val="0"/>
        <w:kinsoku/>
        <w:wordWrap/>
        <w:overflowPunct/>
        <w:topLinePunct w:val="0"/>
        <w:autoSpaceDE/>
        <w:autoSpaceDN/>
        <w:bidi w:val="0"/>
        <w:spacing w:line="360" w:lineRule="auto"/>
        <w:ind w:left="0" w:leftChars="0" w:firstLine="560" w:firstLineChars="200"/>
        <w:rPr>
          <w:rFonts w:hint="default" w:ascii="Times New Roman" w:hAnsi="Times New Roman" w:eastAsia="仿宋" w:cs="Times New Roman"/>
          <w:color w:val="0000FF"/>
          <w:kern w:val="0"/>
          <w:sz w:val="28"/>
          <w:szCs w:val="28"/>
          <w:lang w:val="zh-CN"/>
        </w:rPr>
      </w:pPr>
      <w:r>
        <w:rPr>
          <w:rFonts w:hint="default" w:ascii="Times New Roman" w:hAnsi="Times New Roman" w:eastAsia="仿宋" w:cs="Times New Roman"/>
          <w:color w:val="0000FF"/>
          <w:kern w:val="0"/>
          <w:sz w:val="28"/>
          <w:szCs w:val="28"/>
          <w:lang w:val="zh-CN"/>
        </w:rPr>
        <w:t>（</w:t>
      </w:r>
      <w:r>
        <w:rPr>
          <w:rFonts w:hint="eastAsia" w:ascii="Times New Roman" w:hAnsi="Times New Roman" w:cs="Times New Roman"/>
          <w:color w:val="0000FF"/>
          <w:kern w:val="0"/>
          <w:sz w:val="28"/>
          <w:szCs w:val="28"/>
          <w:lang w:val="en-US" w:eastAsia="zh-CN"/>
        </w:rPr>
        <w:t>11</w:t>
      </w:r>
      <w:r>
        <w:rPr>
          <w:rFonts w:hint="default" w:ascii="Times New Roman" w:hAnsi="Times New Roman" w:eastAsia="仿宋" w:cs="Times New Roman"/>
          <w:color w:val="0000FF"/>
          <w:kern w:val="0"/>
          <w:sz w:val="28"/>
          <w:szCs w:val="28"/>
          <w:lang w:val="zh-CN"/>
        </w:rPr>
        <w:t>）</w:t>
      </w:r>
      <w:r>
        <w:rPr>
          <w:rFonts w:hint="eastAsia" w:ascii="Times New Roman" w:hAnsi="Times New Roman" w:eastAsia="仿宋" w:cs="Times New Roman"/>
          <w:color w:val="0000FF"/>
          <w:spacing w:val="-12"/>
          <w:sz w:val="28"/>
          <w:szCs w:val="28"/>
          <w:lang w:val="en-US" w:eastAsia="zh-CN"/>
        </w:rPr>
        <w:t>《突发事件应急预案管理办法》（国办发[2024]5号）</w:t>
      </w:r>
      <w:r>
        <w:rPr>
          <w:rFonts w:hint="default" w:ascii="Times New Roman" w:hAnsi="Times New Roman" w:eastAsia="仿宋" w:cs="Times New Roman"/>
          <w:color w:val="0000FF"/>
          <w:kern w:val="0"/>
          <w:sz w:val="28"/>
          <w:szCs w:val="28"/>
          <w:lang w:val="zh-CN"/>
        </w:rPr>
        <w:t>；</w:t>
      </w:r>
    </w:p>
    <w:p w14:paraId="73B44A07">
      <w:pPr>
        <w:pageBreakBefore w:val="0"/>
        <w:widowControl w:val="0"/>
        <w:kinsoku/>
        <w:wordWrap/>
        <w:overflowPunct/>
        <w:topLinePunct w:val="0"/>
        <w:autoSpaceDE/>
        <w:autoSpaceDN/>
        <w:bidi w:val="0"/>
        <w:spacing w:line="360" w:lineRule="auto"/>
        <w:ind w:left="0" w:leftChars="0" w:firstLine="560" w:firstLineChars="200"/>
        <w:rPr>
          <w:rFonts w:hint="default" w:ascii="Times New Roman" w:hAnsi="Times New Roman" w:eastAsia="仿宋" w:cs="Times New Roman"/>
          <w:color w:val="0000FF"/>
          <w:kern w:val="0"/>
          <w:sz w:val="28"/>
          <w:szCs w:val="28"/>
          <w:lang w:val="zh-CN"/>
        </w:rPr>
      </w:pPr>
      <w:r>
        <w:rPr>
          <w:rFonts w:hint="default" w:ascii="Times New Roman" w:hAnsi="Times New Roman" w:eastAsia="仿宋" w:cs="Times New Roman"/>
          <w:color w:val="0000FF"/>
          <w:kern w:val="0"/>
          <w:sz w:val="28"/>
          <w:szCs w:val="28"/>
          <w:lang w:val="zh-CN"/>
        </w:rPr>
        <w:t>（</w:t>
      </w:r>
      <w:r>
        <w:rPr>
          <w:rFonts w:hint="eastAsia" w:ascii="Times New Roman" w:hAnsi="Times New Roman" w:cs="Times New Roman"/>
          <w:color w:val="0000FF"/>
          <w:kern w:val="0"/>
          <w:sz w:val="28"/>
          <w:szCs w:val="28"/>
          <w:lang w:val="en-US" w:eastAsia="zh-CN"/>
        </w:rPr>
        <w:t>12</w:t>
      </w:r>
      <w:r>
        <w:rPr>
          <w:rFonts w:hint="default" w:ascii="Times New Roman" w:hAnsi="Times New Roman" w:eastAsia="仿宋" w:cs="Times New Roman"/>
          <w:color w:val="0000FF"/>
          <w:kern w:val="0"/>
          <w:sz w:val="28"/>
          <w:szCs w:val="28"/>
          <w:lang w:val="zh-CN"/>
        </w:rPr>
        <w:t>）《国务院关于加强环境保护重点工作的意见》（国发[2011]35号）；</w:t>
      </w:r>
    </w:p>
    <w:p w14:paraId="37352FDB">
      <w:pPr>
        <w:pageBreakBefore w:val="0"/>
        <w:widowControl w:val="0"/>
        <w:kinsoku/>
        <w:wordWrap/>
        <w:overflowPunct/>
        <w:topLinePunct w:val="0"/>
        <w:autoSpaceDE/>
        <w:autoSpaceDN/>
        <w:bidi w:val="0"/>
        <w:spacing w:line="360" w:lineRule="auto"/>
        <w:ind w:left="0" w:leftChars="0" w:firstLine="560" w:firstLineChars="200"/>
        <w:rPr>
          <w:rFonts w:hint="default" w:ascii="Times New Roman" w:hAnsi="Times New Roman" w:eastAsia="仿宋" w:cs="Times New Roman"/>
          <w:color w:val="0000FF"/>
          <w:kern w:val="0"/>
          <w:sz w:val="28"/>
          <w:szCs w:val="28"/>
          <w:lang w:val="zh-CN"/>
        </w:rPr>
      </w:pPr>
      <w:r>
        <w:rPr>
          <w:rFonts w:hint="default" w:ascii="Times New Roman" w:hAnsi="Times New Roman" w:eastAsia="仿宋" w:cs="Times New Roman"/>
          <w:color w:val="0000FF"/>
          <w:kern w:val="0"/>
          <w:sz w:val="28"/>
          <w:szCs w:val="28"/>
          <w:lang w:val="zh-CN"/>
        </w:rPr>
        <w:t>（</w:t>
      </w:r>
      <w:r>
        <w:rPr>
          <w:rFonts w:hint="eastAsia" w:ascii="Times New Roman" w:hAnsi="Times New Roman" w:cs="Times New Roman"/>
          <w:color w:val="0000FF"/>
          <w:kern w:val="0"/>
          <w:sz w:val="28"/>
          <w:szCs w:val="28"/>
          <w:lang w:val="en-US" w:eastAsia="zh-CN"/>
        </w:rPr>
        <w:t>13</w:t>
      </w:r>
      <w:r>
        <w:rPr>
          <w:rFonts w:hint="default" w:ascii="Times New Roman" w:hAnsi="Times New Roman" w:eastAsia="仿宋" w:cs="Times New Roman"/>
          <w:color w:val="0000FF"/>
          <w:kern w:val="0"/>
          <w:sz w:val="28"/>
          <w:szCs w:val="28"/>
          <w:lang w:val="zh-CN"/>
        </w:rPr>
        <w:t>）《关于印发〈企业事业单位突发环境事件应急预案备案管理办法（试行）〉的通知》（环发[2015]4号）；</w:t>
      </w:r>
    </w:p>
    <w:p w14:paraId="52358230">
      <w:pPr>
        <w:pageBreakBefore w:val="0"/>
        <w:widowControl w:val="0"/>
        <w:kinsoku/>
        <w:wordWrap/>
        <w:overflowPunct/>
        <w:topLinePunct w:val="0"/>
        <w:autoSpaceDE/>
        <w:autoSpaceDN/>
        <w:bidi w:val="0"/>
        <w:spacing w:line="360" w:lineRule="auto"/>
        <w:ind w:left="0" w:leftChars="0" w:firstLine="560" w:firstLineChars="200"/>
        <w:rPr>
          <w:rFonts w:hint="default" w:ascii="Times New Roman" w:hAnsi="Times New Roman" w:eastAsia="仿宋" w:cs="Times New Roman"/>
          <w:color w:val="0000FF"/>
          <w:kern w:val="0"/>
          <w:sz w:val="28"/>
          <w:szCs w:val="28"/>
          <w:lang w:val="zh-CN"/>
        </w:rPr>
      </w:pPr>
      <w:r>
        <w:rPr>
          <w:rFonts w:hint="default" w:ascii="Times New Roman" w:hAnsi="Times New Roman" w:eastAsia="仿宋" w:cs="Times New Roman"/>
          <w:color w:val="0000FF"/>
          <w:kern w:val="0"/>
          <w:sz w:val="28"/>
          <w:szCs w:val="28"/>
          <w:lang w:val="zh-CN"/>
        </w:rPr>
        <w:t>（</w:t>
      </w:r>
      <w:r>
        <w:rPr>
          <w:rFonts w:hint="eastAsia" w:ascii="Times New Roman" w:hAnsi="Times New Roman" w:cs="Times New Roman"/>
          <w:color w:val="0000FF"/>
          <w:kern w:val="0"/>
          <w:sz w:val="28"/>
          <w:szCs w:val="28"/>
          <w:lang w:val="en-US" w:eastAsia="zh-CN"/>
        </w:rPr>
        <w:t>14</w:t>
      </w:r>
      <w:r>
        <w:rPr>
          <w:rFonts w:hint="default" w:ascii="Times New Roman" w:hAnsi="Times New Roman" w:eastAsia="仿宋" w:cs="Times New Roman"/>
          <w:color w:val="0000FF"/>
          <w:kern w:val="0"/>
          <w:sz w:val="28"/>
          <w:szCs w:val="28"/>
          <w:lang w:val="zh-CN"/>
        </w:rPr>
        <w:t>）《危险化学品目录》（2015年5月1日施行）（国家安全生产监督管理局等8部门公告2015年第5号）；</w:t>
      </w:r>
    </w:p>
    <w:p w14:paraId="293AAA0E">
      <w:pPr>
        <w:pageBreakBefore w:val="0"/>
        <w:widowControl w:val="0"/>
        <w:kinsoku/>
        <w:wordWrap/>
        <w:overflowPunct/>
        <w:topLinePunct w:val="0"/>
        <w:autoSpaceDE/>
        <w:autoSpaceDN/>
        <w:bidi w:val="0"/>
        <w:spacing w:line="360" w:lineRule="auto"/>
        <w:ind w:left="0" w:leftChars="0" w:firstLine="560" w:firstLineChars="200"/>
        <w:rPr>
          <w:rFonts w:hint="default" w:ascii="Times New Roman" w:hAnsi="Times New Roman" w:eastAsia="仿宋" w:cs="Times New Roman"/>
          <w:color w:val="0000FF"/>
          <w:kern w:val="0"/>
          <w:sz w:val="28"/>
          <w:szCs w:val="28"/>
          <w:lang w:val="zh-CN"/>
        </w:rPr>
      </w:pPr>
      <w:r>
        <w:rPr>
          <w:rFonts w:hint="default" w:ascii="Times New Roman" w:hAnsi="Times New Roman" w:eastAsia="仿宋" w:cs="Times New Roman"/>
          <w:color w:val="0000FF"/>
          <w:kern w:val="0"/>
          <w:sz w:val="28"/>
          <w:szCs w:val="28"/>
          <w:lang w:val="zh-CN"/>
        </w:rPr>
        <w:t>（</w:t>
      </w:r>
      <w:r>
        <w:rPr>
          <w:rFonts w:hint="eastAsia" w:ascii="Times New Roman" w:hAnsi="Times New Roman" w:cs="Times New Roman"/>
          <w:color w:val="0000FF"/>
          <w:kern w:val="0"/>
          <w:sz w:val="28"/>
          <w:szCs w:val="28"/>
          <w:lang w:val="en-US" w:eastAsia="zh-CN"/>
        </w:rPr>
        <w:t>15</w:t>
      </w:r>
      <w:r>
        <w:rPr>
          <w:rFonts w:hint="default" w:ascii="Times New Roman" w:hAnsi="Times New Roman" w:eastAsia="仿宋" w:cs="Times New Roman"/>
          <w:color w:val="0000FF"/>
          <w:kern w:val="0"/>
          <w:sz w:val="28"/>
          <w:szCs w:val="28"/>
          <w:lang w:val="zh-CN"/>
        </w:rPr>
        <w:t>）《国家危险废物名录（2021年版）》（部令第15号）。</w:t>
      </w:r>
    </w:p>
    <w:p w14:paraId="07EBDF37">
      <w:pPr>
        <w:rPr>
          <w:rFonts w:hint="default" w:ascii="Times New Roman" w:hAnsi="Times New Roman" w:eastAsia="仿宋" w:cs="Times New Roman"/>
          <w:szCs w:val="28"/>
        </w:rPr>
      </w:pPr>
      <w:r>
        <w:rPr>
          <w:rFonts w:hint="default" w:ascii="Times New Roman" w:hAnsi="Times New Roman" w:eastAsia="仿宋" w:cs="Times New Roman"/>
          <w:b/>
          <w:bCs/>
          <w:szCs w:val="28"/>
        </w:rPr>
        <w:t>1.2.2天津市相关法律法规及指导性文件</w:t>
      </w:r>
    </w:p>
    <w:p w14:paraId="7EDEF594">
      <w:pPr>
        <w:numPr>
          <w:ilvl w:val="0"/>
          <w:numId w:val="1"/>
        </w:numPr>
        <w:rPr>
          <w:rFonts w:hint="default" w:ascii="Times New Roman" w:hAnsi="Times New Roman" w:eastAsia="仿宋" w:cs="Times New Roman"/>
        </w:rPr>
      </w:pPr>
      <w:r>
        <w:rPr>
          <w:rFonts w:hint="default" w:ascii="Times New Roman" w:hAnsi="Times New Roman" w:eastAsia="仿宋" w:cs="Times New Roman"/>
        </w:rPr>
        <w:t>《天津市突发环境事件应急预案管理办法》（2014年5月27日施行）；</w:t>
      </w:r>
    </w:p>
    <w:p w14:paraId="4A801C3C">
      <w:pPr>
        <w:numPr>
          <w:ilvl w:val="0"/>
          <w:numId w:val="1"/>
        </w:numPr>
        <w:rPr>
          <w:rFonts w:hint="default" w:ascii="Times New Roman" w:hAnsi="Times New Roman" w:eastAsia="仿宋" w:cs="Times New Roman"/>
        </w:rPr>
      </w:pPr>
      <w:r>
        <w:rPr>
          <w:rFonts w:hint="default" w:ascii="Times New Roman" w:hAnsi="Times New Roman" w:eastAsia="仿宋" w:cs="Times New Roman"/>
        </w:rPr>
        <w:t>《市生态环境局关于做好企业事业单位突发环境事件应急预案备案管理工作的通知》（津环保应[2015]40号）；</w:t>
      </w:r>
    </w:p>
    <w:p w14:paraId="2FC8122C">
      <w:pPr>
        <w:numPr>
          <w:ilvl w:val="0"/>
          <w:numId w:val="1"/>
        </w:numPr>
        <w:rPr>
          <w:rFonts w:hint="default" w:ascii="Times New Roman" w:hAnsi="Times New Roman" w:eastAsia="仿宋" w:cs="Times New Roman"/>
        </w:rPr>
      </w:pPr>
      <w:r>
        <w:rPr>
          <w:rFonts w:hint="default" w:ascii="Times New Roman" w:hAnsi="Times New Roman" w:eastAsia="仿宋" w:cs="Times New Roman"/>
        </w:rPr>
        <w:t>《天津市突发事件总体应急预案》（2021年1月9日起施行）；</w:t>
      </w:r>
    </w:p>
    <w:p w14:paraId="296DFCCD">
      <w:pPr>
        <w:numPr>
          <w:ilvl w:val="0"/>
          <w:numId w:val="1"/>
        </w:numPr>
        <w:rPr>
          <w:rFonts w:hint="default" w:ascii="Times New Roman" w:hAnsi="Times New Roman" w:eastAsia="仿宋" w:cs="Times New Roman"/>
        </w:rPr>
      </w:pPr>
      <w:r>
        <w:rPr>
          <w:rFonts w:hint="default" w:ascii="Times New Roman" w:hAnsi="Times New Roman" w:eastAsia="仿宋" w:cs="Times New Roman"/>
        </w:rPr>
        <w:t>《天津市生态环境保护条例》（2019年3月1日起施行）；</w:t>
      </w:r>
    </w:p>
    <w:p w14:paraId="7B87FDA4">
      <w:pPr>
        <w:numPr>
          <w:ilvl w:val="0"/>
          <w:numId w:val="1"/>
        </w:numPr>
        <w:rPr>
          <w:rFonts w:hint="default" w:ascii="Times New Roman" w:hAnsi="Times New Roman" w:eastAsia="仿宋" w:cs="Times New Roman"/>
        </w:rPr>
      </w:pPr>
      <w:r>
        <w:rPr>
          <w:rFonts w:hint="default" w:ascii="Times New Roman" w:hAnsi="Times New Roman" w:eastAsia="仿宋" w:cs="Times New Roman"/>
        </w:rPr>
        <w:t>《天津市大气污染防治条例》 (2020年9月25日天津市第十七届人民代表大会常务委员会第二十三次会议《关于修改〈天津市供电用电条例〉等七部地方性法规的决定》)；</w:t>
      </w:r>
    </w:p>
    <w:p w14:paraId="2B1A6D1F">
      <w:pPr>
        <w:numPr>
          <w:ilvl w:val="0"/>
          <w:numId w:val="1"/>
        </w:numPr>
        <w:rPr>
          <w:rFonts w:hint="default" w:ascii="Times New Roman" w:hAnsi="Times New Roman" w:eastAsia="仿宋" w:cs="Times New Roman"/>
          <w:szCs w:val="28"/>
        </w:rPr>
      </w:pPr>
      <w:r>
        <w:rPr>
          <w:rFonts w:hint="default" w:ascii="Times New Roman" w:hAnsi="Times New Roman" w:eastAsia="仿宋" w:cs="Times New Roman"/>
        </w:rPr>
        <w:t>《天津市水污染防治条例》(2020年9月25日天津市第十七届人民代表大会常务委员会第二十三次会议《关于修改〈天津市供电用电条例〉等七部地方性法规的决定》第三次修正)；</w:t>
      </w:r>
    </w:p>
    <w:p w14:paraId="2FD91182">
      <w:pPr>
        <w:numPr>
          <w:ilvl w:val="0"/>
          <w:numId w:val="1"/>
        </w:numPr>
        <w:rPr>
          <w:rFonts w:hint="default" w:ascii="Times New Roman" w:hAnsi="Times New Roman" w:eastAsia="仿宋" w:cs="Times New Roman"/>
          <w:szCs w:val="28"/>
        </w:rPr>
      </w:pPr>
      <w:r>
        <w:rPr>
          <w:rFonts w:hint="default" w:ascii="Times New Roman" w:hAnsi="Times New Roman" w:eastAsia="仿宋" w:cs="Times New Roman"/>
        </w:rPr>
        <w:t>《天津市危险废物污染环境防治办法》（2004修订）。</w:t>
      </w:r>
    </w:p>
    <w:p w14:paraId="35817A80">
      <w:pPr>
        <w:rPr>
          <w:rFonts w:hint="default" w:ascii="Times New Roman" w:hAnsi="Times New Roman" w:eastAsia="仿宋" w:cs="Times New Roman"/>
          <w:b/>
          <w:bCs/>
          <w:szCs w:val="28"/>
        </w:rPr>
      </w:pPr>
      <w:r>
        <w:rPr>
          <w:rFonts w:hint="default" w:ascii="Times New Roman" w:hAnsi="Times New Roman" w:eastAsia="仿宋" w:cs="Times New Roman"/>
          <w:b/>
          <w:bCs/>
          <w:szCs w:val="28"/>
        </w:rPr>
        <w:t>1.2.3滨海新区及经开区区相关指导性文件</w:t>
      </w:r>
    </w:p>
    <w:p w14:paraId="434544E9">
      <w:pPr>
        <w:numPr>
          <w:ilvl w:val="0"/>
          <w:numId w:val="2"/>
        </w:numPr>
        <w:rPr>
          <w:rFonts w:hint="default" w:ascii="Times New Roman" w:hAnsi="Times New Roman" w:eastAsia="仿宋" w:cs="Times New Roman"/>
          <w:szCs w:val="28"/>
        </w:rPr>
      </w:pPr>
      <w:r>
        <w:rPr>
          <w:rFonts w:hint="default" w:ascii="Times New Roman" w:hAnsi="Times New Roman" w:eastAsia="仿宋" w:cs="Times New Roman"/>
          <w:szCs w:val="28"/>
        </w:rPr>
        <w:t>《关于印发天津市滨海新区突发事件总体应急预案的通知》津滨政发[2010]97号；</w:t>
      </w:r>
    </w:p>
    <w:p w14:paraId="53717243">
      <w:pPr>
        <w:numPr>
          <w:ilvl w:val="0"/>
          <w:numId w:val="2"/>
        </w:numPr>
        <w:rPr>
          <w:rFonts w:hint="default" w:ascii="Times New Roman" w:hAnsi="Times New Roman" w:eastAsia="仿宋" w:cs="Times New Roman"/>
          <w:szCs w:val="28"/>
        </w:rPr>
      </w:pPr>
      <w:r>
        <w:rPr>
          <w:rFonts w:hint="default" w:ascii="Times New Roman" w:hAnsi="Times New Roman" w:eastAsia="仿宋" w:cs="Times New Roman"/>
          <w:szCs w:val="28"/>
        </w:rPr>
        <w:t>《天津经济技术开发区突发环境事件应急预案》（预案编号：HJYJ-2015）；</w:t>
      </w:r>
    </w:p>
    <w:p w14:paraId="42396974">
      <w:pPr>
        <w:numPr>
          <w:ilvl w:val="0"/>
          <w:numId w:val="2"/>
        </w:numPr>
        <w:rPr>
          <w:rFonts w:hint="default" w:ascii="Times New Roman" w:hAnsi="Times New Roman" w:eastAsia="仿宋" w:cs="Times New Roman"/>
          <w:szCs w:val="28"/>
        </w:rPr>
      </w:pPr>
      <w:r>
        <w:rPr>
          <w:rFonts w:hint="default" w:ascii="Times New Roman" w:hAnsi="Times New Roman" w:eastAsia="仿宋" w:cs="Times New Roman"/>
          <w:szCs w:val="28"/>
        </w:rPr>
        <w:t>《天津市滨海新区突发环境事件应急预案》。</w:t>
      </w:r>
    </w:p>
    <w:p w14:paraId="2F8F5D4F">
      <w:pPr>
        <w:rPr>
          <w:rFonts w:hint="default" w:ascii="Times New Roman" w:hAnsi="Times New Roman" w:eastAsia="仿宋" w:cs="Times New Roman"/>
        </w:rPr>
      </w:pPr>
      <w:r>
        <w:rPr>
          <w:rFonts w:hint="default" w:ascii="Times New Roman" w:hAnsi="Times New Roman" w:eastAsia="仿宋" w:cs="Times New Roman"/>
          <w:b/>
          <w:bCs/>
          <w:szCs w:val="28"/>
        </w:rPr>
        <w:t>1.2.4标准、技术规范</w:t>
      </w:r>
    </w:p>
    <w:p w14:paraId="29FB7532">
      <w:pPr>
        <w:numPr>
          <w:ilvl w:val="0"/>
          <w:numId w:val="3"/>
        </w:numPr>
        <w:rPr>
          <w:rFonts w:hint="default" w:ascii="Times New Roman" w:hAnsi="Times New Roman" w:eastAsia="仿宋" w:cs="Times New Roman"/>
        </w:rPr>
      </w:pPr>
      <w:r>
        <w:rPr>
          <w:rFonts w:hint="default" w:ascii="Times New Roman" w:hAnsi="Times New Roman" w:eastAsia="仿宋" w:cs="Times New Roman"/>
        </w:rPr>
        <w:t>《建设项目环境风险评价技术导则》(HJ169-2018)；</w:t>
      </w:r>
    </w:p>
    <w:p w14:paraId="2ECBBC4F">
      <w:pPr>
        <w:numPr>
          <w:ilvl w:val="0"/>
          <w:numId w:val="3"/>
        </w:numPr>
        <w:rPr>
          <w:rFonts w:hint="default" w:ascii="Times New Roman" w:hAnsi="Times New Roman" w:eastAsia="仿宋" w:cs="Times New Roman"/>
        </w:rPr>
      </w:pPr>
      <w:r>
        <w:rPr>
          <w:rFonts w:hint="default" w:ascii="Times New Roman" w:hAnsi="Times New Roman" w:eastAsia="仿宋" w:cs="Times New Roman"/>
        </w:rPr>
        <w:t>《企业突发环境事件风险分级方法》（HJ941-2018）；</w:t>
      </w:r>
    </w:p>
    <w:p w14:paraId="5903DE91">
      <w:pPr>
        <w:numPr>
          <w:ilvl w:val="0"/>
          <w:numId w:val="3"/>
        </w:numPr>
        <w:rPr>
          <w:rFonts w:hint="default" w:ascii="Times New Roman" w:hAnsi="Times New Roman" w:eastAsia="仿宋" w:cs="Times New Roman"/>
        </w:rPr>
      </w:pPr>
      <w:r>
        <w:rPr>
          <w:rFonts w:hint="default" w:ascii="Times New Roman" w:hAnsi="Times New Roman" w:eastAsia="仿宋" w:cs="Times New Roman"/>
        </w:rPr>
        <w:t>《突发环境事件应急监测技术规范》（HJ589-2010）；</w:t>
      </w:r>
    </w:p>
    <w:p w14:paraId="047E3F8A">
      <w:pPr>
        <w:numPr>
          <w:ilvl w:val="0"/>
          <w:numId w:val="3"/>
        </w:numPr>
        <w:rPr>
          <w:rFonts w:hint="default" w:ascii="Times New Roman" w:hAnsi="Times New Roman" w:eastAsia="仿宋" w:cs="Times New Roman"/>
        </w:rPr>
      </w:pPr>
      <w:r>
        <w:rPr>
          <w:rFonts w:hint="default" w:ascii="Times New Roman" w:hAnsi="Times New Roman" w:eastAsia="仿宋" w:cs="Times New Roman"/>
        </w:rPr>
        <w:t>《事故状态下水体污染的预防和控制规范》（Q/SY08190-2019）；</w:t>
      </w:r>
    </w:p>
    <w:p w14:paraId="7A5842F5">
      <w:pPr>
        <w:numPr>
          <w:ilvl w:val="0"/>
          <w:numId w:val="3"/>
        </w:numPr>
        <w:rPr>
          <w:rFonts w:hint="default" w:ascii="Times New Roman" w:hAnsi="Times New Roman" w:eastAsia="仿宋" w:cs="Times New Roman"/>
          <w:szCs w:val="28"/>
        </w:rPr>
      </w:pPr>
      <w:r>
        <w:rPr>
          <w:rFonts w:hint="default" w:ascii="Times New Roman" w:hAnsi="Times New Roman" w:eastAsia="仿宋" w:cs="Times New Roman"/>
        </w:rPr>
        <w:t>《危险化学品单位应急救援物资配备要求》（GB30077-2013）；</w:t>
      </w:r>
    </w:p>
    <w:p w14:paraId="270DA931">
      <w:pPr>
        <w:numPr>
          <w:ilvl w:val="0"/>
          <w:numId w:val="3"/>
        </w:numPr>
        <w:rPr>
          <w:rFonts w:hint="default" w:ascii="Times New Roman" w:hAnsi="Times New Roman" w:eastAsia="仿宋" w:cs="Times New Roman"/>
          <w:szCs w:val="28"/>
        </w:rPr>
      </w:pPr>
      <w:r>
        <w:rPr>
          <w:rFonts w:hint="default" w:ascii="Times New Roman" w:hAnsi="Times New Roman" w:eastAsia="仿宋" w:cs="Times New Roman"/>
        </w:rPr>
        <w:t>《水体污染事故风险预防与控制措施运行管理要求》（Q/SY1310-2010）；</w:t>
      </w:r>
    </w:p>
    <w:p w14:paraId="52207DC3">
      <w:pPr>
        <w:rPr>
          <w:rFonts w:hint="default" w:ascii="Times New Roman" w:hAnsi="Times New Roman" w:eastAsia="仿宋" w:cs="Times New Roman"/>
          <w:szCs w:val="28"/>
        </w:rPr>
      </w:pPr>
      <w:r>
        <w:rPr>
          <w:rFonts w:hint="default" w:ascii="Times New Roman" w:hAnsi="Times New Roman" w:eastAsia="仿宋" w:cs="Times New Roman"/>
          <w:b/>
          <w:bCs/>
          <w:szCs w:val="28"/>
        </w:rPr>
        <w:t>1.2.3其它文件</w:t>
      </w:r>
    </w:p>
    <w:p w14:paraId="43858E30">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（1）</w:t>
      </w:r>
      <w:r>
        <w:rPr>
          <w:rFonts w:hint="default" w:ascii="Times New Roman" w:hAnsi="Times New Roman" w:eastAsia="仿宋" w:cs="Times New Roman"/>
          <w:spacing w:val="-12"/>
          <w:sz w:val="28"/>
          <w:szCs w:val="28"/>
          <w:highlight w:val="none"/>
        </w:rPr>
        <w:t>《东纶科技实业（天津）有限公司</w:t>
      </w:r>
      <w:r>
        <w:rPr>
          <w:rFonts w:hint="default" w:ascii="Times New Roman" w:hAnsi="Times New Roman" w:eastAsia="仿宋" w:cs="Times New Roman"/>
          <w:spacing w:val="-12"/>
          <w:sz w:val="28"/>
          <w:szCs w:val="28"/>
          <w:highlight w:val="none"/>
          <w:lang w:eastAsia="zh-CN"/>
        </w:rPr>
        <w:t>高端医卫用水刺非织造材料产业化项目</w:t>
      </w:r>
      <w:r>
        <w:rPr>
          <w:rFonts w:hint="default" w:ascii="Times New Roman" w:hAnsi="Times New Roman" w:eastAsia="仿宋" w:cs="Times New Roman"/>
          <w:spacing w:val="-12"/>
          <w:sz w:val="28"/>
          <w:szCs w:val="28"/>
          <w:highlight w:val="none"/>
        </w:rPr>
        <w:t>环境影响报告表》环评批复（津开环评[202</w:t>
      </w:r>
      <w:r>
        <w:rPr>
          <w:rFonts w:hint="default" w:ascii="Times New Roman" w:hAnsi="Times New Roman" w:eastAsia="仿宋" w:cs="Times New Roman"/>
          <w:spacing w:val="-12"/>
          <w:sz w:val="28"/>
          <w:szCs w:val="28"/>
          <w:highlight w:val="none"/>
          <w:lang w:val="en-US" w:eastAsia="zh-CN"/>
        </w:rPr>
        <w:t>3</w:t>
      </w:r>
      <w:r>
        <w:rPr>
          <w:rFonts w:hint="default" w:ascii="Times New Roman" w:hAnsi="Times New Roman" w:eastAsia="仿宋" w:cs="Times New Roman"/>
          <w:spacing w:val="-12"/>
          <w:sz w:val="28"/>
          <w:szCs w:val="28"/>
          <w:highlight w:val="none"/>
        </w:rPr>
        <w:t>]</w:t>
      </w:r>
      <w:r>
        <w:rPr>
          <w:rFonts w:hint="default" w:ascii="Times New Roman" w:hAnsi="Times New Roman" w:eastAsia="仿宋" w:cs="Times New Roman"/>
          <w:spacing w:val="-12"/>
          <w:sz w:val="28"/>
          <w:szCs w:val="28"/>
          <w:highlight w:val="none"/>
          <w:lang w:val="en-US" w:eastAsia="zh-CN"/>
        </w:rPr>
        <w:t>33</w:t>
      </w:r>
      <w:r>
        <w:rPr>
          <w:rFonts w:hint="default" w:ascii="Times New Roman" w:hAnsi="Times New Roman" w:eastAsia="仿宋" w:cs="Times New Roman"/>
          <w:spacing w:val="-12"/>
          <w:sz w:val="28"/>
          <w:szCs w:val="28"/>
          <w:highlight w:val="none"/>
        </w:rPr>
        <w:t>号）；</w:t>
      </w:r>
    </w:p>
    <w:p w14:paraId="75AC93F0">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（2）公司其他相关技术材料。</w:t>
      </w:r>
    </w:p>
    <w:p w14:paraId="78B4497B">
      <w:pPr>
        <w:outlineLvl w:val="1"/>
        <w:rPr>
          <w:rFonts w:hint="default" w:ascii="Times New Roman" w:hAnsi="Times New Roman" w:eastAsia="仿宋" w:cs="Times New Roman"/>
          <w:szCs w:val="28"/>
        </w:rPr>
      </w:pPr>
      <w:bookmarkStart w:id="11" w:name="_Toc1005"/>
      <w:r>
        <w:rPr>
          <w:rFonts w:hint="default" w:ascii="Times New Roman" w:hAnsi="Times New Roman" w:eastAsia="仿宋" w:cs="Times New Roman"/>
          <w:b/>
          <w:bCs/>
          <w:szCs w:val="28"/>
        </w:rPr>
        <w:t>1.3适用范围</w:t>
      </w:r>
      <w:bookmarkEnd w:id="10"/>
      <w:bookmarkEnd w:id="11"/>
    </w:p>
    <w:p w14:paraId="3773F815">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本预案适用于风险物质泄漏事件，火灾、爆炸次生事件，环保设施失灵事件，明确规定了应急预警、响应、监测、终止、恢复等工作内容。</w:t>
      </w:r>
    </w:p>
    <w:p w14:paraId="770115F7">
      <w:pPr>
        <w:outlineLvl w:val="1"/>
        <w:rPr>
          <w:rFonts w:hint="default" w:ascii="Times New Roman" w:hAnsi="Times New Roman" w:eastAsia="仿宋" w:cs="Times New Roman"/>
          <w:szCs w:val="28"/>
        </w:rPr>
      </w:pPr>
      <w:bookmarkStart w:id="12" w:name="_Toc5761_WPSOffice_Level2"/>
      <w:bookmarkStart w:id="13" w:name="_Toc18823"/>
      <w:r>
        <w:rPr>
          <w:rFonts w:hint="default" w:ascii="Times New Roman" w:hAnsi="Times New Roman" w:eastAsia="仿宋" w:cs="Times New Roman"/>
          <w:b/>
          <w:bCs/>
          <w:szCs w:val="28"/>
        </w:rPr>
        <w:t>1.4工作原则</w:t>
      </w:r>
      <w:bookmarkEnd w:id="12"/>
      <w:bookmarkEnd w:id="13"/>
    </w:p>
    <w:p w14:paraId="7FB4AAD9">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环境突发事件由事件应急指挥机构领导，全体成员分工负责，运转协调有序，反应快速、高效，处置合法、规范，坚持救人第一、环境优先；先期处置、防止危害扩大；快速响应、科学应对；应急工作与岗位职责相结合等原则。</w:t>
      </w:r>
    </w:p>
    <w:p w14:paraId="510B4C6E">
      <w:pPr>
        <w:ind w:firstLine="560" w:firstLineChars="200"/>
        <w:rPr>
          <w:rFonts w:hint="default" w:ascii="Times New Roman" w:hAnsi="Times New Roman" w:eastAsia="仿宋" w:cs="Times New Roman"/>
          <w:szCs w:val="28"/>
        </w:rPr>
      </w:pPr>
      <w:bookmarkStart w:id="14" w:name="_Toc13394_WPSOffice_Level2"/>
      <w:r>
        <w:rPr>
          <w:rFonts w:hint="default" w:ascii="Times New Roman" w:hAnsi="Times New Roman" w:eastAsia="仿宋" w:cs="Times New Roman"/>
          <w:szCs w:val="28"/>
        </w:rPr>
        <w:t>（1）</w:t>
      </w:r>
      <w:bookmarkStart w:id="15" w:name="_Hlk21446366"/>
      <w:r>
        <w:rPr>
          <w:rFonts w:hint="default" w:ascii="Times New Roman" w:hAnsi="Times New Roman" w:eastAsia="仿宋" w:cs="Times New Roman"/>
          <w:szCs w:val="28"/>
        </w:rPr>
        <w:t>救人第一，</w:t>
      </w:r>
      <w:bookmarkEnd w:id="14"/>
      <w:r>
        <w:rPr>
          <w:rFonts w:hint="default" w:ascii="Times New Roman" w:hAnsi="Times New Roman" w:eastAsia="仿宋" w:cs="Times New Roman"/>
          <w:szCs w:val="28"/>
        </w:rPr>
        <w:t>环境优先</w:t>
      </w:r>
    </w:p>
    <w:p w14:paraId="397FECB5">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在人员生命、健康受到威胁的时候，要本着“救人第一”的原则，最大程度地保障企业人员和周边群众健康和生命安全。发生突发环境事件之后，要救环境优先于救财物。</w:t>
      </w:r>
    </w:p>
    <w:bookmarkEnd w:id="15"/>
    <w:p w14:paraId="7BA89FEF">
      <w:pPr>
        <w:ind w:firstLine="560" w:firstLineChars="200"/>
        <w:rPr>
          <w:rFonts w:hint="default" w:ascii="Times New Roman" w:hAnsi="Times New Roman" w:eastAsia="仿宋" w:cs="Times New Roman"/>
          <w:szCs w:val="28"/>
        </w:rPr>
      </w:pPr>
      <w:bookmarkStart w:id="16" w:name="_Toc14359_WPSOffice_Level2"/>
      <w:r>
        <w:rPr>
          <w:rFonts w:hint="default" w:ascii="Times New Roman" w:hAnsi="Times New Roman" w:eastAsia="仿宋" w:cs="Times New Roman"/>
          <w:szCs w:val="28"/>
        </w:rPr>
        <w:t>（2）</w:t>
      </w:r>
      <w:bookmarkEnd w:id="16"/>
      <w:bookmarkStart w:id="17" w:name="_Hlk21446374"/>
      <w:r>
        <w:rPr>
          <w:rFonts w:hint="default" w:ascii="Times New Roman" w:hAnsi="Times New Roman" w:eastAsia="仿宋" w:cs="Times New Roman"/>
          <w:szCs w:val="28"/>
        </w:rPr>
        <w:t>先期处置，防止危害扩大</w:t>
      </w:r>
    </w:p>
    <w:p w14:paraId="0F0C9F45">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迅速有效采取先期处置，尽量消除或减轻突发环境事件的影响。</w:t>
      </w:r>
    </w:p>
    <w:bookmarkEnd w:id="17"/>
    <w:p w14:paraId="7246CEE3">
      <w:pPr>
        <w:ind w:firstLine="560" w:firstLineChars="200"/>
        <w:rPr>
          <w:rFonts w:hint="default" w:ascii="Times New Roman" w:hAnsi="Times New Roman" w:eastAsia="仿宋" w:cs="Times New Roman"/>
          <w:szCs w:val="28"/>
        </w:rPr>
      </w:pPr>
      <w:bookmarkStart w:id="18" w:name="_Toc3360_WPSOffice_Level2"/>
      <w:r>
        <w:rPr>
          <w:rFonts w:hint="default" w:ascii="Times New Roman" w:hAnsi="Times New Roman" w:eastAsia="仿宋" w:cs="Times New Roman"/>
          <w:szCs w:val="28"/>
        </w:rPr>
        <w:t>（3）</w:t>
      </w:r>
      <w:bookmarkEnd w:id="18"/>
      <w:bookmarkStart w:id="19" w:name="_Hlk21446385"/>
      <w:r>
        <w:rPr>
          <w:rFonts w:hint="default" w:ascii="Times New Roman" w:hAnsi="Times New Roman" w:eastAsia="仿宋" w:cs="Times New Roman"/>
          <w:szCs w:val="28"/>
        </w:rPr>
        <w:t>快速响应，科学应急</w:t>
      </w:r>
    </w:p>
    <w:p w14:paraId="217BDCD8">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积极做好应对突发环境事件的思想准备、物资准备、技术准备、工作准备，加强培训演练，充分利用现有专业环境应急救援力量。</w:t>
      </w:r>
    </w:p>
    <w:bookmarkEnd w:id="19"/>
    <w:p w14:paraId="27D4000B">
      <w:pPr>
        <w:ind w:firstLine="560" w:firstLineChars="200"/>
        <w:rPr>
          <w:rFonts w:hint="default" w:ascii="Times New Roman" w:hAnsi="Times New Roman" w:eastAsia="仿宋" w:cs="Times New Roman"/>
          <w:szCs w:val="28"/>
        </w:rPr>
      </w:pPr>
      <w:bookmarkStart w:id="20" w:name="_Toc302_WPSOffice_Level2"/>
      <w:r>
        <w:rPr>
          <w:rFonts w:hint="default" w:ascii="Times New Roman" w:hAnsi="Times New Roman" w:eastAsia="仿宋" w:cs="Times New Roman"/>
          <w:szCs w:val="28"/>
        </w:rPr>
        <w:t>（4）</w:t>
      </w:r>
      <w:bookmarkEnd w:id="20"/>
      <w:r>
        <w:rPr>
          <w:rFonts w:hint="default" w:ascii="Times New Roman" w:hAnsi="Times New Roman" w:eastAsia="仿宋" w:cs="Times New Roman"/>
          <w:szCs w:val="28"/>
        </w:rPr>
        <w:t>应急工作与岗位职责相结合</w:t>
      </w:r>
    </w:p>
    <w:p w14:paraId="0B127AF8">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针对不同污染源所造成的环境污染的特点，实行分类管理，充分发挥部门专业优势，将应急工作落实到具体岗位职责中。</w:t>
      </w:r>
    </w:p>
    <w:p w14:paraId="5F042ED2">
      <w:pPr>
        <w:outlineLvl w:val="1"/>
        <w:rPr>
          <w:rFonts w:hint="default" w:ascii="Times New Roman" w:hAnsi="Times New Roman" w:eastAsia="仿宋" w:cs="Times New Roman"/>
          <w:b/>
          <w:bCs/>
          <w:szCs w:val="28"/>
        </w:rPr>
      </w:pPr>
      <w:bookmarkStart w:id="21" w:name="_Toc5851"/>
      <w:bookmarkStart w:id="22" w:name="_Toc21344_WPSOffice_Level2"/>
      <w:r>
        <w:rPr>
          <w:rFonts w:hint="default" w:ascii="Times New Roman" w:hAnsi="Times New Roman" w:eastAsia="仿宋" w:cs="Times New Roman"/>
          <w:b/>
          <w:bCs/>
          <w:szCs w:val="28"/>
        </w:rPr>
        <w:t>1.5应急预案体系</w:t>
      </w:r>
      <w:bookmarkEnd w:id="21"/>
      <w:bookmarkEnd w:id="22"/>
    </w:p>
    <w:p w14:paraId="3E850701">
      <w:pPr>
        <w:ind w:firstLine="560"/>
        <w:rPr>
          <w:rFonts w:hint="default" w:ascii="Times New Roman" w:hAnsi="Times New Roman" w:eastAsia="仿宋" w:cs="Times New Roman"/>
          <w:szCs w:val="28"/>
        </w:rPr>
      </w:pPr>
      <w:r>
        <w:rPr>
          <w:rFonts w:hint="default" w:ascii="Times New Roman" w:hAnsi="Times New Roman" w:eastAsia="仿宋" w:cs="Times New Roman"/>
          <w:szCs w:val="28"/>
        </w:rPr>
        <w:t>突发环境事件应急预案定位于减轻、消除污染，避免次生、衍生环境污染事件的发生，应急预案针对可能发生的事故，明确在事故预防、应急处置、抢险救援以及后期处置各个过程中相关部门和有关人员的职责。</w:t>
      </w:r>
    </w:p>
    <w:p w14:paraId="106A8D9A">
      <w:pPr>
        <w:ind w:firstLine="560"/>
        <w:rPr>
          <w:rFonts w:hint="default" w:ascii="Times New Roman" w:hAnsi="Times New Roman" w:eastAsia="仿宋" w:cs="Times New Roman"/>
          <w:szCs w:val="28"/>
        </w:rPr>
      </w:pPr>
      <w:r>
        <w:rPr>
          <w:rFonts w:hint="default" w:ascii="Times New Roman" w:hAnsi="Times New Roman" w:eastAsia="仿宋" w:cs="Times New Roman"/>
          <w:szCs w:val="28"/>
        </w:rPr>
        <w:t>当发生安全与环境危害共生事故时，本预案结合生产安全事故综合应急预案，在安全第一的原则下，最大限度减少事故对环境的危害。突发环境事件超出企业应急处置能力时，上报经开区生态环境局，由上级政府部门依据相应突发环境事件应急预案进行应急处置，企业内部各应急组织机构听从政府部门指挥，配合进行应急处置工作。</w:t>
      </w:r>
    </w:p>
    <w:p w14:paraId="62C7176C">
      <w:pPr>
        <w:jc w:val="center"/>
        <w:rPr>
          <w:rFonts w:hint="default" w:ascii="Times New Roman" w:hAnsi="Times New Roman" w:eastAsia="仿宋" w:cs="Times New Roman"/>
          <w:szCs w:val="28"/>
        </w:rPr>
      </w:pPr>
      <w:r>
        <w:rPr>
          <w:rFonts w:hint="default" w:ascii="Times New Roman" w:hAnsi="Times New Roman" w:eastAsia="仿宋" w:cs="Times New Roman"/>
        </w:rPr>
        <w:drawing>
          <wp:inline distT="0" distB="0" distL="0" distR="0">
            <wp:extent cx="5257800" cy="2856865"/>
            <wp:effectExtent l="0" t="0" r="0" b="635"/>
            <wp:docPr id="6893624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362481" name="图片 1"/>
                    <pic:cNvPicPr>
                      <a:picLocks noChangeAspect="1"/>
                    </pic:cNvPicPr>
                  </pic:nvPicPr>
                  <pic:blipFill>
                    <a:blip r:embed="rId17"/>
                    <a:stretch>
                      <a:fillRect/>
                    </a:stretch>
                  </pic:blipFill>
                  <pic:spPr>
                    <a:xfrm>
                      <a:off x="0" y="0"/>
                      <a:ext cx="5257800" cy="2856865"/>
                    </a:xfrm>
                    <a:prstGeom prst="rect">
                      <a:avLst/>
                    </a:prstGeom>
                  </pic:spPr>
                </pic:pic>
              </a:graphicData>
            </a:graphic>
          </wp:inline>
        </w:drawing>
      </w:r>
    </w:p>
    <w:p w14:paraId="0ADA7935">
      <w:pPr>
        <w:jc w:val="center"/>
        <w:rPr>
          <w:rFonts w:hint="default" w:ascii="Times New Roman" w:hAnsi="Times New Roman" w:eastAsia="仿宋" w:cs="Times New Roman"/>
        </w:rPr>
      </w:pPr>
      <w:r>
        <w:rPr>
          <w:rFonts w:hint="default" w:ascii="Times New Roman" w:hAnsi="Times New Roman" w:eastAsia="仿宋" w:cs="Times New Roman"/>
          <w:szCs w:val="28"/>
        </w:rPr>
        <w:t>图1.1  应急预案体系</w:t>
      </w:r>
      <w:bookmarkStart w:id="23" w:name="_Toc10585_WPSOffice_Level1"/>
    </w:p>
    <w:p w14:paraId="3DF2E805">
      <w:pPr>
        <w:outlineLvl w:val="0"/>
        <w:rPr>
          <w:rFonts w:hint="default" w:ascii="Times New Roman" w:hAnsi="Times New Roman" w:eastAsia="仿宋" w:cs="Times New Roman"/>
          <w:b/>
          <w:bCs/>
          <w:szCs w:val="28"/>
        </w:rPr>
        <w:sectPr>
          <w:headerReference r:id="rId11" w:type="default"/>
          <w:footerReference r:id="rId12" w:type="default"/>
          <w:pgSz w:w="12240" w:h="15840"/>
          <w:pgMar w:top="1440" w:right="1080" w:bottom="1440" w:left="1080" w:header="720" w:footer="720" w:gutter="0"/>
          <w:pgNumType w:start="1"/>
          <w:cols w:space="720" w:num="1"/>
        </w:sectPr>
      </w:pPr>
    </w:p>
    <w:p w14:paraId="19ECCBF6">
      <w:pPr>
        <w:outlineLvl w:val="0"/>
        <w:rPr>
          <w:rFonts w:hint="default" w:ascii="Times New Roman" w:hAnsi="Times New Roman" w:eastAsia="仿宋" w:cs="Times New Roman"/>
          <w:b/>
          <w:bCs/>
          <w:szCs w:val="28"/>
        </w:rPr>
      </w:pPr>
      <w:bookmarkStart w:id="24" w:name="_Toc11626"/>
      <w:r>
        <w:rPr>
          <w:rFonts w:hint="default" w:ascii="Times New Roman" w:hAnsi="Times New Roman" w:eastAsia="仿宋" w:cs="Times New Roman"/>
          <w:b/>
          <w:bCs/>
          <w:szCs w:val="28"/>
        </w:rPr>
        <w:t>2.企业基本情况</w:t>
      </w:r>
      <w:bookmarkEnd w:id="23"/>
      <w:bookmarkEnd w:id="24"/>
    </w:p>
    <w:p w14:paraId="2C59613A">
      <w:pPr>
        <w:outlineLvl w:val="1"/>
        <w:rPr>
          <w:rFonts w:hint="default" w:ascii="Times New Roman" w:hAnsi="Times New Roman" w:eastAsia="仿宋" w:cs="Times New Roman"/>
          <w:szCs w:val="28"/>
        </w:rPr>
      </w:pPr>
      <w:bookmarkStart w:id="25" w:name="_Toc9034"/>
      <w:r>
        <w:rPr>
          <w:rFonts w:hint="default" w:ascii="Times New Roman" w:hAnsi="Times New Roman" w:eastAsia="仿宋" w:cs="Times New Roman"/>
          <w:b/>
          <w:bCs/>
          <w:szCs w:val="28"/>
        </w:rPr>
        <w:t>2.1基本信息</w:t>
      </w:r>
      <w:bookmarkEnd w:id="25"/>
    </w:p>
    <w:p w14:paraId="7BF3C522">
      <w:pPr>
        <w:jc w:val="center"/>
        <w:rPr>
          <w:rFonts w:hint="default" w:ascii="Times New Roman" w:hAnsi="Times New Roman" w:eastAsia="仿宋" w:cs="Times New Roman"/>
          <w:szCs w:val="24"/>
        </w:rPr>
      </w:pPr>
      <w:r>
        <w:rPr>
          <w:rFonts w:hint="default" w:ascii="Times New Roman" w:hAnsi="Times New Roman" w:eastAsia="仿宋" w:cs="Times New Roman"/>
          <w:szCs w:val="24"/>
        </w:rPr>
        <w:t>表2.1  企业基本信息汇总</w:t>
      </w:r>
    </w:p>
    <w:tbl>
      <w:tblPr>
        <w:tblStyle w:val="43"/>
        <w:tblW w:w="959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29"/>
        <w:gridCol w:w="7370"/>
      </w:tblGrid>
      <w:tr w14:paraId="6D2473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29" w:type="dxa"/>
            <w:shd w:val="clear" w:color="auto" w:fill="D7D7D7" w:themeFill="background1" w:themeFillShade="D8"/>
            <w:vAlign w:val="center"/>
          </w:tcPr>
          <w:p w14:paraId="51DEAC1A">
            <w:pPr>
              <w:autoSpaceDE w:val="0"/>
              <w:autoSpaceDN w:val="0"/>
              <w:adjustRightInd w:val="0"/>
              <w:snapToGrid w:val="0"/>
              <w:spacing w:line="240" w:lineRule="auto"/>
              <w:jc w:val="center"/>
              <w:rPr>
                <w:rFonts w:hint="default" w:ascii="Times New Roman" w:hAnsi="Times New Roman" w:eastAsia="仿宋" w:cs="Times New Roman"/>
                <w:sz w:val="24"/>
                <w:szCs w:val="24"/>
              </w:rPr>
            </w:pPr>
            <w:bookmarkStart w:id="26" w:name="_Hlk174711087"/>
            <w:r>
              <w:rPr>
                <w:rFonts w:hint="default" w:ascii="Times New Roman" w:hAnsi="Times New Roman" w:eastAsia="仿宋" w:cs="Times New Roman"/>
                <w:sz w:val="24"/>
                <w:szCs w:val="24"/>
              </w:rPr>
              <w:t>公司名称</w:t>
            </w:r>
          </w:p>
        </w:tc>
        <w:tc>
          <w:tcPr>
            <w:tcW w:w="7370" w:type="dxa"/>
            <w:vAlign w:val="center"/>
          </w:tcPr>
          <w:p w14:paraId="667D39EF">
            <w:pPr>
              <w:autoSpaceDE w:val="0"/>
              <w:autoSpaceDN w:val="0"/>
              <w:adjustRightInd w:val="0"/>
              <w:snapToGrid w:val="0"/>
              <w:spacing w:line="240"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东纶科技实业（天津）有限公司</w:t>
            </w:r>
          </w:p>
        </w:tc>
      </w:tr>
      <w:tr w14:paraId="1DBFCF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29" w:type="dxa"/>
            <w:shd w:val="clear" w:color="auto" w:fill="D7D7D7" w:themeFill="background1" w:themeFillShade="D8"/>
            <w:vAlign w:val="center"/>
          </w:tcPr>
          <w:p w14:paraId="2A708C29">
            <w:pPr>
              <w:autoSpaceDE w:val="0"/>
              <w:autoSpaceDN w:val="0"/>
              <w:adjustRightInd w:val="0"/>
              <w:snapToGrid w:val="0"/>
              <w:spacing w:line="240"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统一社会信用代码</w:t>
            </w:r>
          </w:p>
        </w:tc>
        <w:tc>
          <w:tcPr>
            <w:tcW w:w="7370" w:type="dxa"/>
            <w:vAlign w:val="center"/>
          </w:tcPr>
          <w:p w14:paraId="3ABDC874">
            <w:pPr>
              <w:autoSpaceDE w:val="0"/>
              <w:autoSpaceDN w:val="0"/>
              <w:adjustRightInd w:val="0"/>
              <w:snapToGrid w:val="0"/>
              <w:spacing w:line="240"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91120191MA820GW35G</w:t>
            </w:r>
          </w:p>
        </w:tc>
      </w:tr>
      <w:tr w14:paraId="7C8840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29" w:type="dxa"/>
            <w:shd w:val="clear" w:color="auto" w:fill="D7D7D7" w:themeFill="background1" w:themeFillShade="D8"/>
            <w:vAlign w:val="center"/>
          </w:tcPr>
          <w:p w14:paraId="62892929">
            <w:pPr>
              <w:autoSpaceDE w:val="0"/>
              <w:autoSpaceDN w:val="0"/>
              <w:adjustRightInd w:val="0"/>
              <w:snapToGrid w:val="0"/>
              <w:spacing w:line="240"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法人代表</w:t>
            </w:r>
          </w:p>
        </w:tc>
        <w:tc>
          <w:tcPr>
            <w:tcW w:w="7370" w:type="dxa"/>
            <w:vAlign w:val="center"/>
          </w:tcPr>
          <w:p w14:paraId="42FCEFCC">
            <w:pPr>
              <w:autoSpaceDE w:val="0"/>
              <w:autoSpaceDN w:val="0"/>
              <w:adjustRightInd w:val="0"/>
              <w:snapToGrid w:val="0"/>
              <w:spacing w:line="240"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张孝南</w:t>
            </w:r>
          </w:p>
        </w:tc>
      </w:tr>
      <w:tr w14:paraId="311811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29" w:type="dxa"/>
            <w:shd w:val="clear" w:color="auto" w:fill="D7D7D7" w:themeFill="background1" w:themeFillShade="D8"/>
            <w:vAlign w:val="center"/>
          </w:tcPr>
          <w:p w14:paraId="1211BFE2">
            <w:pPr>
              <w:autoSpaceDE w:val="0"/>
              <w:autoSpaceDN w:val="0"/>
              <w:adjustRightInd w:val="0"/>
              <w:snapToGrid w:val="0"/>
              <w:spacing w:line="240"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注册资金</w:t>
            </w:r>
          </w:p>
        </w:tc>
        <w:tc>
          <w:tcPr>
            <w:tcW w:w="7370" w:type="dxa"/>
            <w:vAlign w:val="center"/>
          </w:tcPr>
          <w:p w14:paraId="4DFAFF11">
            <w:pPr>
              <w:autoSpaceDE w:val="0"/>
              <w:autoSpaceDN w:val="0"/>
              <w:adjustRightInd w:val="0"/>
              <w:snapToGrid w:val="0"/>
              <w:spacing w:line="240"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8000万元</w:t>
            </w:r>
          </w:p>
        </w:tc>
      </w:tr>
      <w:tr w14:paraId="1F134F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29" w:type="dxa"/>
            <w:shd w:val="clear" w:color="auto" w:fill="D7D7D7" w:themeFill="background1" w:themeFillShade="D8"/>
            <w:vAlign w:val="center"/>
          </w:tcPr>
          <w:p w14:paraId="035DC1C6">
            <w:pPr>
              <w:autoSpaceDE w:val="0"/>
              <w:autoSpaceDN w:val="0"/>
              <w:adjustRightInd w:val="0"/>
              <w:snapToGrid w:val="0"/>
              <w:spacing w:line="240"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单位所在地</w:t>
            </w:r>
          </w:p>
        </w:tc>
        <w:tc>
          <w:tcPr>
            <w:tcW w:w="7370" w:type="dxa"/>
            <w:vAlign w:val="center"/>
          </w:tcPr>
          <w:p w14:paraId="3EDF7EE1">
            <w:pPr>
              <w:autoSpaceDE w:val="0"/>
              <w:autoSpaceDN w:val="0"/>
              <w:adjustRightInd w:val="0"/>
              <w:snapToGrid w:val="0"/>
              <w:spacing w:line="240"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天津经济技术开发区中区轻一街以南，纺五路以西</w:t>
            </w:r>
          </w:p>
        </w:tc>
      </w:tr>
      <w:tr w14:paraId="3B927A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29" w:type="dxa"/>
            <w:shd w:val="clear" w:color="auto" w:fill="D7D7D7" w:themeFill="background1" w:themeFillShade="D8"/>
            <w:vAlign w:val="center"/>
          </w:tcPr>
          <w:p w14:paraId="42D1A8EC">
            <w:pPr>
              <w:autoSpaceDE w:val="0"/>
              <w:autoSpaceDN w:val="0"/>
              <w:adjustRightInd w:val="0"/>
              <w:snapToGrid w:val="0"/>
              <w:spacing w:line="240"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所属行业类别</w:t>
            </w:r>
          </w:p>
        </w:tc>
        <w:tc>
          <w:tcPr>
            <w:tcW w:w="7370" w:type="dxa"/>
            <w:vAlign w:val="center"/>
          </w:tcPr>
          <w:p w14:paraId="004A4054">
            <w:pPr>
              <w:autoSpaceDE w:val="0"/>
              <w:autoSpaceDN w:val="0"/>
              <w:adjustRightInd w:val="0"/>
              <w:snapToGrid w:val="0"/>
              <w:spacing w:line="240"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C1781非织造布制造</w:t>
            </w:r>
          </w:p>
        </w:tc>
      </w:tr>
      <w:tr w14:paraId="04D6AB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29" w:type="dxa"/>
            <w:shd w:val="clear" w:color="auto" w:fill="D7D7D7" w:themeFill="background1" w:themeFillShade="D8"/>
            <w:vAlign w:val="center"/>
          </w:tcPr>
          <w:p w14:paraId="7D7D2132">
            <w:pPr>
              <w:autoSpaceDE w:val="0"/>
              <w:autoSpaceDN w:val="0"/>
              <w:adjustRightInd w:val="0"/>
              <w:snapToGrid w:val="0"/>
              <w:spacing w:line="240"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项目类别</w:t>
            </w:r>
          </w:p>
        </w:tc>
        <w:tc>
          <w:tcPr>
            <w:tcW w:w="7370" w:type="dxa"/>
            <w:vAlign w:val="center"/>
          </w:tcPr>
          <w:p w14:paraId="446F81E3">
            <w:pPr>
              <w:autoSpaceDE w:val="0"/>
              <w:autoSpaceDN w:val="0"/>
              <w:adjustRightInd w:val="0"/>
              <w:snapToGrid w:val="0"/>
              <w:spacing w:line="240"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十四、纺织业中“28、化纤织造及印染精加工 175*-有水刺无纺布织造工艺的”</w:t>
            </w:r>
          </w:p>
        </w:tc>
      </w:tr>
      <w:tr w14:paraId="0BFCA9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29" w:type="dxa"/>
            <w:shd w:val="clear" w:color="auto" w:fill="D7D7D7" w:themeFill="background1" w:themeFillShade="D8"/>
            <w:vAlign w:val="center"/>
          </w:tcPr>
          <w:p w14:paraId="3A868BE9">
            <w:pPr>
              <w:autoSpaceDE w:val="0"/>
              <w:autoSpaceDN w:val="0"/>
              <w:adjustRightInd w:val="0"/>
              <w:snapToGrid w:val="0"/>
              <w:spacing w:line="240"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主要联系方式</w:t>
            </w:r>
          </w:p>
        </w:tc>
        <w:tc>
          <w:tcPr>
            <w:tcW w:w="7370" w:type="dxa"/>
            <w:vAlign w:val="center"/>
          </w:tcPr>
          <w:p w14:paraId="56B229DB">
            <w:pPr>
              <w:autoSpaceDE w:val="0"/>
              <w:autoSpaceDN w:val="0"/>
              <w:adjustRightInd w:val="0"/>
              <w:snapToGrid w:val="0"/>
              <w:spacing w:line="240"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陈凯   13831627022</w:t>
            </w:r>
          </w:p>
        </w:tc>
      </w:tr>
      <w:tr w14:paraId="13A492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29" w:type="dxa"/>
            <w:shd w:val="clear" w:color="auto" w:fill="D7D7D7" w:themeFill="background1" w:themeFillShade="D8"/>
            <w:vAlign w:val="center"/>
          </w:tcPr>
          <w:p w14:paraId="77109EA0">
            <w:pPr>
              <w:autoSpaceDE w:val="0"/>
              <w:autoSpaceDN w:val="0"/>
              <w:adjustRightInd w:val="0"/>
              <w:snapToGrid w:val="0"/>
              <w:spacing w:line="240"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公司规模</w:t>
            </w:r>
          </w:p>
        </w:tc>
        <w:tc>
          <w:tcPr>
            <w:tcW w:w="7370" w:type="dxa"/>
            <w:vAlign w:val="center"/>
          </w:tcPr>
          <w:p w14:paraId="53A247AD">
            <w:pPr>
              <w:autoSpaceDE w:val="0"/>
              <w:autoSpaceDN w:val="0"/>
              <w:adjustRightInd w:val="0"/>
              <w:snapToGrid w:val="0"/>
              <w:spacing w:line="240" w:lineRule="auto"/>
              <w:jc w:val="center"/>
              <w:rPr>
                <w:rFonts w:hint="default" w:ascii="Times New Roman" w:hAnsi="Times New Roman" w:eastAsia="仿宋" w:cs="Times New Roman"/>
                <w:sz w:val="24"/>
                <w:szCs w:val="24"/>
                <w:highlight w:val="yellow"/>
              </w:rPr>
            </w:pPr>
            <w:r>
              <w:rPr>
                <w:rFonts w:hint="default" w:ascii="Times New Roman" w:hAnsi="Times New Roman" w:eastAsia="仿宋" w:cs="Times New Roman"/>
                <w:sz w:val="24"/>
                <w:szCs w:val="24"/>
              </w:rPr>
              <w:t>拥有各种设备包括生产线工艺的自动称量机、梳理机和水刺机、冷风系统、空气加湿系统、水处理系统等设备共计40余台套，将涤纶、黏胶等短纤维通过开清混合、梳理成网、水刺、烘干、卷绕、分切等工序加工，实现一条年产15000吨的水刺非织造布生产线。</w:t>
            </w:r>
          </w:p>
        </w:tc>
      </w:tr>
      <w:tr w14:paraId="530A97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29" w:type="dxa"/>
            <w:shd w:val="clear" w:color="auto" w:fill="D7D7D7" w:themeFill="background1" w:themeFillShade="D8"/>
            <w:vAlign w:val="center"/>
          </w:tcPr>
          <w:p w14:paraId="2BA3DC8B">
            <w:pPr>
              <w:autoSpaceDE w:val="0"/>
              <w:autoSpaceDN w:val="0"/>
              <w:adjustRightInd w:val="0"/>
              <w:snapToGrid w:val="0"/>
              <w:spacing w:line="240"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厂区面积</w:t>
            </w:r>
          </w:p>
        </w:tc>
        <w:tc>
          <w:tcPr>
            <w:tcW w:w="7370" w:type="dxa"/>
            <w:vAlign w:val="center"/>
          </w:tcPr>
          <w:p w14:paraId="48507E50">
            <w:pPr>
              <w:autoSpaceDE w:val="0"/>
              <w:autoSpaceDN w:val="0"/>
              <w:adjustRightInd w:val="0"/>
              <w:snapToGrid w:val="0"/>
              <w:spacing w:line="240"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71598.1m</w:t>
            </w:r>
            <w:r>
              <w:rPr>
                <w:rFonts w:hint="default" w:ascii="Times New Roman" w:hAnsi="Times New Roman" w:eastAsia="仿宋" w:cs="Times New Roman"/>
                <w:sz w:val="24"/>
                <w:szCs w:val="24"/>
                <w:vertAlign w:val="superscript"/>
              </w:rPr>
              <w:t>2</w:t>
            </w:r>
            <w:r>
              <w:rPr>
                <w:rFonts w:hint="default" w:ascii="Times New Roman" w:hAnsi="Times New Roman" w:eastAsia="仿宋" w:cs="Times New Roman"/>
                <w:sz w:val="24"/>
                <w:szCs w:val="24"/>
              </w:rPr>
              <w:t>（总规划用地面积）；2.3万m</w:t>
            </w:r>
            <w:r>
              <w:rPr>
                <w:rFonts w:hint="default" w:ascii="Times New Roman" w:hAnsi="Times New Roman" w:eastAsia="仿宋" w:cs="Times New Roman"/>
                <w:sz w:val="24"/>
                <w:szCs w:val="24"/>
                <w:vertAlign w:val="superscript"/>
              </w:rPr>
              <w:t>2</w:t>
            </w:r>
            <w:r>
              <w:rPr>
                <w:rFonts w:hint="default" w:ascii="Times New Roman" w:hAnsi="Times New Roman" w:eastAsia="仿宋" w:cs="Times New Roman"/>
                <w:sz w:val="24"/>
                <w:szCs w:val="24"/>
              </w:rPr>
              <w:t>（本项目用地面积）</w:t>
            </w:r>
          </w:p>
        </w:tc>
      </w:tr>
      <w:tr w14:paraId="6F0044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29" w:type="dxa"/>
            <w:shd w:val="clear" w:color="auto" w:fill="D7D7D7" w:themeFill="background1" w:themeFillShade="D8"/>
            <w:vAlign w:val="center"/>
          </w:tcPr>
          <w:p w14:paraId="585A854A">
            <w:pPr>
              <w:autoSpaceDE w:val="0"/>
              <w:autoSpaceDN w:val="0"/>
              <w:adjustRightInd w:val="0"/>
              <w:snapToGrid w:val="0"/>
              <w:spacing w:line="240"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环评情况</w:t>
            </w:r>
          </w:p>
        </w:tc>
        <w:tc>
          <w:tcPr>
            <w:tcW w:w="7370" w:type="dxa"/>
            <w:vAlign w:val="center"/>
          </w:tcPr>
          <w:p w14:paraId="23B84372">
            <w:pPr>
              <w:autoSpaceDE w:val="0"/>
              <w:autoSpaceDN w:val="0"/>
              <w:adjustRightInd w:val="0"/>
              <w:snapToGrid w:val="0"/>
              <w:spacing w:line="240" w:lineRule="auto"/>
              <w:jc w:val="center"/>
              <w:rPr>
                <w:rFonts w:hint="default" w:ascii="Times New Roman" w:hAnsi="Times New Roman" w:eastAsia="仿宋" w:cs="Times New Roman"/>
                <w:sz w:val="24"/>
                <w:szCs w:val="24"/>
                <w:highlight w:val="yellow"/>
                <w:lang w:eastAsia="zh-CN"/>
              </w:rPr>
            </w:pPr>
            <w:r>
              <w:rPr>
                <w:rFonts w:hint="default" w:ascii="Times New Roman" w:hAnsi="Times New Roman" w:eastAsia="仿宋" w:cs="Times New Roman"/>
                <w:sz w:val="24"/>
                <w:szCs w:val="24"/>
                <w:highlight w:val="none"/>
              </w:rPr>
              <w:t>《东纶科技实业（天津）有限公司高端医卫用水刺非织造材料产业化项目环境影响报告表》环评批复（津开环评[2023]33号）</w:t>
            </w:r>
            <w:r>
              <w:rPr>
                <w:rFonts w:hint="default" w:ascii="Times New Roman" w:hAnsi="Times New Roman" w:eastAsia="仿宋" w:cs="Times New Roman"/>
                <w:sz w:val="24"/>
                <w:szCs w:val="24"/>
                <w:highlight w:val="none"/>
                <w:lang w:eastAsia="zh-CN"/>
              </w:rPr>
              <w:t>。</w:t>
            </w:r>
          </w:p>
        </w:tc>
      </w:tr>
      <w:bookmarkEnd w:id="26"/>
    </w:tbl>
    <w:p w14:paraId="78603F9C">
      <w:pPr>
        <w:outlineLvl w:val="1"/>
        <w:rPr>
          <w:rFonts w:hint="default" w:ascii="Times New Roman" w:hAnsi="Times New Roman" w:eastAsia="仿宋" w:cs="Times New Roman"/>
          <w:b/>
          <w:bCs/>
          <w:szCs w:val="28"/>
        </w:rPr>
      </w:pPr>
      <w:bookmarkStart w:id="27" w:name="_Toc13681"/>
      <w:r>
        <w:rPr>
          <w:rFonts w:hint="default" w:ascii="Times New Roman" w:hAnsi="Times New Roman" w:eastAsia="仿宋" w:cs="Times New Roman"/>
          <w:b/>
          <w:bCs/>
          <w:szCs w:val="28"/>
        </w:rPr>
        <w:t>2.2平面布局</w:t>
      </w:r>
      <w:bookmarkEnd w:id="27"/>
    </w:p>
    <w:p w14:paraId="1D42AE1C">
      <w:pPr>
        <w:ind w:firstLine="560" w:firstLineChars="200"/>
        <w:rPr>
          <w:rFonts w:hint="default" w:ascii="Times New Roman" w:hAnsi="Times New Roman" w:eastAsia="仿宋" w:cs="Times New Roman"/>
        </w:rPr>
      </w:pPr>
      <w:bookmarkStart w:id="28" w:name="_Hlk174711138"/>
      <w:r>
        <w:rPr>
          <w:rFonts w:hint="default" w:ascii="Times New Roman" w:hAnsi="Times New Roman" w:eastAsia="仿宋" w:cs="Times New Roman"/>
        </w:rPr>
        <w:t>东纶科技实业（天津）有限公司位于天津经济技术开发区中区轻一街以南，纺五路以西，厂址中心地理坐标为E117.531223，N38.830247。</w:t>
      </w:r>
    </w:p>
    <w:bookmarkEnd w:id="28"/>
    <w:p w14:paraId="49062040">
      <w:pPr>
        <w:pStyle w:val="51"/>
        <w:ind w:firstLine="512"/>
        <w:rPr>
          <w:rFonts w:hint="default" w:ascii="Times New Roman" w:hAnsi="Times New Roman" w:eastAsia="仿宋" w:cs="Times New Roman"/>
          <w:spacing w:val="-12"/>
          <w:sz w:val="28"/>
          <w:szCs w:val="28"/>
        </w:rPr>
      </w:pPr>
      <w:r>
        <w:rPr>
          <w:rFonts w:hint="default" w:ascii="Times New Roman" w:hAnsi="Times New Roman" w:eastAsia="仿宋" w:cs="Times New Roman"/>
          <w:spacing w:val="-12"/>
          <w:sz w:val="28"/>
          <w:szCs w:val="28"/>
        </w:rPr>
        <w:t>四至范围：本公司东侧为中矿勘探总部基地、天津市百禄成包装有限公司；西临支路一，隔路为规划工业用地；北临轻一街，隔路为绿化带；南侧为天津滨海新区兰德食品有限公司。</w:t>
      </w:r>
    </w:p>
    <w:p w14:paraId="3B28D529">
      <w:pPr>
        <w:pStyle w:val="51"/>
        <w:ind w:firstLine="512"/>
        <w:rPr>
          <w:rFonts w:hint="default" w:ascii="Times New Roman" w:hAnsi="Times New Roman" w:eastAsia="仿宋" w:cs="Times New Roman"/>
          <w:spacing w:val="-12"/>
          <w:sz w:val="28"/>
          <w:szCs w:val="28"/>
        </w:rPr>
        <w:sectPr>
          <w:headerReference r:id="rId13" w:type="default"/>
          <w:footerReference r:id="rId14" w:type="default"/>
          <w:pgSz w:w="11906" w:h="16838"/>
          <w:pgMar w:top="1440" w:right="1080" w:bottom="1440" w:left="1080" w:header="737" w:footer="567" w:gutter="0"/>
          <w:pgBorders w:offsetFrom="page">
            <w:top w:val="none" w:sz="0" w:space="0"/>
            <w:left w:val="none" w:sz="0" w:space="0"/>
            <w:bottom w:val="none" w:sz="0" w:space="0"/>
            <w:right w:val="none" w:sz="0" w:space="0"/>
          </w:pgBorders>
          <w:pgNumType w:start="1"/>
          <w:cols w:space="720" w:num="1"/>
          <w:docGrid w:linePitch="326" w:charSpace="0"/>
        </w:sectPr>
      </w:pPr>
    </w:p>
    <w:p w14:paraId="72D6E2A7">
      <w:pPr>
        <w:pStyle w:val="51"/>
        <w:ind w:left="0" w:leftChars="0" w:firstLine="0" w:firstLineChars="0"/>
        <w:jc w:val="center"/>
        <w:rPr>
          <w:rFonts w:hint="default" w:ascii="Times New Roman" w:hAnsi="Times New Roman" w:eastAsia="仿宋" w:cs="Times New Roman"/>
          <w:spacing w:val="-12"/>
          <w:sz w:val="28"/>
          <w:szCs w:val="28"/>
          <w:lang w:eastAsia="zh-CN"/>
        </w:rPr>
      </w:pPr>
      <w:r>
        <w:rPr>
          <w:rFonts w:hint="default" w:ascii="Times New Roman" w:hAnsi="Times New Roman" w:eastAsia="仿宋" w:cs="Times New Roman"/>
          <w:spacing w:val="-12"/>
          <w:sz w:val="28"/>
          <w:szCs w:val="28"/>
          <w:lang w:eastAsia="zh-CN"/>
        </w:rPr>
        <w:drawing>
          <wp:inline distT="0" distB="0" distL="114300" distR="114300">
            <wp:extent cx="8125460" cy="5743575"/>
            <wp:effectExtent l="0" t="0" r="8890" b="9525"/>
            <wp:docPr id="5" name="图片 1" descr="172533276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1725332764256"/>
                    <pic:cNvPicPr>
                      <a:picLocks noChangeAspect="1"/>
                    </pic:cNvPicPr>
                  </pic:nvPicPr>
                  <pic:blipFill>
                    <a:blip r:embed="rId18"/>
                    <a:stretch>
                      <a:fillRect/>
                    </a:stretch>
                  </pic:blipFill>
                  <pic:spPr>
                    <a:xfrm>
                      <a:off x="0" y="0"/>
                      <a:ext cx="8125460" cy="5743575"/>
                    </a:xfrm>
                    <a:prstGeom prst="rect">
                      <a:avLst/>
                    </a:prstGeom>
                    <a:noFill/>
                    <a:ln>
                      <a:noFill/>
                    </a:ln>
                  </pic:spPr>
                </pic:pic>
              </a:graphicData>
            </a:graphic>
          </wp:inline>
        </w:drawing>
      </w:r>
    </w:p>
    <w:p w14:paraId="2294AC76">
      <w:pPr>
        <w:widowControl/>
        <w:tabs>
          <w:tab w:val="center" w:pos="4535"/>
          <w:tab w:val="left" w:pos="6849"/>
        </w:tabs>
        <w:autoSpaceDE w:val="0"/>
        <w:autoSpaceDN w:val="0"/>
        <w:adjustRightInd w:val="0"/>
        <w:snapToGrid w:val="0"/>
        <w:spacing w:line="240" w:lineRule="auto"/>
        <w:ind w:firstLine="0"/>
        <w:jc w:val="center"/>
        <w:rPr>
          <w:rFonts w:hint="default" w:ascii="Times New Roman" w:hAnsi="Times New Roman" w:eastAsia="仿宋" w:cs="Times New Roman"/>
          <w:sz w:val="28"/>
          <w:szCs w:val="28"/>
          <w:lang w:val="zh-CN"/>
        </w:rPr>
      </w:pPr>
      <w:r>
        <w:rPr>
          <w:rFonts w:hint="default" w:ascii="Times New Roman" w:hAnsi="Times New Roman" w:eastAsia="仿宋" w:cs="Times New Roman"/>
          <w:sz w:val="28"/>
          <w:szCs w:val="28"/>
          <w:lang w:val="zh-CN"/>
        </w:rPr>
        <w:t>图</w:t>
      </w:r>
      <w:r>
        <w:rPr>
          <w:rFonts w:hint="eastAsia" w:ascii="Times New Roman" w:hAnsi="Times New Roman" w:cs="Times New Roman"/>
          <w:sz w:val="28"/>
          <w:szCs w:val="28"/>
          <w:lang w:val="en-US" w:eastAsia="zh-CN"/>
        </w:rPr>
        <w:t>2.2</w:t>
      </w:r>
      <w:r>
        <w:rPr>
          <w:rFonts w:hint="default" w:ascii="Times New Roman" w:hAnsi="Times New Roman" w:eastAsia="仿宋" w:cs="Times New Roman"/>
          <w:sz w:val="28"/>
          <w:szCs w:val="28"/>
          <w:lang w:val="zh-CN"/>
        </w:rPr>
        <w:t>-1  公司周边情况图</w:t>
      </w:r>
    </w:p>
    <w:p w14:paraId="235A0BFB">
      <w:pPr>
        <w:outlineLvl w:val="9"/>
        <w:rPr>
          <w:rFonts w:hint="default" w:ascii="Times New Roman" w:hAnsi="Times New Roman" w:eastAsia="仿宋" w:cs="Times New Roman"/>
          <w:lang w:val="zh-CN"/>
        </w:rPr>
      </w:pPr>
      <w:r>
        <w:rPr>
          <w:rFonts w:hint="default" w:ascii="Times New Roman" w:hAnsi="Times New Roman" w:eastAsia="仿宋" w:cs="Times New Roman"/>
          <w:lang w:val="zh-CN"/>
        </w:rPr>
        <w:drawing>
          <wp:inline distT="0" distB="0" distL="114300" distR="114300">
            <wp:extent cx="9036050" cy="4337685"/>
            <wp:effectExtent l="0" t="0" r="12700" b="5715"/>
            <wp:docPr id="6" name="图片 2" descr="1725332817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1725332817374"/>
                    <pic:cNvPicPr>
                      <a:picLocks noChangeAspect="1"/>
                    </pic:cNvPicPr>
                  </pic:nvPicPr>
                  <pic:blipFill>
                    <a:blip r:embed="rId19"/>
                    <a:stretch>
                      <a:fillRect/>
                    </a:stretch>
                  </pic:blipFill>
                  <pic:spPr>
                    <a:xfrm>
                      <a:off x="0" y="0"/>
                      <a:ext cx="9036050" cy="4337685"/>
                    </a:xfrm>
                    <a:prstGeom prst="rect">
                      <a:avLst/>
                    </a:prstGeom>
                    <a:noFill/>
                    <a:ln>
                      <a:noFill/>
                    </a:ln>
                  </pic:spPr>
                </pic:pic>
              </a:graphicData>
            </a:graphic>
          </wp:inline>
        </w:drawing>
      </w:r>
    </w:p>
    <w:p w14:paraId="0161D0B7">
      <w:pPr>
        <w:widowControl/>
        <w:autoSpaceDE w:val="0"/>
        <w:autoSpaceDN w:val="0"/>
        <w:adjustRightInd w:val="0"/>
        <w:snapToGrid w:val="0"/>
        <w:spacing w:line="240" w:lineRule="auto"/>
        <w:ind w:firstLine="0"/>
        <w:jc w:val="center"/>
        <w:outlineLvl w:val="9"/>
        <w:rPr>
          <w:rFonts w:hint="default" w:ascii="Times New Roman" w:hAnsi="Times New Roman" w:eastAsia="仿宋" w:cs="Times New Roman"/>
        </w:rPr>
      </w:pPr>
      <w:r>
        <w:rPr>
          <w:rFonts w:hint="default" w:ascii="Times New Roman" w:hAnsi="Times New Roman" w:eastAsia="仿宋" w:cs="Times New Roman"/>
          <w:bCs/>
          <w:kern w:val="0"/>
          <w:sz w:val="28"/>
          <w:szCs w:val="28"/>
          <w:lang w:bidi="ar"/>
        </w:rPr>
        <w:t>图</w:t>
      </w:r>
      <w:r>
        <w:rPr>
          <w:rFonts w:hint="eastAsia" w:ascii="Times New Roman" w:hAnsi="Times New Roman" w:cs="Times New Roman"/>
          <w:bCs/>
          <w:kern w:val="0"/>
          <w:sz w:val="28"/>
          <w:szCs w:val="28"/>
          <w:lang w:val="en-US" w:eastAsia="zh-CN" w:bidi="ar"/>
        </w:rPr>
        <w:t>2.2</w:t>
      </w:r>
      <w:r>
        <w:rPr>
          <w:rFonts w:hint="default" w:ascii="Times New Roman" w:hAnsi="Times New Roman" w:eastAsia="仿宋" w:cs="Times New Roman"/>
          <w:bCs/>
          <w:kern w:val="0"/>
          <w:sz w:val="28"/>
          <w:szCs w:val="28"/>
          <w:lang w:bidi="ar"/>
        </w:rPr>
        <w:t>-2  车间平面布局图</w:t>
      </w:r>
    </w:p>
    <w:p w14:paraId="0745662F">
      <w:pPr>
        <w:pStyle w:val="42"/>
        <w:ind w:leftChars="150"/>
        <w:rPr>
          <w:rFonts w:hint="default" w:ascii="Times New Roman" w:hAnsi="Times New Roman" w:eastAsia="仿宋" w:cs="Times New Roman"/>
        </w:rPr>
      </w:pPr>
    </w:p>
    <w:p w14:paraId="626EE5C4">
      <w:pPr>
        <w:rPr>
          <w:rFonts w:hint="default"/>
        </w:rPr>
        <w:sectPr>
          <w:pgSz w:w="16838" w:h="11905" w:orient="landscape"/>
          <w:pgMar w:top="1083" w:right="1440" w:bottom="1083" w:left="1440" w:header="737" w:footer="567" w:gutter="0"/>
          <w:cols w:space="0" w:num="1"/>
          <w:rtlGutter w:val="0"/>
          <w:docGrid w:linePitch="0" w:charSpace="0"/>
        </w:sectPr>
      </w:pPr>
    </w:p>
    <w:p w14:paraId="0802B505">
      <w:pPr>
        <w:outlineLvl w:val="1"/>
        <w:rPr>
          <w:rFonts w:hint="default" w:ascii="Times New Roman" w:hAnsi="Times New Roman" w:eastAsia="仿宋" w:cs="Times New Roman"/>
          <w:b/>
          <w:bCs/>
          <w:szCs w:val="28"/>
        </w:rPr>
      </w:pPr>
      <w:bookmarkStart w:id="29" w:name="_Toc598"/>
      <w:r>
        <w:rPr>
          <w:rFonts w:hint="default" w:ascii="Times New Roman" w:hAnsi="Times New Roman" w:eastAsia="仿宋" w:cs="Times New Roman"/>
          <w:b/>
          <w:bCs/>
          <w:szCs w:val="28"/>
        </w:rPr>
        <w:t>2.3公用及辅助工程</w:t>
      </w:r>
      <w:bookmarkEnd w:id="29"/>
    </w:p>
    <w:p w14:paraId="6AE7332A">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rPr>
      </w:pPr>
      <w:bookmarkStart w:id="30" w:name="_Hlk174715109"/>
      <w:r>
        <w:rPr>
          <w:rFonts w:hint="default" w:ascii="Times New Roman" w:hAnsi="Times New Roman" w:eastAsia="仿宋" w:cs="Times New Roman"/>
        </w:rPr>
        <w:t>（1）</w:t>
      </w:r>
      <w:bookmarkStart w:id="31" w:name="_Hlk174715421"/>
      <w:r>
        <w:rPr>
          <w:rFonts w:hint="default" w:ascii="Times New Roman" w:hAnsi="Times New Roman" w:eastAsia="仿宋" w:cs="Times New Roman"/>
        </w:rPr>
        <w:t>供电：本单位的用电由由市政供电系统提供，可满足日常用电需求。</w:t>
      </w:r>
      <w:bookmarkEnd w:id="31"/>
    </w:p>
    <w:p w14:paraId="607B8D83">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rPr>
      </w:pPr>
      <w:r>
        <w:rPr>
          <w:rFonts w:hint="default" w:ascii="Times New Roman" w:hAnsi="Times New Roman" w:eastAsia="仿宋" w:cs="Times New Roman"/>
        </w:rPr>
        <w:t>（2）</w:t>
      </w:r>
      <w:bookmarkStart w:id="32" w:name="_Hlk174715442"/>
      <w:r>
        <w:rPr>
          <w:rFonts w:hint="default" w:ascii="Times New Roman" w:hAnsi="Times New Roman" w:eastAsia="仿宋" w:cs="Times New Roman"/>
        </w:rPr>
        <w:t>给水：本项目用水主要为职工生活用水（员工饮水采用纯净水）、食堂用水和生产用水，由园区市政自来水给水管网供给。</w:t>
      </w:r>
      <w:bookmarkEnd w:id="32"/>
    </w:p>
    <w:p w14:paraId="7BCCC679">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rPr>
      </w:pPr>
      <w:r>
        <w:rPr>
          <w:rFonts w:hint="default" w:ascii="Times New Roman" w:hAnsi="Times New Roman" w:eastAsia="仿宋" w:cs="Times New Roman"/>
        </w:rPr>
        <w:t>（3）排水：</w:t>
      </w:r>
    </w:p>
    <w:p w14:paraId="6D4DB2F7">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生产废水进入厂区污水处理站处理，处理达标后与经化粪池沉淀的生活污水、经隔油池处理的食堂废水汇合，由厂区污水总排口经市政管网至轻纺工业园污水处理厂处理，轻纺工业园污水处理厂出水排入荒地排水河。</w:t>
      </w:r>
    </w:p>
    <w:p w14:paraId="79E705E4">
      <w:pPr>
        <w:pStyle w:val="224"/>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rPr>
      </w:pPr>
      <w:r>
        <w:rPr>
          <w:rFonts w:hint="default" w:ascii="Times New Roman" w:hAnsi="Times New Roman" w:eastAsia="仿宋" w:cs="Times New Roman"/>
        </w:rPr>
        <mc:AlternateContent>
          <mc:Choice Requires="wps">
            <w:drawing>
              <wp:anchor distT="0" distB="0" distL="114300" distR="114300" simplePos="0" relativeHeight="251661312" behindDoc="0" locked="0" layoutInCell="1" allowOverlap="1">
                <wp:simplePos x="0" y="0"/>
                <wp:positionH relativeFrom="column">
                  <wp:posOffset>927100</wp:posOffset>
                </wp:positionH>
                <wp:positionV relativeFrom="paragraph">
                  <wp:posOffset>7429500</wp:posOffset>
                </wp:positionV>
                <wp:extent cx="5619750" cy="12700"/>
                <wp:effectExtent l="0" t="0" r="19050" b="25400"/>
                <wp:wrapNone/>
                <wp:docPr id="1004533461" name="直接连接符 7"/>
                <wp:cNvGraphicFramePr/>
                <a:graphic xmlns:a="http://schemas.openxmlformats.org/drawingml/2006/main">
                  <a:graphicData uri="http://schemas.microsoft.com/office/word/2010/wordprocessingShape">
                    <wps:wsp>
                      <wps:cNvCnPr/>
                      <wps:spPr>
                        <a:xfrm flipV="1">
                          <a:off x="0" y="0"/>
                          <a:ext cx="561975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7" o:spid="_x0000_s1026" o:spt="20" style="position:absolute;left:0pt;flip:y;margin-left:73pt;margin-top:585pt;height:1pt;width:442.5pt;z-index:251661312;mso-width-relative:page;mso-height-relative:page;" filled="f" stroked="t" coordsize="21600,21600" o:gfxdata="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Bv&#10;nUjWAAAADgEAAA8AAAAAAAAAAQAgAAAAIgAAAGRycy9kb3ducmV2LnhtbFBLAQIUABQAAAAIAIdO&#10;4kDN3YiS7AEAALEDAAAOAAAAAAAAAAEAIAAAACUBAABkcnMvZTJvRG9jLnhtbFBLBQYAAAAABgAG&#10;AFkBAACDBQAAAAA=&#10;">
                <v:fill on="f" focussize="0,0"/>
                <v:stroke color="#000000 [3213]" joinstyle="round"/>
                <v:imagedata o:title=""/>
                <o:lock v:ext="edit" aspectratio="f"/>
              </v:line>
            </w:pict>
          </mc:Fallback>
        </mc:AlternateContent>
      </w:r>
      <w:r>
        <w:rPr>
          <w:rFonts w:hint="default" w:ascii="Times New Roman" w:hAnsi="Times New Roman" w:eastAsia="仿宋" w:cs="Times New Roman"/>
        </w:rPr>
        <w:t>（4）供气</w:t>
      </w:r>
    </w:p>
    <w:p w14:paraId="164ABC43">
      <w:pPr>
        <w:pStyle w:val="42"/>
        <w:keepNext w:val="0"/>
        <w:keepLines w:val="0"/>
        <w:pageBreakBefore w:val="0"/>
        <w:widowControl w:val="0"/>
        <w:kinsoku/>
        <w:wordWrap/>
        <w:overflowPunct/>
        <w:topLinePunct w:val="0"/>
        <w:autoSpaceDE/>
        <w:autoSpaceDN/>
        <w:bidi w:val="0"/>
        <w:adjustRightInd/>
        <w:snapToGrid/>
        <w:spacing w:after="0" w:line="360" w:lineRule="auto"/>
        <w:ind w:left="0" w:leftChars="0" w:firstLine="560" w:firstLineChars="200"/>
        <w:textAlignment w:val="auto"/>
        <w:rPr>
          <w:rFonts w:hint="default" w:ascii="Times New Roman" w:hAnsi="Times New Roman" w:eastAsia="仿宋" w:cs="Times New Roman"/>
          <w:lang w:eastAsia="zh-CN"/>
        </w:rPr>
      </w:pPr>
      <w:bookmarkStart w:id="33" w:name="_Hlk174715556"/>
      <w:r>
        <w:rPr>
          <w:rFonts w:hint="default" w:ascii="Times New Roman" w:hAnsi="Times New Roman" w:eastAsia="仿宋" w:cs="Times New Roman"/>
          <w:sz w:val="28"/>
        </w:rPr>
        <w:t>本项目天然气接自市政燃气管网系统，根据建设单位提供资料，本项目使用的天然气将由中油南港工业区燃气有限公司提供</w:t>
      </w:r>
      <w:bookmarkEnd w:id="33"/>
      <w:r>
        <w:rPr>
          <w:rFonts w:hint="default" w:ascii="Times New Roman" w:hAnsi="Times New Roman" w:eastAsia="仿宋" w:cs="Times New Roman"/>
          <w:sz w:val="28"/>
          <w:lang w:eastAsia="zh-CN"/>
        </w:rPr>
        <w:t>。</w:t>
      </w:r>
    </w:p>
    <w:p w14:paraId="7593D30B">
      <w:pPr>
        <w:pStyle w:val="223"/>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rPr>
      </w:pPr>
      <w:r>
        <w:rPr>
          <w:rFonts w:hint="default" w:ascii="Times New Roman" w:hAnsi="Times New Roman" w:eastAsia="仿宋" w:cs="Times New Roman"/>
        </w:rPr>
        <w:t>（5）</w:t>
      </w:r>
      <w:bookmarkStart w:id="34" w:name="_Hlk174715586"/>
      <w:r>
        <w:rPr>
          <w:rFonts w:hint="default" w:ascii="Times New Roman" w:hAnsi="Times New Roman" w:eastAsia="仿宋" w:cs="Times New Roman"/>
        </w:rPr>
        <w:t>本项目主要能源消耗情况</w:t>
      </w:r>
    </w:p>
    <w:bookmarkEnd w:id="34"/>
    <w:p w14:paraId="408474B1">
      <w:pPr>
        <w:pStyle w:val="226"/>
        <w:rPr>
          <w:rFonts w:hint="default" w:ascii="Times New Roman" w:hAnsi="Times New Roman" w:eastAsia="仿宋" w:cs="Times New Roman"/>
        </w:rPr>
      </w:pPr>
      <w:bookmarkStart w:id="35" w:name="_Hlk174715606"/>
      <w:r>
        <w:rPr>
          <w:rFonts w:hint="default" w:ascii="Times New Roman" w:hAnsi="Times New Roman" w:eastAsia="仿宋" w:cs="Times New Roman"/>
        </w:rPr>
        <w:t>表2-10  本项目主要能源消耗一览表</w:t>
      </w:r>
    </w:p>
    <w:bookmarkEnd w:id="35"/>
    <w:tbl>
      <w:tblPr>
        <w:tblStyle w:val="43"/>
        <w:tblW w:w="486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46"/>
        <w:gridCol w:w="2970"/>
        <w:gridCol w:w="2208"/>
        <w:gridCol w:w="2662"/>
      </w:tblGrid>
      <w:tr w14:paraId="4D7D6B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3" w:type="pct"/>
            <w:tcBorders>
              <w:tl2br w:val="nil"/>
              <w:tr2bl w:val="nil"/>
            </w:tcBorders>
            <w:shd w:val="clear" w:color="auto" w:fill="auto"/>
            <w:vAlign w:val="center"/>
          </w:tcPr>
          <w:p w14:paraId="330C8D85">
            <w:pPr>
              <w:spacing w:line="240" w:lineRule="auto"/>
              <w:jc w:val="center"/>
              <w:rPr>
                <w:rFonts w:hint="default" w:ascii="Times New Roman" w:hAnsi="Times New Roman" w:eastAsia="仿宋" w:cs="Times New Roman"/>
                <w:color w:val="000000"/>
                <w:sz w:val="21"/>
                <w:szCs w:val="21"/>
              </w:rPr>
            </w:pPr>
            <w:bookmarkStart w:id="36" w:name="_Hlk174715613"/>
            <w:r>
              <w:rPr>
                <w:rFonts w:hint="default" w:ascii="Times New Roman" w:hAnsi="Times New Roman" w:eastAsia="仿宋" w:cs="Times New Roman"/>
                <w:color w:val="000000"/>
                <w:sz w:val="21"/>
                <w:szCs w:val="21"/>
              </w:rPr>
              <w:t>序号</w:t>
            </w:r>
          </w:p>
        </w:tc>
        <w:tc>
          <w:tcPr>
            <w:tcW w:w="1532" w:type="pct"/>
            <w:tcBorders>
              <w:tl2br w:val="nil"/>
              <w:tr2bl w:val="nil"/>
            </w:tcBorders>
            <w:shd w:val="clear" w:color="auto" w:fill="auto"/>
            <w:vAlign w:val="center"/>
          </w:tcPr>
          <w:p w14:paraId="039DFEFD">
            <w:pPr>
              <w:spacing w:line="240" w:lineRule="auto"/>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名称</w:t>
            </w:r>
          </w:p>
        </w:tc>
        <w:tc>
          <w:tcPr>
            <w:tcW w:w="1140" w:type="pct"/>
            <w:tcBorders>
              <w:tl2br w:val="nil"/>
              <w:tr2bl w:val="nil"/>
            </w:tcBorders>
            <w:shd w:val="clear" w:color="auto" w:fill="auto"/>
            <w:vAlign w:val="center"/>
          </w:tcPr>
          <w:p w14:paraId="5F4BD0F4">
            <w:pPr>
              <w:spacing w:line="240" w:lineRule="auto"/>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单位</w:t>
            </w:r>
          </w:p>
        </w:tc>
        <w:tc>
          <w:tcPr>
            <w:tcW w:w="1373" w:type="pct"/>
            <w:tcBorders>
              <w:tl2br w:val="nil"/>
              <w:tr2bl w:val="nil"/>
            </w:tcBorders>
            <w:shd w:val="clear" w:color="auto" w:fill="auto"/>
            <w:vAlign w:val="center"/>
          </w:tcPr>
          <w:p w14:paraId="7A9BFE73">
            <w:pPr>
              <w:spacing w:line="240" w:lineRule="auto"/>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年用量</w:t>
            </w:r>
          </w:p>
        </w:tc>
      </w:tr>
      <w:tr w14:paraId="0868ED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3" w:type="pct"/>
            <w:tcBorders>
              <w:tl2br w:val="nil"/>
              <w:tr2bl w:val="nil"/>
            </w:tcBorders>
            <w:shd w:val="clear" w:color="auto" w:fill="auto"/>
            <w:vAlign w:val="center"/>
          </w:tcPr>
          <w:p w14:paraId="5F91F2BA">
            <w:pPr>
              <w:spacing w:line="240" w:lineRule="auto"/>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w:t>
            </w:r>
          </w:p>
        </w:tc>
        <w:tc>
          <w:tcPr>
            <w:tcW w:w="1532" w:type="pct"/>
            <w:tcBorders>
              <w:tl2br w:val="nil"/>
              <w:tr2bl w:val="nil"/>
            </w:tcBorders>
            <w:shd w:val="clear" w:color="auto" w:fill="auto"/>
            <w:vAlign w:val="center"/>
          </w:tcPr>
          <w:p w14:paraId="7D19B29E">
            <w:pPr>
              <w:spacing w:line="240" w:lineRule="auto"/>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电</w:t>
            </w:r>
          </w:p>
        </w:tc>
        <w:tc>
          <w:tcPr>
            <w:tcW w:w="1140" w:type="pct"/>
            <w:tcBorders>
              <w:tl2br w:val="nil"/>
              <w:tr2bl w:val="nil"/>
            </w:tcBorders>
            <w:shd w:val="clear" w:color="auto" w:fill="auto"/>
            <w:vAlign w:val="center"/>
          </w:tcPr>
          <w:p w14:paraId="5DE64A90">
            <w:pPr>
              <w:spacing w:line="240" w:lineRule="auto"/>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万度/a</w:t>
            </w:r>
          </w:p>
        </w:tc>
        <w:tc>
          <w:tcPr>
            <w:tcW w:w="1373" w:type="pct"/>
            <w:tcBorders>
              <w:tl2br w:val="nil"/>
              <w:tr2bl w:val="nil"/>
            </w:tcBorders>
            <w:shd w:val="clear" w:color="auto" w:fill="auto"/>
            <w:vAlign w:val="center"/>
          </w:tcPr>
          <w:p w14:paraId="66C75731">
            <w:pPr>
              <w:spacing w:line="240" w:lineRule="auto"/>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1200</w:t>
            </w:r>
          </w:p>
        </w:tc>
      </w:tr>
      <w:tr w14:paraId="104B1A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3" w:type="pct"/>
            <w:tcBorders>
              <w:tl2br w:val="nil"/>
              <w:tr2bl w:val="nil"/>
            </w:tcBorders>
            <w:shd w:val="clear" w:color="auto" w:fill="auto"/>
            <w:vAlign w:val="center"/>
          </w:tcPr>
          <w:p w14:paraId="3C732838">
            <w:pPr>
              <w:spacing w:line="240" w:lineRule="auto"/>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2</w:t>
            </w:r>
          </w:p>
        </w:tc>
        <w:tc>
          <w:tcPr>
            <w:tcW w:w="1532" w:type="pct"/>
            <w:tcBorders>
              <w:tl2br w:val="nil"/>
              <w:tr2bl w:val="nil"/>
            </w:tcBorders>
            <w:shd w:val="clear" w:color="auto" w:fill="auto"/>
            <w:vAlign w:val="center"/>
          </w:tcPr>
          <w:p w14:paraId="28DAB76C">
            <w:pPr>
              <w:spacing w:line="240" w:lineRule="auto"/>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自来水</w:t>
            </w:r>
          </w:p>
        </w:tc>
        <w:tc>
          <w:tcPr>
            <w:tcW w:w="1140" w:type="pct"/>
            <w:tcBorders>
              <w:tl2br w:val="nil"/>
              <w:tr2bl w:val="nil"/>
            </w:tcBorders>
            <w:shd w:val="clear" w:color="auto" w:fill="auto"/>
            <w:vAlign w:val="center"/>
          </w:tcPr>
          <w:p w14:paraId="69BB8439">
            <w:pPr>
              <w:spacing w:line="240" w:lineRule="auto"/>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t/a</w:t>
            </w:r>
          </w:p>
        </w:tc>
        <w:tc>
          <w:tcPr>
            <w:tcW w:w="1373" w:type="pct"/>
            <w:tcBorders>
              <w:tl2br w:val="nil"/>
              <w:tr2bl w:val="nil"/>
            </w:tcBorders>
            <w:shd w:val="clear" w:color="auto" w:fill="auto"/>
            <w:vAlign w:val="center"/>
          </w:tcPr>
          <w:p w14:paraId="59CC5E50">
            <w:pPr>
              <w:spacing w:line="240" w:lineRule="auto"/>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66749.2</w:t>
            </w:r>
          </w:p>
        </w:tc>
      </w:tr>
      <w:tr w14:paraId="0EB339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3" w:type="pct"/>
            <w:tcBorders>
              <w:tl2br w:val="nil"/>
              <w:tr2bl w:val="nil"/>
            </w:tcBorders>
            <w:shd w:val="clear" w:color="auto" w:fill="auto"/>
            <w:vAlign w:val="center"/>
          </w:tcPr>
          <w:p w14:paraId="2C474861">
            <w:pPr>
              <w:spacing w:line="240" w:lineRule="auto"/>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3</w:t>
            </w:r>
          </w:p>
        </w:tc>
        <w:tc>
          <w:tcPr>
            <w:tcW w:w="1532" w:type="pct"/>
            <w:tcBorders>
              <w:tl2br w:val="nil"/>
              <w:tr2bl w:val="nil"/>
            </w:tcBorders>
            <w:shd w:val="clear" w:color="auto" w:fill="auto"/>
            <w:vAlign w:val="center"/>
          </w:tcPr>
          <w:p w14:paraId="45B075F3">
            <w:pPr>
              <w:spacing w:line="240" w:lineRule="auto"/>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纯净水</w:t>
            </w:r>
          </w:p>
        </w:tc>
        <w:tc>
          <w:tcPr>
            <w:tcW w:w="1140" w:type="pct"/>
            <w:tcBorders>
              <w:tl2br w:val="nil"/>
              <w:tr2bl w:val="nil"/>
            </w:tcBorders>
            <w:shd w:val="clear" w:color="auto" w:fill="auto"/>
            <w:vAlign w:val="center"/>
          </w:tcPr>
          <w:p w14:paraId="1DA9B469">
            <w:pPr>
              <w:spacing w:line="240" w:lineRule="auto"/>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t/a</w:t>
            </w:r>
          </w:p>
        </w:tc>
        <w:tc>
          <w:tcPr>
            <w:tcW w:w="1373" w:type="pct"/>
            <w:tcBorders>
              <w:tl2br w:val="nil"/>
              <w:tr2bl w:val="nil"/>
            </w:tcBorders>
            <w:shd w:val="clear" w:color="auto" w:fill="auto"/>
            <w:vAlign w:val="center"/>
          </w:tcPr>
          <w:p w14:paraId="127ADE6A">
            <w:pPr>
              <w:spacing w:line="240" w:lineRule="auto"/>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15</w:t>
            </w:r>
          </w:p>
        </w:tc>
      </w:tr>
      <w:tr w14:paraId="2709F9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3" w:type="pct"/>
            <w:tcBorders>
              <w:tl2br w:val="nil"/>
              <w:tr2bl w:val="nil"/>
            </w:tcBorders>
            <w:shd w:val="clear" w:color="auto" w:fill="auto"/>
            <w:vAlign w:val="center"/>
          </w:tcPr>
          <w:p w14:paraId="0CBDA7F9">
            <w:pPr>
              <w:spacing w:line="240" w:lineRule="auto"/>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4</w:t>
            </w:r>
          </w:p>
        </w:tc>
        <w:tc>
          <w:tcPr>
            <w:tcW w:w="1532" w:type="pct"/>
            <w:tcBorders>
              <w:tl2br w:val="nil"/>
              <w:tr2bl w:val="nil"/>
            </w:tcBorders>
            <w:shd w:val="clear" w:color="auto" w:fill="auto"/>
            <w:vAlign w:val="center"/>
          </w:tcPr>
          <w:p w14:paraId="62E1B2E7">
            <w:pPr>
              <w:spacing w:line="240" w:lineRule="auto"/>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压缩空气</w:t>
            </w:r>
          </w:p>
        </w:tc>
        <w:tc>
          <w:tcPr>
            <w:tcW w:w="1140" w:type="pct"/>
            <w:tcBorders>
              <w:tl2br w:val="nil"/>
              <w:tr2bl w:val="nil"/>
            </w:tcBorders>
            <w:shd w:val="clear" w:color="auto" w:fill="auto"/>
            <w:vAlign w:val="center"/>
          </w:tcPr>
          <w:p w14:paraId="079931A5">
            <w:pPr>
              <w:adjustRightInd w:val="0"/>
              <w:snapToGrid w:val="0"/>
              <w:spacing w:before="48" w:beforeLines="20" w:after="48" w:afterLines="20" w:line="240" w:lineRule="auto"/>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Nm</w:t>
            </w:r>
            <w:r>
              <w:rPr>
                <w:rFonts w:hint="default" w:ascii="Times New Roman" w:hAnsi="Times New Roman" w:eastAsia="仿宋" w:cs="Times New Roman"/>
                <w:color w:val="000000"/>
                <w:sz w:val="21"/>
                <w:szCs w:val="21"/>
                <w:vertAlign w:val="superscript"/>
              </w:rPr>
              <w:t>3</w:t>
            </w:r>
            <w:r>
              <w:rPr>
                <w:rFonts w:hint="default" w:ascii="Times New Roman" w:hAnsi="Times New Roman" w:eastAsia="仿宋" w:cs="Times New Roman"/>
                <w:color w:val="000000"/>
                <w:sz w:val="21"/>
                <w:szCs w:val="21"/>
              </w:rPr>
              <w:t>/a</w:t>
            </w:r>
          </w:p>
        </w:tc>
        <w:tc>
          <w:tcPr>
            <w:tcW w:w="1373" w:type="pct"/>
            <w:tcBorders>
              <w:tl2br w:val="nil"/>
              <w:tr2bl w:val="nil"/>
            </w:tcBorders>
            <w:shd w:val="clear" w:color="auto" w:fill="auto"/>
          </w:tcPr>
          <w:p w14:paraId="1B1245BC">
            <w:pPr>
              <w:adjustRightInd w:val="0"/>
              <w:snapToGrid w:val="0"/>
              <w:spacing w:before="48" w:beforeLines="20" w:after="48" w:afterLines="20" w:line="240" w:lineRule="auto"/>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10000</w:t>
            </w:r>
          </w:p>
        </w:tc>
      </w:tr>
      <w:tr w14:paraId="56E604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3" w:type="pct"/>
            <w:tcBorders>
              <w:tl2br w:val="nil"/>
              <w:tr2bl w:val="nil"/>
            </w:tcBorders>
            <w:shd w:val="clear" w:color="auto" w:fill="auto"/>
            <w:vAlign w:val="center"/>
          </w:tcPr>
          <w:p w14:paraId="44A2DF60">
            <w:pPr>
              <w:spacing w:line="240" w:lineRule="auto"/>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5</w:t>
            </w:r>
          </w:p>
        </w:tc>
        <w:tc>
          <w:tcPr>
            <w:tcW w:w="1532" w:type="pct"/>
            <w:tcBorders>
              <w:tl2br w:val="nil"/>
              <w:tr2bl w:val="nil"/>
            </w:tcBorders>
            <w:shd w:val="clear" w:color="auto" w:fill="auto"/>
            <w:vAlign w:val="center"/>
          </w:tcPr>
          <w:p w14:paraId="3760464F">
            <w:pPr>
              <w:spacing w:line="240" w:lineRule="auto"/>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天然气</w:t>
            </w:r>
          </w:p>
        </w:tc>
        <w:tc>
          <w:tcPr>
            <w:tcW w:w="1140" w:type="pct"/>
            <w:tcBorders>
              <w:tl2br w:val="nil"/>
              <w:tr2bl w:val="nil"/>
            </w:tcBorders>
            <w:shd w:val="clear" w:color="auto" w:fill="auto"/>
            <w:vAlign w:val="center"/>
          </w:tcPr>
          <w:p w14:paraId="037615C7">
            <w:pPr>
              <w:adjustRightInd w:val="0"/>
              <w:snapToGrid w:val="0"/>
              <w:spacing w:before="48" w:beforeLines="20" w:after="48" w:afterLines="20" w:line="240" w:lineRule="auto"/>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万Nm</w:t>
            </w:r>
            <w:r>
              <w:rPr>
                <w:rFonts w:hint="default" w:ascii="Times New Roman" w:hAnsi="Times New Roman" w:eastAsia="仿宋" w:cs="Times New Roman"/>
                <w:color w:val="000000"/>
                <w:sz w:val="21"/>
                <w:szCs w:val="21"/>
                <w:vertAlign w:val="superscript"/>
              </w:rPr>
              <w:t>3</w:t>
            </w:r>
          </w:p>
        </w:tc>
        <w:tc>
          <w:tcPr>
            <w:tcW w:w="1373" w:type="pct"/>
            <w:tcBorders>
              <w:tl2br w:val="nil"/>
              <w:tr2bl w:val="nil"/>
            </w:tcBorders>
            <w:shd w:val="clear" w:color="auto" w:fill="auto"/>
          </w:tcPr>
          <w:p w14:paraId="642E14EF">
            <w:pPr>
              <w:adjustRightInd w:val="0"/>
              <w:snapToGrid w:val="0"/>
              <w:spacing w:before="48" w:beforeLines="20" w:after="48" w:afterLines="20" w:line="240" w:lineRule="auto"/>
              <w:jc w:val="cente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rPr>
              <w:t>319.44</w:t>
            </w:r>
          </w:p>
        </w:tc>
      </w:tr>
      <w:bookmarkEnd w:id="36"/>
    </w:tbl>
    <w:p w14:paraId="185A055F">
      <w:pPr>
        <w:pStyle w:val="223"/>
        <w:ind w:firstLine="560"/>
        <w:rPr>
          <w:rFonts w:hint="default" w:ascii="Times New Roman" w:hAnsi="Times New Roman" w:eastAsia="仿宋" w:cs="Times New Roman"/>
        </w:rPr>
      </w:pPr>
      <w:bookmarkStart w:id="37" w:name="_Hlk174715630"/>
      <w:r>
        <w:rPr>
          <w:rFonts w:hint="default" w:ascii="Times New Roman" w:hAnsi="Times New Roman" w:eastAsia="仿宋" w:cs="Times New Roman"/>
        </w:rPr>
        <w:t>（6）空调系统</w:t>
      </w:r>
    </w:p>
    <w:bookmarkEnd w:id="37"/>
    <w:p w14:paraId="7C090F05">
      <w:pPr>
        <w:pStyle w:val="223"/>
        <w:ind w:firstLine="560"/>
        <w:rPr>
          <w:rFonts w:hint="default" w:ascii="Times New Roman" w:hAnsi="Times New Roman" w:eastAsia="仿宋" w:cs="Times New Roman"/>
        </w:rPr>
      </w:pPr>
      <w:bookmarkStart w:id="38" w:name="_Hlk174715638"/>
      <w:r>
        <w:rPr>
          <w:rFonts w:hint="default" w:ascii="Times New Roman" w:hAnsi="Times New Roman" w:eastAsia="仿宋" w:cs="Times New Roman"/>
        </w:rPr>
        <w:t>根据生产车间温湿度要求及车间工艺设备的排列，车间设置了组合式喷淋水洗空调机组，空调箱机组包含的功能段如下：回风段、新风回风混合段、喷淋段、中间段、风机段、蒸汽加湿段。空调系统采用除尘回风+上送侧回的气流组织形式。空气由车间上部的风口均匀送入车间，生产设备的工艺排风由自带收集口收集后通过除尘机组过滤后进入空调系统，作为回风利用，还有一部分车间空气通过车间侧墙上的回风滤尘器过滤后回到空调室补风，并从室外补充一定的新鲜空气。车间回风与新风混合后，经空调箱机组喷淋水洗处理后，由送风机送入总风道。每根送风支管设置多叶调节阀，可根据需求对风量进行调节。空调机组运行主要使用除尘机组处理后的回风和车间回风，主要原因是这部分风的温湿度相比室外新风，更接近工艺使用要求，可以达到节能降耗的目的。</w:t>
      </w:r>
    </w:p>
    <w:p w14:paraId="09E2D6A8">
      <w:pPr>
        <w:pStyle w:val="223"/>
        <w:ind w:firstLine="560"/>
        <w:rPr>
          <w:rFonts w:hint="default" w:ascii="Times New Roman" w:hAnsi="Times New Roman" w:eastAsia="仿宋" w:cs="Times New Roman"/>
        </w:rPr>
      </w:pPr>
      <w:r>
        <w:rPr>
          <w:rFonts w:hint="default" w:ascii="Times New Roman" w:hAnsi="Times New Roman" w:eastAsia="仿宋" w:cs="Times New Roman"/>
        </w:rPr>
        <w:t>此外，空调机组中喷淋的主要作用一是在夏季用冷冻水对空气进行热量交换，从而达到降温，其次是调节空气的相对湿度，使之符合工艺要求，三是对空气有一定的洗涤作用。</w:t>
      </w:r>
    </w:p>
    <w:bookmarkEnd w:id="30"/>
    <w:bookmarkEnd w:id="38"/>
    <w:p w14:paraId="2ED9F86F">
      <w:pPr>
        <w:outlineLvl w:val="1"/>
        <w:rPr>
          <w:rFonts w:hint="default" w:ascii="Times New Roman" w:hAnsi="Times New Roman" w:eastAsia="仿宋" w:cs="Times New Roman"/>
          <w:b/>
          <w:bCs/>
          <w:szCs w:val="28"/>
        </w:rPr>
      </w:pPr>
      <w:bookmarkStart w:id="39" w:name="_Toc13708"/>
      <w:r>
        <w:rPr>
          <w:rFonts w:hint="default" w:ascii="Times New Roman" w:hAnsi="Times New Roman" w:eastAsia="仿宋" w:cs="Times New Roman"/>
          <w:b/>
          <w:bCs/>
          <w:szCs w:val="28"/>
        </w:rPr>
        <w:t>2.4环保治理措施</w:t>
      </w:r>
      <w:bookmarkEnd w:id="39"/>
    </w:p>
    <w:p w14:paraId="690DA3B1">
      <w:pPr>
        <w:ind w:firstLine="560" w:firstLineChars="200"/>
        <w:rPr>
          <w:rFonts w:hint="default" w:ascii="Times New Roman" w:hAnsi="Times New Roman" w:eastAsia="仿宋" w:cs="Times New Roman"/>
        </w:rPr>
      </w:pPr>
      <w:r>
        <w:rPr>
          <w:rFonts w:hint="default" w:ascii="Times New Roman" w:hAnsi="Times New Roman" w:eastAsia="仿宋" w:cs="Times New Roman"/>
        </w:rPr>
        <w:t>本公司生产过程中产生的污染物涉及废气、废水、固体废物。</w:t>
      </w:r>
    </w:p>
    <w:p w14:paraId="496D35CA">
      <w:pPr>
        <w:ind w:firstLine="560" w:firstLineChars="200"/>
        <w:rPr>
          <w:rFonts w:hint="default" w:ascii="Times New Roman" w:hAnsi="Times New Roman" w:eastAsia="仿宋" w:cs="Times New Roman"/>
        </w:rPr>
      </w:pPr>
      <w:r>
        <w:rPr>
          <w:rFonts w:hint="default" w:ascii="Times New Roman" w:hAnsi="Times New Roman" w:eastAsia="仿宋" w:cs="Times New Roman"/>
        </w:rPr>
        <w:t>（1）废气</w:t>
      </w:r>
    </w:p>
    <w:p w14:paraId="07DAD7B9">
      <w:pPr>
        <w:ind w:firstLine="560" w:firstLineChars="200"/>
        <w:rPr>
          <w:rFonts w:hint="default" w:ascii="Times New Roman" w:hAnsi="Times New Roman" w:eastAsia="仿宋" w:cs="Times New Roman"/>
        </w:rPr>
      </w:pPr>
      <w:r>
        <w:rPr>
          <w:rFonts w:hint="default" w:ascii="Times New Roman" w:hAnsi="Times New Roman" w:eastAsia="仿宋" w:cs="Times New Roman"/>
        </w:rPr>
        <w:t>废气污染物来源、治理设施及排放方式见下表。</w:t>
      </w:r>
    </w:p>
    <w:p w14:paraId="667536BA">
      <w:pPr>
        <w:ind w:firstLine="560" w:firstLineChars="200"/>
        <w:jc w:val="center"/>
        <w:rPr>
          <w:rFonts w:hint="default" w:ascii="Times New Roman" w:hAnsi="Times New Roman" w:eastAsia="仿宋" w:cs="Times New Roman"/>
        </w:rPr>
      </w:pPr>
      <w:r>
        <w:rPr>
          <w:rFonts w:hint="default" w:ascii="Times New Roman" w:hAnsi="Times New Roman" w:eastAsia="仿宋" w:cs="Times New Roman"/>
        </w:rPr>
        <w:t>表3.3-4 废气污染物来源、治理设施及排放方式汇总表</w:t>
      </w:r>
    </w:p>
    <w:tbl>
      <w:tblPr>
        <w:tblStyle w:val="43"/>
        <w:tblW w:w="4821"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195"/>
        <w:gridCol w:w="2979"/>
        <w:gridCol w:w="920"/>
        <w:gridCol w:w="882"/>
        <w:gridCol w:w="1712"/>
        <w:gridCol w:w="1911"/>
      </w:tblGrid>
      <w:tr w14:paraId="2445F85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2" w:type="pct"/>
            <w:vAlign w:val="center"/>
          </w:tcPr>
          <w:p w14:paraId="39C16280">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来源</w:t>
            </w:r>
          </w:p>
        </w:tc>
        <w:tc>
          <w:tcPr>
            <w:tcW w:w="1551" w:type="pct"/>
            <w:vAlign w:val="center"/>
          </w:tcPr>
          <w:p w14:paraId="4AEC95AD">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污染工序</w:t>
            </w:r>
          </w:p>
        </w:tc>
        <w:tc>
          <w:tcPr>
            <w:tcW w:w="479" w:type="pct"/>
            <w:vAlign w:val="center"/>
          </w:tcPr>
          <w:p w14:paraId="7136EB21">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污染因子</w:t>
            </w:r>
          </w:p>
        </w:tc>
        <w:tc>
          <w:tcPr>
            <w:tcW w:w="459" w:type="pct"/>
            <w:vAlign w:val="center"/>
          </w:tcPr>
          <w:p w14:paraId="62E756A9">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收集方式</w:t>
            </w:r>
          </w:p>
        </w:tc>
        <w:tc>
          <w:tcPr>
            <w:tcW w:w="891" w:type="pct"/>
            <w:vAlign w:val="center"/>
          </w:tcPr>
          <w:p w14:paraId="5FF46D08">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治理设施</w:t>
            </w:r>
          </w:p>
        </w:tc>
        <w:tc>
          <w:tcPr>
            <w:tcW w:w="995" w:type="pct"/>
            <w:vAlign w:val="center"/>
          </w:tcPr>
          <w:p w14:paraId="3F07AB5E">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排放方式</w:t>
            </w:r>
          </w:p>
        </w:tc>
      </w:tr>
      <w:tr w14:paraId="69517C6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2" w:type="pct"/>
            <w:vAlign w:val="center"/>
          </w:tcPr>
          <w:p w14:paraId="2B55B8A4">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开松混合和梳理成网工序</w:t>
            </w:r>
          </w:p>
        </w:tc>
        <w:tc>
          <w:tcPr>
            <w:tcW w:w="1551" w:type="pct"/>
            <w:vAlign w:val="center"/>
          </w:tcPr>
          <w:p w14:paraId="12992F8B">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预开松机、开松机、大仓混棉机、精开松机、末道棉箱、气压棉箱、梳理机等</w:t>
            </w:r>
          </w:p>
        </w:tc>
        <w:tc>
          <w:tcPr>
            <w:tcW w:w="479" w:type="pct"/>
            <w:vAlign w:val="center"/>
          </w:tcPr>
          <w:p w14:paraId="19C1914F">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粉尘G1</w:t>
            </w:r>
          </w:p>
        </w:tc>
        <w:tc>
          <w:tcPr>
            <w:tcW w:w="459" w:type="pct"/>
            <w:vAlign w:val="center"/>
          </w:tcPr>
          <w:p w14:paraId="31F044D0">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密闭管道负压收集</w:t>
            </w:r>
          </w:p>
        </w:tc>
        <w:tc>
          <w:tcPr>
            <w:tcW w:w="891" w:type="pct"/>
            <w:vAlign w:val="center"/>
          </w:tcPr>
          <w:p w14:paraId="698CB37B">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除尘机组+空调过滤系统</w:t>
            </w:r>
          </w:p>
        </w:tc>
        <w:tc>
          <w:tcPr>
            <w:tcW w:w="995" w:type="pct"/>
            <w:vAlign w:val="center"/>
          </w:tcPr>
          <w:p w14:paraId="55CE604E">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不排放</w:t>
            </w:r>
          </w:p>
        </w:tc>
      </w:tr>
      <w:tr w14:paraId="28C2EA6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2" w:type="pct"/>
            <w:vAlign w:val="center"/>
          </w:tcPr>
          <w:p w14:paraId="761D9297">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烘干定型工序</w:t>
            </w:r>
          </w:p>
        </w:tc>
        <w:tc>
          <w:tcPr>
            <w:tcW w:w="1551" w:type="pct"/>
            <w:vAlign w:val="center"/>
          </w:tcPr>
          <w:p w14:paraId="678DA6A3">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直燃式烘干机</w:t>
            </w:r>
          </w:p>
        </w:tc>
        <w:tc>
          <w:tcPr>
            <w:tcW w:w="479" w:type="pct"/>
            <w:vAlign w:val="center"/>
          </w:tcPr>
          <w:p w14:paraId="403E97C0">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燃气废气G2</w:t>
            </w:r>
          </w:p>
        </w:tc>
        <w:tc>
          <w:tcPr>
            <w:tcW w:w="459" w:type="pct"/>
            <w:vAlign w:val="center"/>
          </w:tcPr>
          <w:p w14:paraId="3C50871A">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负压收集</w:t>
            </w:r>
          </w:p>
        </w:tc>
        <w:tc>
          <w:tcPr>
            <w:tcW w:w="891" w:type="pct"/>
            <w:vAlign w:val="center"/>
          </w:tcPr>
          <w:p w14:paraId="785BCEED">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低氮燃烧器</w:t>
            </w:r>
          </w:p>
        </w:tc>
        <w:tc>
          <w:tcPr>
            <w:tcW w:w="995" w:type="pct"/>
            <w:vAlign w:val="center"/>
          </w:tcPr>
          <w:p w14:paraId="751E5C2C">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排气筒DA001、DA002有组织排放</w:t>
            </w:r>
          </w:p>
        </w:tc>
      </w:tr>
      <w:tr w14:paraId="463EB7F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2" w:type="pct"/>
            <w:vAlign w:val="center"/>
          </w:tcPr>
          <w:p w14:paraId="58A7A3AC">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食堂</w:t>
            </w:r>
          </w:p>
        </w:tc>
        <w:tc>
          <w:tcPr>
            <w:tcW w:w="1551" w:type="pct"/>
            <w:vAlign w:val="center"/>
          </w:tcPr>
          <w:p w14:paraId="323EDC0C">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油烟</w:t>
            </w:r>
          </w:p>
        </w:tc>
        <w:tc>
          <w:tcPr>
            <w:tcW w:w="479" w:type="pct"/>
            <w:vAlign w:val="center"/>
          </w:tcPr>
          <w:p w14:paraId="308C74AE">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油烟废气</w:t>
            </w:r>
          </w:p>
        </w:tc>
        <w:tc>
          <w:tcPr>
            <w:tcW w:w="459" w:type="pct"/>
            <w:vAlign w:val="center"/>
          </w:tcPr>
          <w:p w14:paraId="1764F328">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集气罩</w:t>
            </w:r>
          </w:p>
        </w:tc>
        <w:tc>
          <w:tcPr>
            <w:tcW w:w="891" w:type="pct"/>
            <w:vAlign w:val="center"/>
          </w:tcPr>
          <w:p w14:paraId="16D10500">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油烟净化设施</w:t>
            </w:r>
          </w:p>
        </w:tc>
        <w:tc>
          <w:tcPr>
            <w:tcW w:w="995" w:type="pct"/>
            <w:vAlign w:val="center"/>
          </w:tcPr>
          <w:p w14:paraId="6BB97EB4">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楼顶排放口DA003排放</w:t>
            </w:r>
          </w:p>
        </w:tc>
      </w:tr>
    </w:tbl>
    <w:p w14:paraId="1B88A8E3">
      <w:pPr>
        <w:ind w:firstLine="560" w:firstLineChars="200"/>
        <w:rPr>
          <w:rFonts w:hint="default" w:ascii="Times New Roman" w:hAnsi="Times New Roman" w:eastAsia="仿宋" w:cs="Times New Roman"/>
        </w:rPr>
      </w:pPr>
      <w:r>
        <w:rPr>
          <w:rFonts w:hint="default" w:ascii="Times New Roman" w:hAnsi="Times New Roman" w:eastAsia="仿宋" w:cs="Times New Roman"/>
        </w:rPr>
        <w:t>（2）废水</w:t>
      </w:r>
    </w:p>
    <w:p w14:paraId="7DF992D6">
      <w:pPr>
        <w:ind w:firstLine="560" w:firstLineChars="200"/>
        <w:rPr>
          <w:rFonts w:hint="default" w:ascii="Times New Roman" w:hAnsi="Times New Roman" w:eastAsia="仿宋" w:cs="Times New Roman"/>
        </w:rPr>
      </w:pPr>
      <w:r>
        <w:rPr>
          <w:rFonts w:hint="default" w:ascii="Times New Roman" w:hAnsi="Times New Roman" w:eastAsia="仿宋" w:cs="Times New Roman"/>
        </w:rPr>
        <w:t>废水包括生产废水和生活污水，其中生产废水包括水刺机清洗废水、水刺工序废水、水过滤系统配件清洗废水、空调系统喷淋废水、车间地面清洗废水；生活污水包括员工日常生活污水和食堂废水。</w:t>
      </w:r>
    </w:p>
    <w:p w14:paraId="6A8312F3">
      <w:pPr>
        <w:ind w:firstLine="560" w:firstLineChars="200"/>
        <w:rPr>
          <w:rFonts w:hint="default" w:ascii="Times New Roman" w:hAnsi="Times New Roman" w:eastAsia="仿宋" w:cs="Times New Roman"/>
        </w:rPr>
      </w:pPr>
      <w:r>
        <w:rPr>
          <w:rFonts w:hint="default" w:ascii="Times New Roman" w:hAnsi="Times New Roman" w:eastAsia="仿宋" w:cs="Times New Roman"/>
        </w:rPr>
        <w:t>生产废水进入厂区污水处理站处理后与经化粪池沉淀的生活污水、经隔油池处理的食堂废水汇合，由厂区污水总排口经市政管网至轻纺工业园污水处理厂处理。</w:t>
      </w:r>
    </w:p>
    <w:p w14:paraId="7A2D8D33">
      <w:pPr>
        <w:ind w:firstLine="560" w:firstLineChars="200"/>
        <w:rPr>
          <w:rFonts w:hint="default" w:ascii="Times New Roman" w:hAnsi="Times New Roman" w:eastAsia="仿宋" w:cs="Times New Roman"/>
        </w:rPr>
      </w:pPr>
      <w:r>
        <w:rPr>
          <w:rFonts w:hint="default" w:ascii="Times New Roman" w:hAnsi="Times New Roman" w:eastAsia="仿宋" w:cs="Times New Roman"/>
        </w:rPr>
        <w:t>由于本公司生产废水间断产生，为了调节废水水质和减少对污水处理站的冲击，污水处理站配套建设1个地下集水池，污水处理站集水池可容纳废水量大于日最大产生量。</w:t>
      </w:r>
    </w:p>
    <w:p w14:paraId="73641CD0">
      <w:pPr>
        <w:ind w:firstLine="560" w:firstLineChars="200"/>
        <w:rPr>
          <w:rFonts w:hint="default" w:ascii="Times New Roman" w:hAnsi="Times New Roman" w:eastAsia="仿宋" w:cs="Times New Roman"/>
        </w:rPr>
      </w:pPr>
      <w:r>
        <w:rPr>
          <w:rFonts w:hint="default" w:ascii="Times New Roman" w:hAnsi="Times New Roman" w:eastAsia="仿宋" w:cs="Times New Roman"/>
        </w:rPr>
        <w:t>（3）固废</w:t>
      </w:r>
    </w:p>
    <w:p w14:paraId="7F416ED9">
      <w:pPr>
        <w:ind w:firstLine="560" w:firstLineChars="200"/>
        <w:rPr>
          <w:rFonts w:hint="default" w:ascii="Times New Roman" w:hAnsi="Times New Roman" w:eastAsia="仿宋" w:cs="Times New Roman"/>
        </w:rPr>
      </w:pPr>
      <w:r>
        <w:rPr>
          <w:rFonts w:hint="default" w:ascii="Times New Roman" w:hAnsi="Times New Roman" w:eastAsia="仿宋" w:cs="Times New Roman"/>
        </w:rPr>
        <w:t>本公司生活垃圾的产生主要是由于员工日常办公产生的废纸等，收集后由城管委清运。</w:t>
      </w:r>
    </w:p>
    <w:p w14:paraId="0C4689E0">
      <w:pPr>
        <w:ind w:firstLine="560" w:firstLineChars="200"/>
        <w:rPr>
          <w:rFonts w:hint="default" w:ascii="Times New Roman" w:hAnsi="Times New Roman" w:eastAsia="仿宋" w:cs="Times New Roman"/>
        </w:rPr>
      </w:pPr>
      <w:r>
        <w:rPr>
          <w:rFonts w:hint="default" w:ascii="Times New Roman" w:hAnsi="Times New Roman" w:eastAsia="仿宋" w:cs="Times New Roman"/>
        </w:rPr>
        <w:t>一般工业固体废物主要为废包装材料、除尘灰、废滤袋、废边角料及不合格品、污泥。本公司设置一般工业固废暂存间，位于生产车间内西北角，建筑面积约32平方米。各类废物可分类收集、定点存于厂区内的一般工业固废暂存间，同时定期外运处理，其中除尘灰委托一般工业固体废物处置单位清运处理，其他固体废物集中收集后定期外售物资回收部门。</w:t>
      </w:r>
    </w:p>
    <w:p w14:paraId="7BC5F8E9">
      <w:pPr>
        <w:ind w:firstLine="560" w:firstLineChars="200"/>
        <w:rPr>
          <w:rFonts w:hint="default" w:ascii="Times New Roman" w:hAnsi="Times New Roman" w:eastAsia="仿宋" w:cs="Times New Roman"/>
        </w:rPr>
      </w:pPr>
      <w:r>
        <w:rPr>
          <w:rFonts w:hint="default" w:ascii="Times New Roman" w:hAnsi="Times New Roman" w:eastAsia="仿宋" w:cs="Times New Roman"/>
        </w:rPr>
        <w:t>危险废物主要为废润滑油、废液压油、废油桶、沾染废物（废抹布、废棉纱），本公司设置1处危险废物暂存间，位于厂区污水处理站南侧，面积为43m2。地面应进行硬化处理，采取防腐防渗措施，设置托盘等，根据《建设项目危险废物环境影响评价指南》（公告2017年第43号）要求，本评价明确危险废物的名称、数量、类别、形态、危险特性和污染防治措施等内容，危险废物基本情况详见下表：</w:t>
      </w:r>
    </w:p>
    <w:p w14:paraId="3C8AC6D9">
      <w:pPr>
        <w:pStyle w:val="226"/>
        <w:rPr>
          <w:rFonts w:hint="default" w:ascii="Times New Roman" w:hAnsi="Times New Roman" w:eastAsia="仿宋" w:cs="Times New Roman"/>
        </w:rPr>
      </w:pPr>
      <w:r>
        <w:rPr>
          <w:rFonts w:hint="default" w:ascii="Times New Roman" w:hAnsi="Times New Roman" w:eastAsia="仿宋" w:cs="Times New Roman"/>
        </w:rPr>
        <w:t>表</w:t>
      </w:r>
      <w:r>
        <w:rPr>
          <w:rFonts w:hint="eastAsia" w:ascii="Times New Roman" w:hAnsi="Times New Roman" w:cs="Times New Roman"/>
          <w:lang w:val="en-US" w:eastAsia="zh-CN"/>
        </w:rPr>
        <w:t>2.4</w:t>
      </w:r>
      <w:r>
        <w:rPr>
          <w:rFonts w:hint="default" w:ascii="Times New Roman" w:hAnsi="Times New Roman" w:eastAsia="仿宋" w:cs="Times New Roman"/>
        </w:rPr>
        <w:t>-</w:t>
      </w:r>
      <w:r>
        <w:rPr>
          <w:rFonts w:hint="eastAsia" w:ascii="Times New Roman" w:hAnsi="Times New Roman" w:cs="Times New Roman"/>
          <w:lang w:val="en-US" w:eastAsia="zh-CN"/>
        </w:rPr>
        <w:t>1</w:t>
      </w:r>
      <w:r>
        <w:rPr>
          <w:rFonts w:hint="default" w:ascii="Times New Roman" w:hAnsi="Times New Roman" w:eastAsia="仿宋" w:cs="Times New Roman"/>
        </w:rPr>
        <w:t xml:space="preserve">  危险废物汇总表</w:t>
      </w:r>
    </w:p>
    <w:tbl>
      <w:tblPr>
        <w:tblStyle w:val="43"/>
        <w:tblW w:w="5161"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373"/>
        <w:gridCol w:w="2125"/>
        <w:gridCol w:w="1036"/>
        <w:gridCol w:w="1221"/>
        <w:gridCol w:w="873"/>
        <w:gridCol w:w="982"/>
        <w:gridCol w:w="927"/>
        <w:gridCol w:w="851"/>
        <w:gridCol w:w="888"/>
      </w:tblGrid>
      <w:tr w14:paraId="26C93DD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68" w:type="pct"/>
            <w:tcBorders>
              <w:tl2br w:val="nil"/>
              <w:tr2bl w:val="nil"/>
            </w:tcBorders>
            <w:shd w:val="clear" w:color="auto" w:fill="auto"/>
            <w:vAlign w:val="center"/>
          </w:tcPr>
          <w:p w14:paraId="32FB4554">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名称</w:t>
            </w:r>
          </w:p>
        </w:tc>
        <w:tc>
          <w:tcPr>
            <w:tcW w:w="1034" w:type="pct"/>
            <w:tcBorders>
              <w:tl2br w:val="nil"/>
              <w:tr2bl w:val="nil"/>
            </w:tcBorders>
            <w:shd w:val="clear" w:color="auto" w:fill="auto"/>
            <w:vAlign w:val="center"/>
          </w:tcPr>
          <w:p w14:paraId="6C9F80D4">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危废类别及</w:t>
            </w:r>
          </w:p>
          <w:p w14:paraId="3E1E32A3">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编号</w:t>
            </w:r>
          </w:p>
        </w:tc>
        <w:tc>
          <w:tcPr>
            <w:tcW w:w="504" w:type="pct"/>
            <w:tcBorders>
              <w:tl2br w:val="nil"/>
              <w:tr2bl w:val="nil"/>
            </w:tcBorders>
            <w:shd w:val="clear" w:color="auto" w:fill="auto"/>
            <w:vAlign w:val="center"/>
          </w:tcPr>
          <w:p w14:paraId="2789672A">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产生</w:t>
            </w:r>
          </w:p>
          <w:p w14:paraId="5D4788D4">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工序</w:t>
            </w:r>
          </w:p>
        </w:tc>
        <w:tc>
          <w:tcPr>
            <w:tcW w:w="594" w:type="pct"/>
            <w:tcBorders>
              <w:tl2br w:val="nil"/>
              <w:tr2bl w:val="nil"/>
            </w:tcBorders>
            <w:shd w:val="clear" w:color="auto" w:fill="auto"/>
            <w:vAlign w:val="center"/>
          </w:tcPr>
          <w:p w14:paraId="1C590D4D">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产生量</w:t>
            </w:r>
          </w:p>
        </w:tc>
        <w:tc>
          <w:tcPr>
            <w:tcW w:w="425" w:type="pct"/>
            <w:tcBorders>
              <w:tl2br w:val="nil"/>
              <w:tr2bl w:val="nil"/>
            </w:tcBorders>
            <w:shd w:val="clear" w:color="auto" w:fill="auto"/>
            <w:vAlign w:val="center"/>
          </w:tcPr>
          <w:p w14:paraId="1F60061C">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形态</w:t>
            </w:r>
          </w:p>
        </w:tc>
        <w:tc>
          <w:tcPr>
            <w:tcW w:w="478" w:type="pct"/>
            <w:tcBorders>
              <w:tl2br w:val="nil"/>
              <w:tr2bl w:val="nil"/>
            </w:tcBorders>
            <w:shd w:val="clear" w:color="auto" w:fill="auto"/>
            <w:vAlign w:val="center"/>
          </w:tcPr>
          <w:p w14:paraId="41D7306C">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有害</w:t>
            </w:r>
          </w:p>
          <w:p w14:paraId="77696750">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成分</w:t>
            </w:r>
          </w:p>
        </w:tc>
        <w:tc>
          <w:tcPr>
            <w:tcW w:w="451" w:type="pct"/>
            <w:tcBorders>
              <w:tl2br w:val="nil"/>
              <w:tr2bl w:val="nil"/>
            </w:tcBorders>
            <w:shd w:val="clear" w:color="auto" w:fill="auto"/>
            <w:vAlign w:val="center"/>
          </w:tcPr>
          <w:p w14:paraId="21AD5E3A">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产废</w:t>
            </w:r>
          </w:p>
          <w:p w14:paraId="13049BC8">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周期</w:t>
            </w:r>
          </w:p>
        </w:tc>
        <w:tc>
          <w:tcPr>
            <w:tcW w:w="414" w:type="pct"/>
            <w:tcBorders>
              <w:tl2br w:val="nil"/>
              <w:tr2bl w:val="nil"/>
            </w:tcBorders>
            <w:shd w:val="clear" w:color="auto" w:fill="auto"/>
            <w:vAlign w:val="center"/>
          </w:tcPr>
          <w:p w14:paraId="32D910CA">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危险</w:t>
            </w:r>
          </w:p>
          <w:p w14:paraId="4C65D3A6">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特性</w:t>
            </w:r>
          </w:p>
        </w:tc>
        <w:tc>
          <w:tcPr>
            <w:tcW w:w="432" w:type="pct"/>
            <w:tcBorders>
              <w:tl2br w:val="nil"/>
              <w:tr2bl w:val="nil"/>
            </w:tcBorders>
            <w:shd w:val="clear" w:color="auto" w:fill="auto"/>
            <w:vAlign w:val="center"/>
          </w:tcPr>
          <w:p w14:paraId="79755EF8">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防治措施</w:t>
            </w:r>
          </w:p>
        </w:tc>
      </w:tr>
      <w:tr w14:paraId="7DA6074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68" w:type="pct"/>
            <w:tcBorders>
              <w:tl2br w:val="nil"/>
              <w:tr2bl w:val="nil"/>
            </w:tcBorders>
            <w:shd w:val="clear" w:color="auto" w:fill="auto"/>
            <w:vAlign w:val="center"/>
          </w:tcPr>
          <w:p w14:paraId="1157252C">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废润滑油</w:t>
            </w:r>
          </w:p>
        </w:tc>
        <w:tc>
          <w:tcPr>
            <w:tcW w:w="1034" w:type="pct"/>
            <w:tcBorders>
              <w:tl2br w:val="nil"/>
              <w:tr2bl w:val="nil"/>
            </w:tcBorders>
            <w:shd w:val="clear" w:color="auto" w:fill="auto"/>
            <w:vAlign w:val="center"/>
          </w:tcPr>
          <w:p w14:paraId="5739D350">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HW08  900-214-08</w:t>
            </w:r>
          </w:p>
        </w:tc>
        <w:tc>
          <w:tcPr>
            <w:tcW w:w="504" w:type="pct"/>
            <w:tcBorders>
              <w:tl2br w:val="nil"/>
              <w:tr2bl w:val="nil"/>
            </w:tcBorders>
            <w:shd w:val="clear" w:color="auto" w:fill="auto"/>
            <w:vAlign w:val="center"/>
          </w:tcPr>
          <w:p w14:paraId="606C8518">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设备</w:t>
            </w:r>
          </w:p>
          <w:p w14:paraId="3E3ACC2D">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维护</w:t>
            </w:r>
          </w:p>
        </w:tc>
        <w:tc>
          <w:tcPr>
            <w:tcW w:w="594" w:type="pct"/>
            <w:tcBorders>
              <w:tl2br w:val="nil"/>
              <w:tr2bl w:val="nil"/>
            </w:tcBorders>
            <w:shd w:val="clear" w:color="auto" w:fill="auto"/>
            <w:vAlign w:val="center"/>
          </w:tcPr>
          <w:p w14:paraId="70B7A7BF">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0.02t/a</w:t>
            </w:r>
          </w:p>
        </w:tc>
        <w:tc>
          <w:tcPr>
            <w:tcW w:w="425" w:type="pct"/>
            <w:tcBorders>
              <w:tl2br w:val="nil"/>
              <w:tr2bl w:val="nil"/>
            </w:tcBorders>
            <w:shd w:val="clear" w:color="auto" w:fill="auto"/>
            <w:vAlign w:val="center"/>
          </w:tcPr>
          <w:p w14:paraId="50AB3C94">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液态</w:t>
            </w:r>
          </w:p>
        </w:tc>
        <w:tc>
          <w:tcPr>
            <w:tcW w:w="478" w:type="pct"/>
            <w:tcBorders>
              <w:tl2br w:val="nil"/>
              <w:tr2bl w:val="nil"/>
            </w:tcBorders>
            <w:shd w:val="clear" w:color="auto" w:fill="auto"/>
            <w:vAlign w:val="center"/>
          </w:tcPr>
          <w:p w14:paraId="543FCCB6">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矿物油</w:t>
            </w:r>
          </w:p>
        </w:tc>
        <w:tc>
          <w:tcPr>
            <w:tcW w:w="451" w:type="pct"/>
            <w:tcBorders>
              <w:tl2br w:val="nil"/>
              <w:tr2bl w:val="nil"/>
            </w:tcBorders>
            <w:shd w:val="clear" w:color="auto" w:fill="auto"/>
            <w:vAlign w:val="center"/>
          </w:tcPr>
          <w:p w14:paraId="2E9D3EE1">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1~2月</w:t>
            </w:r>
          </w:p>
        </w:tc>
        <w:tc>
          <w:tcPr>
            <w:tcW w:w="414" w:type="pct"/>
            <w:tcBorders>
              <w:tl2br w:val="nil"/>
              <w:tr2bl w:val="nil"/>
            </w:tcBorders>
            <w:shd w:val="clear" w:color="auto" w:fill="auto"/>
            <w:vAlign w:val="center"/>
          </w:tcPr>
          <w:p w14:paraId="618212A1">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T</w:t>
            </w:r>
          </w:p>
        </w:tc>
        <w:tc>
          <w:tcPr>
            <w:tcW w:w="432" w:type="pct"/>
            <w:vMerge w:val="restart"/>
            <w:tcBorders>
              <w:tl2br w:val="nil"/>
              <w:tr2bl w:val="nil"/>
            </w:tcBorders>
            <w:shd w:val="clear" w:color="auto" w:fill="auto"/>
            <w:vAlign w:val="center"/>
          </w:tcPr>
          <w:p w14:paraId="5611A2F9">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暂存于危废暂存间，定期交有资质单位处置</w:t>
            </w:r>
          </w:p>
        </w:tc>
      </w:tr>
      <w:tr w14:paraId="3FD3FDD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68" w:type="pct"/>
            <w:tcBorders>
              <w:tl2br w:val="nil"/>
              <w:tr2bl w:val="nil"/>
            </w:tcBorders>
            <w:shd w:val="clear" w:color="auto" w:fill="auto"/>
            <w:vAlign w:val="center"/>
          </w:tcPr>
          <w:p w14:paraId="6572A41B">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废液压油</w:t>
            </w:r>
          </w:p>
        </w:tc>
        <w:tc>
          <w:tcPr>
            <w:tcW w:w="1034" w:type="pct"/>
            <w:tcBorders>
              <w:tl2br w:val="nil"/>
              <w:tr2bl w:val="nil"/>
            </w:tcBorders>
            <w:shd w:val="clear" w:color="auto" w:fill="auto"/>
            <w:vAlign w:val="center"/>
          </w:tcPr>
          <w:p w14:paraId="7A0E9452">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HW08  900-214-08</w:t>
            </w:r>
          </w:p>
        </w:tc>
        <w:tc>
          <w:tcPr>
            <w:tcW w:w="504" w:type="pct"/>
            <w:tcBorders>
              <w:tl2br w:val="nil"/>
              <w:tr2bl w:val="nil"/>
            </w:tcBorders>
            <w:shd w:val="clear" w:color="auto" w:fill="auto"/>
            <w:vAlign w:val="center"/>
          </w:tcPr>
          <w:p w14:paraId="1C5CF8F0">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叉车</w:t>
            </w:r>
          </w:p>
          <w:p w14:paraId="35C6DF70">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维护</w:t>
            </w:r>
          </w:p>
        </w:tc>
        <w:tc>
          <w:tcPr>
            <w:tcW w:w="594" w:type="pct"/>
            <w:tcBorders>
              <w:tl2br w:val="nil"/>
              <w:tr2bl w:val="nil"/>
            </w:tcBorders>
            <w:shd w:val="clear" w:color="auto" w:fill="auto"/>
            <w:vAlign w:val="center"/>
          </w:tcPr>
          <w:p w14:paraId="297693C5">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0.01t/a</w:t>
            </w:r>
          </w:p>
        </w:tc>
        <w:tc>
          <w:tcPr>
            <w:tcW w:w="425" w:type="pct"/>
            <w:tcBorders>
              <w:tl2br w:val="nil"/>
              <w:tr2bl w:val="nil"/>
            </w:tcBorders>
            <w:shd w:val="clear" w:color="auto" w:fill="auto"/>
            <w:vAlign w:val="center"/>
          </w:tcPr>
          <w:p w14:paraId="450FBC5D">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液态</w:t>
            </w:r>
          </w:p>
        </w:tc>
        <w:tc>
          <w:tcPr>
            <w:tcW w:w="478" w:type="pct"/>
            <w:tcBorders>
              <w:tl2br w:val="nil"/>
              <w:tr2bl w:val="nil"/>
            </w:tcBorders>
            <w:shd w:val="clear" w:color="auto" w:fill="auto"/>
            <w:vAlign w:val="center"/>
          </w:tcPr>
          <w:p w14:paraId="07BA26C9">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矿物油</w:t>
            </w:r>
          </w:p>
        </w:tc>
        <w:tc>
          <w:tcPr>
            <w:tcW w:w="451" w:type="pct"/>
            <w:tcBorders>
              <w:tl2br w:val="nil"/>
              <w:tr2bl w:val="nil"/>
            </w:tcBorders>
            <w:shd w:val="clear" w:color="auto" w:fill="auto"/>
            <w:vAlign w:val="center"/>
          </w:tcPr>
          <w:p w14:paraId="0B6EAF2F">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1~2月</w:t>
            </w:r>
          </w:p>
        </w:tc>
        <w:tc>
          <w:tcPr>
            <w:tcW w:w="414" w:type="pct"/>
            <w:tcBorders>
              <w:tl2br w:val="nil"/>
              <w:tr2bl w:val="nil"/>
            </w:tcBorders>
            <w:shd w:val="clear" w:color="auto" w:fill="auto"/>
            <w:vAlign w:val="center"/>
          </w:tcPr>
          <w:p w14:paraId="30436076">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T</w:t>
            </w:r>
          </w:p>
        </w:tc>
        <w:tc>
          <w:tcPr>
            <w:tcW w:w="432" w:type="pct"/>
            <w:vMerge w:val="continue"/>
            <w:tcBorders>
              <w:tl2br w:val="nil"/>
              <w:tr2bl w:val="nil"/>
            </w:tcBorders>
            <w:shd w:val="clear" w:color="auto" w:fill="auto"/>
            <w:vAlign w:val="center"/>
          </w:tcPr>
          <w:p w14:paraId="23D86629">
            <w:pPr>
              <w:spacing w:line="240" w:lineRule="auto"/>
              <w:jc w:val="center"/>
              <w:rPr>
                <w:rFonts w:hint="default" w:ascii="Times New Roman" w:hAnsi="Times New Roman" w:eastAsia="仿宋" w:cs="Times New Roman"/>
                <w:kern w:val="0"/>
                <w:sz w:val="24"/>
              </w:rPr>
            </w:pPr>
          </w:p>
        </w:tc>
      </w:tr>
      <w:tr w14:paraId="564D985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68" w:type="pct"/>
            <w:tcBorders>
              <w:tl2br w:val="nil"/>
              <w:tr2bl w:val="nil"/>
            </w:tcBorders>
            <w:shd w:val="clear" w:color="auto" w:fill="auto"/>
            <w:vAlign w:val="center"/>
          </w:tcPr>
          <w:p w14:paraId="42BD53B4">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废油桶</w:t>
            </w:r>
          </w:p>
        </w:tc>
        <w:tc>
          <w:tcPr>
            <w:tcW w:w="1034" w:type="pct"/>
            <w:tcBorders>
              <w:tl2br w:val="nil"/>
              <w:tr2bl w:val="nil"/>
            </w:tcBorders>
            <w:shd w:val="clear" w:color="auto" w:fill="auto"/>
            <w:vAlign w:val="center"/>
          </w:tcPr>
          <w:p w14:paraId="7441083D">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HW49  900-041-49</w:t>
            </w:r>
          </w:p>
        </w:tc>
        <w:tc>
          <w:tcPr>
            <w:tcW w:w="504" w:type="pct"/>
            <w:tcBorders>
              <w:tl2br w:val="nil"/>
              <w:tr2bl w:val="nil"/>
            </w:tcBorders>
            <w:shd w:val="clear" w:color="auto" w:fill="auto"/>
            <w:vAlign w:val="center"/>
          </w:tcPr>
          <w:p w14:paraId="7DE602EB">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设备</w:t>
            </w:r>
          </w:p>
          <w:p w14:paraId="7C0AEDD3">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维护</w:t>
            </w:r>
          </w:p>
        </w:tc>
        <w:tc>
          <w:tcPr>
            <w:tcW w:w="594" w:type="pct"/>
            <w:tcBorders>
              <w:tl2br w:val="nil"/>
              <w:tr2bl w:val="nil"/>
            </w:tcBorders>
            <w:shd w:val="clear" w:color="auto" w:fill="auto"/>
            <w:vAlign w:val="center"/>
          </w:tcPr>
          <w:p w14:paraId="4A52AC9D">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0.03t/a</w:t>
            </w:r>
          </w:p>
        </w:tc>
        <w:tc>
          <w:tcPr>
            <w:tcW w:w="425" w:type="pct"/>
            <w:tcBorders>
              <w:tl2br w:val="nil"/>
              <w:tr2bl w:val="nil"/>
            </w:tcBorders>
            <w:shd w:val="clear" w:color="auto" w:fill="auto"/>
            <w:vAlign w:val="center"/>
          </w:tcPr>
          <w:p w14:paraId="60B4F1B4">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固态</w:t>
            </w:r>
          </w:p>
        </w:tc>
        <w:tc>
          <w:tcPr>
            <w:tcW w:w="478" w:type="pct"/>
            <w:tcBorders>
              <w:tl2br w:val="nil"/>
              <w:tr2bl w:val="nil"/>
            </w:tcBorders>
            <w:shd w:val="clear" w:color="auto" w:fill="auto"/>
            <w:vAlign w:val="center"/>
          </w:tcPr>
          <w:p w14:paraId="18A96B19">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矿物油</w:t>
            </w:r>
          </w:p>
        </w:tc>
        <w:tc>
          <w:tcPr>
            <w:tcW w:w="451" w:type="pct"/>
            <w:tcBorders>
              <w:tl2br w:val="nil"/>
              <w:tr2bl w:val="nil"/>
            </w:tcBorders>
            <w:shd w:val="clear" w:color="auto" w:fill="auto"/>
            <w:vAlign w:val="center"/>
          </w:tcPr>
          <w:p w14:paraId="367E565B">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1~2周</w:t>
            </w:r>
          </w:p>
        </w:tc>
        <w:tc>
          <w:tcPr>
            <w:tcW w:w="414" w:type="pct"/>
            <w:tcBorders>
              <w:tl2br w:val="nil"/>
              <w:tr2bl w:val="nil"/>
            </w:tcBorders>
            <w:shd w:val="clear" w:color="auto" w:fill="auto"/>
            <w:vAlign w:val="center"/>
          </w:tcPr>
          <w:p w14:paraId="27C3A459">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T</w:t>
            </w:r>
          </w:p>
        </w:tc>
        <w:tc>
          <w:tcPr>
            <w:tcW w:w="432" w:type="pct"/>
            <w:vMerge w:val="continue"/>
            <w:tcBorders>
              <w:tl2br w:val="nil"/>
              <w:tr2bl w:val="nil"/>
            </w:tcBorders>
            <w:shd w:val="clear" w:color="auto" w:fill="auto"/>
            <w:vAlign w:val="center"/>
          </w:tcPr>
          <w:p w14:paraId="1784A228">
            <w:pPr>
              <w:spacing w:line="240" w:lineRule="auto"/>
              <w:jc w:val="center"/>
              <w:rPr>
                <w:rFonts w:hint="default" w:ascii="Times New Roman" w:hAnsi="Times New Roman" w:eastAsia="仿宋" w:cs="Times New Roman"/>
                <w:kern w:val="0"/>
                <w:sz w:val="24"/>
              </w:rPr>
            </w:pPr>
          </w:p>
        </w:tc>
      </w:tr>
      <w:tr w14:paraId="5D50378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68" w:type="pct"/>
            <w:tcBorders>
              <w:tl2br w:val="nil"/>
              <w:tr2bl w:val="nil"/>
            </w:tcBorders>
            <w:shd w:val="clear" w:color="auto" w:fill="auto"/>
            <w:vAlign w:val="center"/>
          </w:tcPr>
          <w:p w14:paraId="79DB450E">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沾染废物</w:t>
            </w:r>
          </w:p>
        </w:tc>
        <w:tc>
          <w:tcPr>
            <w:tcW w:w="1034" w:type="pct"/>
            <w:tcBorders>
              <w:tl2br w:val="nil"/>
              <w:tr2bl w:val="nil"/>
            </w:tcBorders>
            <w:shd w:val="clear" w:color="auto" w:fill="auto"/>
            <w:vAlign w:val="center"/>
          </w:tcPr>
          <w:p w14:paraId="6BF53467">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HW49  900-047-49</w:t>
            </w:r>
          </w:p>
        </w:tc>
        <w:tc>
          <w:tcPr>
            <w:tcW w:w="504" w:type="pct"/>
            <w:tcBorders>
              <w:tl2br w:val="nil"/>
              <w:tr2bl w:val="nil"/>
            </w:tcBorders>
            <w:shd w:val="clear" w:color="auto" w:fill="auto"/>
            <w:vAlign w:val="center"/>
          </w:tcPr>
          <w:p w14:paraId="38E8393F">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设备</w:t>
            </w:r>
          </w:p>
          <w:p w14:paraId="3FE8FA08">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维护</w:t>
            </w:r>
          </w:p>
        </w:tc>
        <w:tc>
          <w:tcPr>
            <w:tcW w:w="594" w:type="pct"/>
            <w:tcBorders>
              <w:tl2br w:val="nil"/>
              <w:tr2bl w:val="nil"/>
            </w:tcBorders>
            <w:shd w:val="clear" w:color="auto" w:fill="auto"/>
            <w:vAlign w:val="center"/>
          </w:tcPr>
          <w:p w14:paraId="67CCDE12">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0.05t/a</w:t>
            </w:r>
          </w:p>
        </w:tc>
        <w:tc>
          <w:tcPr>
            <w:tcW w:w="425" w:type="pct"/>
            <w:tcBorders>
              <w:tl2br w:val="nil"/>
              <w:tr2bl w:val="nil"/>
            </w:tcBorders>
            <w:shd w:val="clear" w:color="auto" w:fill="auto"/>
            <w:vAlign w:val="center"/>
          </w:tcPr>
          <w:p w14:paraId="39703839">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固态</w:t>
            </w:r>
          </w:p>
        </w:tc>
        <w:tc>
          <w:tcPr>
            <w:tcW w:w="478" w:type="pct"/>
            <w:tcBorders>
              <w:tl2br w:val="nil"/>
              <w:tr2bl w:val="nil"/>
            </w:tcBorders>
            <w:shd w:val="clear" w:color="auto" w:fill="auto"/>
            <w:vAlign w:val="center"/>
          </w:tcPr>
          <w:p w14:paraId="2129BAD3">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矿物油</w:t>
            </w:r>
          </w:p>
        </w:tc>
        <w:tc>
          <w:tcPr>
            <w:tcW w:w="451" w:type="pct"/>
            <w:tcBorders>
              <w:tl2br w:val="nil"/>
              <w:tr2bl w:val="nil"/>
            </w:tcBorders>
            <w:shd w:val="clear" w:color="auto" w:fill="auto"/>
            <w:vAlign w:val="center"/>
          </w:tcPr>
          <w:p w14:paraId="58F0FB81">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1~2月</w:t>
            </w:r>
          </w:p>
        </w:tc>
        <w:tc>
          <w:tcPr>
            <w:tcW w:w="414" w:type="pct"/>
            <w:tcBorders>
              <w:tl2br w:val="nil"/>
              <w:tr2bl w:val="nil"/>
            </w:tcBorders>
            <w:shd w:val="clear" w:color="auto" w:fill="auto"/>
            <w:vAlign w:val="center"/>
          </w:tcPr>
          <w:p w14:paraId="2FED6F50">
            <w:pPr>
              <w:spacing w:line="240" w:lineRule="auto"/>
              <w:jc w:val="center"/>
              <w:rPr>
                <w:rFonts w:hint="default" w:ascii="Times New Roman" w:hAnsi="Times New Roman" w:eastAsia="仿宋" w:cs="Times New Roman"/>
                <w:kern w:val="0"/>
                <w:sz w:val="24"/>
              </w:rPr>
            </w:pPr>
            <w:r>
              <w:rPr>
                <w:rFonts w:hint="default" w:ascii="Times New Roman" w:hAnsi="Times New Roman" w:eastAsia="仿宋" w:cs="Times New Roman"/>
                <w:kern w:val="0"/>
                <w:sz w:val="24"/>
              </w:rPr>
              <w:t>T/I</w:t>
            </w:r>
          </w:p>
        </w:tc>
        <w:tc>
          <w:tcPr>
            <w:tcW w:w="432" w:type="pct"/>
            <w:vMerge w:val="continue"/>
            <w:tcBorders>
              <w:tl2br w:val="nil"/>
              <w:tr2bl w:val="nil"/>
            </w:tcBorders>
            <w:shd w:val="clear" w:color="auto" w:fill="auto"/>
            <w:vAlign w:val="center"/>
          </w:tcPr>
          <w:p w14:paraId="42D415AC">
            <w:pPr>
              <w:spacing w:line="240" w:lineRule="auto"/>
              <w:jc w:val="center"/>
              <w:rPr>
                <w:rFonts w:hint="default" w:ascii="Times New Roman" w:hAnsi="Times New Roman" w:eastAsia="仿宋" w:cs="Times New Roman"/>
                <w:kern w:val="0"/>
                <w:sz w:val="24"/>
              </w:rPr>
            </w:pPr>
          </w:p>
        </w:tc>
      </w:tr>
    </w:tbl>
    <w:p w14:paraId="52C6DE5D">
      <w:pPr>
        <w:pStyle w:val="17"/>
        <w:ind w:firstLine="420" w:firstLineChars="200"/>
        <w:rPr>
          <w:rStyle w:val="50"/>
          <w:rFonts w:hint="default" w:ascii="Times New Roman" w:hAnsi="Times New Roman" w:eastAsia="仿宋" w:cs="Times New Roman"/>
          <w:kern w:val="0"/>
          <w:szCs w:val="20"/>
        </w:rPr>
      </w:pPr>
      <w:r>
        <w:rPr>
          <w:rStyle w:val="50"/>
          <w:rFonts w:hint="default" w:ascii="Times New Roman" w:hAnsi="Times New Roman" w:eastAsia="仿宋" w:cs="Times New Roman"/>
          <w:kern w:val="0"/>
          <w:szCs w:val="20"/>
        </w:rPr>
        <w:t>注：T—毒性；I—易燃性</w:t>
      </w:r>
    </w:p>
    <w:p w14:paraId="324D6CEE">
      <w:pPr>
        <w:outlineLvl w:val="1"/>
        <w:rPr>
          <w:rFonts w:hint="default" w:ascii="Times New Roman" w:hAnsi="Times New Roman" w:eastAsia="仿宋" w:cs="Times New Roman"/>
          <w:b/>
          <w:bCs/>
          <w:szCs w:val="28"/>
        </w:rPr>
      </w:pPr>
      <w:bookmarkStart w:id="40" w:name="_Toc8805"/>
      <w:r>
        <w:rPr>
          <w:rFonts w:hint="default" w:ascii="Times New Roman" w:hAnsi="Times New Roman" w:eastAsia="仿宋" w:cs="Times New Roman"/>
          <w:b/>
          <w:bCs/>
          <w:szCs w:val="28"/>
        </w:rPr>
        <w:t>2.5周边环境受体</w:t>
      </w:r>
      <w:bookmarkEnd w:id="40"/>
    </w:p>
    <w:p w14:paraId="5F58A373">
      <w:pPr>
        <w:rPr>
          <w:rFonts w:hint="default" w:ascii="Times New Roman" w:hAnsi="Times New Roman" w:eastAsia="仿宋" w:cs="Times New Roman"/>
          <w:b/>
          <w:bCs/>
          <w:szCs w:val="28"/>
        </w:rPr>
      </w:pPr>
      <w:bookmarkStart w:id="41" w:name="_Toc11587_WPSOffice_Level1"/>
      <w:bookmarkStart w:id="42" w:name="_Toc3191_WPSOffice_Level1"/>
      <w:r>
        <w:rPr>
          <w:rFonts w:hint="default" w:ascii="Times New Roman" w:hAnsi="Times New Roman" w:eastAsia="仿宋" w:cs="Times New Roman"/>
          <w:b/>
          <w:bCs/>
          <w:szCs w:val="28"/>
        </w:rPr>
        <w:t>2.5.1大气环境风险受体</w:t>
      </w:r>
    </w:p>
    <w:p w14:paraId="1B3BA376">
      <w:pPr>
        <w:jc w:val="center"/>
        <w:rPr>
          <w:rFonts w:hint="default" w:ascii="Times New Roman" w:hAnsi="Times New Roman" w:eastAsia="仿宋" w:cs="Times New Roman"/>
          <w:b/>
          <w:bCs/>
          <w:szCs w:val="28"/>
        </w:rPr>
      </w:pPr>
      <w:r>
        <w:rPr>
          <w:rFonts w:hint="default" w:ascii="Times New Roman" w:hAnsi="Times New Roman" w:eastAsia="仿宋" w:cs="Times New Roman"/>
          <w:b/>
          <w:bCs/>
          <w:szCs w:val="28"/>
        </w:rPr>
        <w:t>表2.5-1  500m范围内大气环境风险受体一览表</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797"/>
        <w:gridCol w:w="3963"/>
        <w:gridCol w:w="1404"/>
        <w:gridCol w:w="2133"/>
        <w:gridCol w:w="840"/>
        <w:gridCol w:w="818"/>
      </w:tblGrid>
      <w:tr w14:paraId="14698EC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1" w:hRule="atLeast"/>
          <w:jc w:val="center"/>
        </w:trPr>
        <w:tc>
          <w:tcPr>
            <w:tcW w:w="400" w:type="pct"/>
            <w:vAlign w:val="center"/>
          </w:tcPr>
          <w:p w14:paraId="13694945">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序号</w:t>
            </w:r>
          </w:p>
        </w:tc>
        <w:tc>
          <w:tcPr>
            <w:tcW w:w="1990" w:type="pct"/>
            <w:vAlign w:val="center"/>
          </w:tcPr>
          <w:p w14:paraId="492C9F47">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名称</w:t>
            </w:r>
          </w:p>
        </w:tc>
        <w:tc>
          <w:tcPr>
            <w:tcW w:w="705" w:type="pct"/>
            <w:vAlign w:val="center"/>
          </w:tcPr>
          <w:p w14:paraId="4FE73E02">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相对方位</w:t>
            </w:r>
          </w:p>
        </w:tc>
        <w:tc>
          <w:tcPr>
            <w:tcW w:w="1071" w:type="pct"/>
            <w:vAlign w:val="center"/>
          </w:tcPr>
          <w:p w14:paraId="7542BD0C">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相对距离（米）</w:t>
            </w:r>
          </w:p>
        </w:tc>
        <w:tc>
          <w:tcPr>
            <w:tcW w:w="420" w:type="pct"/>
            <w:vAlign w:val="center"/>
          </w:tcPr>
          <w:p w14:paraId="1C5B6BE6">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性质</w:t>
            </w:r>
          </w:p>
        </w:tc>
        <w:tc>
          <w:tcPr>
            <w:tcW w:w="411" w:type="pct"/>
            <w:vAlign w:val="center"/>
          </w:tcPr>
          <w:p w14:paraId="7A4717D0">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人数</w:t>
            </w:r>
          </w:p>
        </w:tc>
      </w:tr>
      <w:tr w14:paraId="32E57EB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1" w:hRule="atLeast"/>
          <w:jc w:val="center"/>
        </w:trPr>
        <w:tc>
          <w:tcPr>
            <w:tcW w:w="400" w:type="pct"/>
            <w:vAlign w:val="center"/>
          </w:tcPr>
          <w:p w14:paraId="30977130">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1</w:t>
            </w:r>
          </w:p>
        </w:tc>
        <w:tc>
          <w:tcPr>
            <w:tcW w:w="1990" w:type="pct"/>
            <w:vAlign w:val="center"/>
          </w:tcPr>
          <w:p w14:paraId="3CDE12CF">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天津高安塑业有限公司</w:t>
            </w:r>
          </w:p>
        </w:tc>
        <w:tc>
          <w:tcPr>
            <w:tcW w:w="705" w:type="pct"/>
            <w:vAlign w:val="center"/>
          </w:tcPr>
          <w:p w14:paraId="2E8456E8">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南</w:t>
            </w:r>
          </w:p>
        </w:tc>
        <w:tc>
          <w:tcPr>
            <w:tcW w:w="1071" w:type="pct"/>
            <w:vAlign w:val="center"/>
          </w:tcPr>
          <w:p w14:paraId="2606D59A">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373</w:t>
            </w:r>
          </w:p>
        </w:tc>
        <w:tc>
          <w:tcPr>
            <w:tcW w:w="420" w:type="pct"/>
            <w:noWrap/>
            <w:vAlign w:val="center"/>
          </w:tcPr>
          <w:p w14:paraId="6F3D4E2F">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企业</w:t>
            </w:r>
          </w:p>
        </w:tc>
        <w:tc>
          <w:tcPr>
            <w:tcW w:w="411" w:type="pct"/>
            <w:noWrap/>
            <w:vAlign w:val="center"/>
          </w:tcPr>
          <w:p w14:paraId="1DED47BA">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36</w:t>
            </w:r>
          </w:p>
        </w:tc>
      </w:tr>
      <w:tr w14:paraId="17791AD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1" w:hRule="atLeast"/>
          <w:jc w:val="center"/>
        </w:trPr>
        <w:tc>
          <w:tcPr>
            <w:tcW w:w="400" w:type="pct"/>
            <w:vAlign w:val="center"/>
          </w:tcPr>
          <w:p w14:paraId="293B0BA6">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2</w:t>
            </w:r>
          </w:p>
        </w:tc>
        <w:tc>
          <w:tcPr>
            <w:tcW w:w="1990" w:type="pct"/>
            <w:vAlign w:val="center"/>
          </w:tcPr>
          <w:p w14:paraId="593A98A0">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天港人力</w:t>
            </w:r>
          </w:p>
        </w:tc>
        <w:tc>
          <w:tcPr>
            <w:tcW w:w="705" w:type="pct"/>
            <w:vAlign w:val="center"/>
          </w:tcPr>
          <w:p w14:paraId="37FE0A3E">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西</w:t>
            </w:r>
          </w:p>
        </w:tc>
        <w:tc>
          <w:tcPr>
            <w:tcW w:w="1071" w:type="pct"/>
            <w:vAlign w:val="center"/>
          </w:tcPr>
          <w:p w14:paraId="27DBB761">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377</w:t>
            </w:r>
          </w:p>
        </w:tc>
        <w:tc>
          <w:tcPr>
            <w:tcW w:w="420" w:type="pct"/>
            <w:noWrap/>
            <w:vAlign w:val="center"/>
          </w:tcPr>
          <w:p w14:paraId="3316C953">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企业</w:t>
            </w:r>
          </w:p>
        </w:tc>
        <w:tc>
          <w:tcPr>
            <w:tcW w:w="411" w:type="pct"/>
            <w:noWrap/>
            <w:vAlign w:val="center"/>
          </w:tcPr>
          <w:p w14:paraId="0C363AC4">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15</w:t>
            </w:r>
          </w:p>
        </w:tc>
      </w:tr>
      <w:tr w14:paraId="752C64C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1" w:hRule="atLeast"/>
          <w:jc w:val="center"/>
        </w:trPr>
        <w:tc>
          <w:tcPr>
            <w:tcW w:w="400" w:type="pct"/>
            <w:vAlign w:val="center"/>
          </w:tcPr>
          <w:p w14:paraId="1C0869D4">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3</w:t>
            </w:r>
          </w:p>
        </w:tc>
        <w:tc>
          <w:tcPr>
            <w:tcW w:w="1990" w:type="pct"/>
            <w:vAlign w:val="center"/>
          </w:tcPr>
          <w:p w14:paraId="09D09FD1">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天津市活力源饮料有限公司</w:t>
            </w:r>
          </w:p>
        </w:tc>
        <w:tc>
          <w:tcPr>
            <w:tcW w:w="705" w:type="pct"/>
            <w:vAlign w:val="center"/>
          </w:tcPr>
          <w:p w14:paraId="238FD870">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东南</w:t>
            </w:r>
          </w:p>
        </w:tc>
        <w:tc>
          <w:tcPr>
            <w:tcW w:w="1071" w:type="pct"/>
            <w:vAlign w:val="center"/>
          </w:tcPr>
          <w:p w14:paraId="606F0D6A">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308</w:t>
            </w:r>
          </w:p>
        </w:tc>
        <w:tc>
          <w:tcPr>
            <w:tcW w:w="420" w:type="pct"/>
            <w:noWrap/>
            <w:vAlign w:val="center"/>
          </w:tcPr>
          <w:p w14:paraId="1F627559">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企业</w:t>
            </w:r>
          </w:p>
        </w:tc>
        <w:tc>
          <w:tcPr>
            <w:tcW w:w="411" w:type="pct"/>
            <w:noWrap/>
            <w:vAlign w:val="center"/>
          </w:tcPr>
          <w:p w14:paraId="1F3CA902">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40</w:t>
            </w:r>
          </w:p>
        </w:tc>
      </w:tr>
      <w:tr w14:paraId="5571792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1" w:hRule="atLeast"/>
          <w:jc w:val="center"/>
        </w:trPr>
        <w:tc>
          <w:tcPr>
            <w:tcW w:w="400" w:type="pct"/>
            <w:vAlign w:val="center"/>
          </w:tcPr>
          <w:p w14:paraId="43220E57">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4</w:t>
            </w:r>
          </w:p>
        </w:tc>
        <w:tc>
          <w:tcPr>
            <w:tcW w:w="1990" w:type="pct"/>
            <w:vAlign w:val="center"/>
          </w:tcPr>
          <w:p w14:paraId="0C8CEB5D">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天津市绿洲农业科技发展有限公司</w:t>
            </w:r>
          </w:p>
        </w:tc>
        <w:tc>
          <w:tcPr>
            <w:tcW w:w="705" w:type="pct"/>
            <w:vAlign w:val="center"/>
          </w:tcPr>
          <w:p w14:paraId="152DF467">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南</w:t>
            </w:r>
          </w:p>
        </w:tc>
        <w:tc>
          <w:tcPr>
            <w:tcW w:w="1071" w:type="pct"/>
            <w:vAlign w:val="center"/>
          </w:tcPr>
          <w:p w14:paraId="1F05CDF0">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244</w:t>
            </w:r>
          </w:p>
        </w:tc>
        <w:tc>
          <w:tcPr>
            <w:tcW w:w="420" w:type="pct"/>
            <w:noWrap/>
            <w:vAlign w:val="center"/>
          </w:tcPr>
          <w:p w14:paraId="3CBA44B5">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企业</w:t>
            </w:r>
          </w:p>
        </w:tc>
        <w:tc>
          <w:tcPr>
            <w:tcW w:w="411" w:type="pct"/>
            <w:noWrap/>
            <w:vAlign w:val="center"/>
          </w:tcPr>
          <w:p w14:paraId="50EAA965">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5</w:t>
            </w:r>
          </w:p>
        </w:tc>
      </w:tr>
      <w:tr w14:paraId="419FEC5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1" w:hRule="atLeast"/>
          <w:jc w:val="center"/>
        </w:trPr>
        <w:tc>
          <w:tcPr>
            <w:tcW w:w="400" w:type="pct"/>
            <w:vAlign w:val="center"/>
          </w:tcPr>
          <w:p w14:paraId="7D40E756">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5</w:t>
            </w:r>
          </w:p>
        </w:tc>
        <w:tc>
          <w:tcPr>
            <w:tcW w:w="1990" w:type="pct"/>
            <w:vAlign w:val="center"/>
          </w:tcPr>
          <w:p w14:paraId="3DF7D437">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滨海新区东一科技发展有限公司</w:t>
            </w:r>
          </w:p>
        </w:tc>
        <w:tc>
          <w:tcPr>
            <w:tcW w:w="705" w:type="pct"/>
            <w:vAlign w:val="center"/>
          </w:tcPr>
          <w:p w14:paraId="67951320">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南</w:t>
            </w:r>
          </w:p>
        </w:tc>
        <w:tc>
          <w:tcPr>
            <w:tcW w:w="1071" w:type="pct"/>
            <w:vAlign w:val="center"/>
          </w:tcPr>
          <w:p w14:paraId="5D0BA7F6">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428</w:t>
            </w:r>
          </w:p>
        </w:tc>
        <w:tc>
          <w:tcPr>
            <w:tcW w:w="420" w:type="pct"/>
            <w:noWrap/>
            <w:vAlign w:val="center"/>
          </w:tcPr>
          <w:p w14:paraId="23377371">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企业</w:t>
            </w:r>
          </w:p>
        </w:tc>
        <w:tc>
          <w:tcPr>
            <w:tcW w:w="411" w:type="pct"/>
            <w:noWrap/>
            <w:vAlign w:val="center"/>
          </w:tcPr>
          <w:p w14:paraId="21547F2F">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10</w:t>
            </w:r>
          </w:p>
        </w:tc>
      </w:tr>
      <w:tr w14:paraId="26FF35A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1" w:hRule="atLeast"/>
          <w:jc w:val="center"/>
        </w:trPr>
        <w:tc>
          <w:tcPr>
            <w:tcW w:w="400" w:type="pct"/>
            <w:vAlign w:val="center"/>
          </w:tcPr>
          <w:p w14:paraId="2F3A9D46">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6</w:t>
            </w:r>
          </w:p>
        </w:tc>
        <w:tc>
          <w:tcPr>
            <w:tcW w:w="1990" w:type="pct"/>
            <w:vAlign w:val="center"/>
          </w:tcPr>
          <w:p w14:paraId="76B04DD5">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中矿资源天津基地</w:t>
            </w:r>
          </w:p>
        </w:tc>
        <w:tc>
          <w:tcPr>
            <w:tcW w:w="705" w:type="pct"/>
            <w:vAlign w:val="center"/>
          </w:tcPr>
          <w:p w14:paraId="64A6E88D">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东北</w:t>
            </w:r>
          </w:p>
        </w:tc>
        <w:tc>
          <w:tcPr>
            <w:tcW w:w="1071" w:type="pct"/>
            <w:vAlign w:val="center"/>
          </w:tcPr>
          <w:p w14:paraId="723452F2">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179</w:t>
            </w:r>
          </w:p>
        </w:tc>
        <w:tc>
          <w:tcPr>
            <w:tcW w:w="420" w:type="pct"/>
            <w:noWrap/>
            <w:vAlign w:val="center"/>
          </w:tcPr>
          <w:p w14:paraId="5C5EF311">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企业</w:t>
            </w:r>
          </w:p>
        </w:tc>
        <w:tc>
          <w:tcPr>
            <w:tcW w:w="411" w:type="pct"/>
            <w:noWrap/>
            <w:vAlign w:val="center"/>
          </w:tcPr>
          <w:p w14:paraId="419FB568">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50</w:t>
            </w:r>
          </w:p>
        </w:tc>
      </w:tr>
      <w:tr w14:paraId="387A7D4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1" w:hRule="atLeast"/>
          <w:jc w:val="center"/>
        </w:trPr>
        <w:tc>
          <w:tcPr>
            <w:tcW w:w="400" w:type="pct"/>
            <w:vAlign w:val="center"/>
          </w:tcPr>
          <w:p w14:paraId="27B9ACC5">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7</w:t>
            </w:r>
          </w:p>
        </w:tc>
        <w:tc>
          <w:tcPr>
            <w:tcW w:w="1990" w:type="pct"/>
            <w:vAlign w:val="center"/>
          </w:tcPr>
          <w:p w14:paraId="1925D364">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天津天宝杰瑞贸易有限公司</w:t>
            </w:r>
          </w:p>
        </w:tc>
        <w:tc>
          <w:tcPr>
            <w:tcW w:w="705" w:type="pct"/>
            <w:vAlign w:val="center"/>
          </w:tcPr>
          <w:p w14:paraId="5B2B644A">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东南</w:t>
            </w:r>
          </w:p>
        </w:tc>
        <w:tc>
          <w:tcPr>
            <w:tcW w:w="1071" w:type="pct"/>
            <w:vAlign w:val="center"/>
          </w:tcPr>
          <w:p w14:paraId="2AB3573B">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356</w:t>
            </w:r>
          </w:p>
        </w:tc>
        <w:tc>
          <w:tcPr>
            <w:tcW w:w="420" w:type="pct"/>
            <w:noWrap/>
            <w:vAlign w:val="center"/>
          </w:tcPr>
          <w:p w14:paraId="3D263EF0">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企业</w:t>
            </w:r>
          </w:p>
        </w:tc>
        <w:tc>
          <w:tcPr>
            <w:tcW w:w="411" w:type="pct"/>
            <w:noWrap/>
            <w:vAlign w:val="center"/>
          </w:tcPr>
          <w:p w14:paraId="7F49421E">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5</w:t>
            </w:r>
          </w:p>
        </w:tc>
      </w:tr>
      <w:tr w14:paraId="64DDB66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1" w:hRule="atLeast"/>
          <w:jc w:val="center"/>
        </w:trPr>
        <w:tc>
          <w:tcPr>
            <w:tcW w:w="400" w:type="pct"/>
            <w:vAlign w:val="center"/>
          </w:tcPr>
          <w:p w14:paraId="4E25A4F3">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8</w:t>
            </w:r>
          </w:p>
        </w:tc>
        <w:tc>
          <w:tcPr>
            <w:tcW w:w="1990" w:type="pct"/>
            <w:vAlign w:val="center"/>
          </w:tcPr>
          <w:p w14:paraId="1535DE0A">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天津格亚德新材料科技有限公司</w:t>
            </w:r>
          </w:p>
        </w:tc>
        <w:tc>
          <w:tcPr>
            <w:tcW w:w="705" w:type="pct"/>
            <w:vAlign w:val="center"/>
          </w:tcPr>
          <w:p w14:paraId="4E93DE5A">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东南</w:t>
            </w:r>
          </w:p>
        </w:tc>
        <w:tc>
          <w:tcPr>
            <w:tcW w:w="1071" w:type="pct"/>
            <w:vAlign w:val="center"/>
          </w:tcPr>
          <w:p w14:paraId="19C60FCB">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246</w:t>
            </w:r>
          </w:p>
        </w:tc>
        <w:tc>
          <w:tcPr>
            <w:tcW w:w="420" w:type="pct"/>
            <w:noWrap/>
            <w:vAlign w:val="center"/>
          </w:tcPr>
          <w:p w14:paraId="5E58A434">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企业</w:t>
            </w:r>
          </w:p>
        </w:tc>
        <w:tc>
          <w:tcPr>
            <w:tcW w:w="411" w:type="pct"/>
            <w:noWrap/>
            <w:vAlign w:val="center"/>
          </w:tcPr>
          <w:p w14:paraId="09A04758">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28</w:t>
            </w:r>
          </w:p>
        </w:tc>
      </w:tr>
      <w:tr w14:paraId="06B8AE8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1" w:hRule="atLeast"/>
          <w:jc w:val="center"/>
        </w:trPr>
        <w:tc>
          <w:tcPr>
            <w:tcW w:w="400" w:type="pct"/>
            <w:vAlign w:val="center"/>
          </w:tcPr>
          <w:p w14:paraId="28AACF61">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9</w:t>
            </w:r>
          </w:p>
        </w:tc>
        <w:tc>
          <w:tcPr>
            <w:tcW w:w="1990" w:type="pct"/>
            <w:vAlign w:val="center"/>
          </w:tcPr>
          <w:p w14:paraId="3BE286CB">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天津德昱塑业</w:t>
            </w:r>
          </w:p>
        </w:tc>
        <w:tc>
          <w:tcPr>
            <w:tcW w:w="705" w:type="pct"/>
            <w:vAlign w:val="center"/>
          </w:tcPr>
          <w:p w14:paraId="7C59E951">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南</w:t>
            </w:r>
          </w:p>
        </w:tc>
        <w:tc>
          <w:tcPr>
            <w:tcW w:w="1071" w:type="pct"/>
            <w:vAlign w:val="center"/>
          </w:tcPr>
          <w:p w14:paraId="2058C4E2">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490</w:t>
            </w:r>
          </w:p>
        </w:tc>
        <w:tc>
          <w:tcPr>
            <w:tcW w:w="420" w:type="pct"/>
            <w:noWrap/>
            <w:vAlign w:val="center"/>
          </w:tcPr>
          <w:p w14:paraId="0885E0B4">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企业</w:t>
            </w:r>
          </w:p>
        </w:tc>
        <w:tc>
          <w:tcPr>
            <w:tcW w:w="411" w:type="pct"/>
            <w:noWrap/>
            <w:vAlign w:val="center"/>
          </w:tcPr>
          <w:p w14:paraId="130A21A0">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9</w:t>
            </w:r>
          </w:p>
        </w:tc>
      </w:tr>
      <w:tr w14:paraId="3D7F2B3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1" w:hRule="atLeast"/>
          <w:jc w:val="center"/>
        </w:trPr>
        <w:tc>
          <w:tcPr>
            <w:tcW w:w="4588" w:type="pct"/>
            <w:gridSpan w:val="5"/>
            <w:noWrap/>
            <w:vAlign w:val="center"/>
          </w:tcPr>
          <w:p w14:paraId="760B20E4">
            <w:pPr>
              <w:adjustRightInd w:val="0"/>
              <w:spacing w:after="0" w:line="240" w:lineRule="auto"/>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合计</w:t>
            </w:r>
          </w:p>
        </w:tc>
        <w:tc>
          <w:tcPr>
            <w:tcW w:w="411" w:type="pct"/>
            <w:noWrap/>
            <w:vAlign w:val="center"/>
          </w:tcPr>
          <w:p w14:paraId="23F9B41B">
            <w:pPr>
              <w:adjustRightInd w:val="0"/>
              <w:spacing w:after="0" w:line="240" w:lineRule="auto"/>
              <w:ind w:left="0" w:leftChars="0" w:firstLine="0" w:firstLineChars="0"/>
              <w:jc w:val="center"/>
              <w:textAlignment w:val="baseline"/>
              <w:rPr>
                <w:rFonts w:hint="default" w:ascii="Times New Roman" w:hAnsi="Times New Roman" w:eastAsia="仿宋" w:cs="Times New Roman"/>
                <w:sz w:val="24"/>
              </w:rPr>
            </w:pPr>
            <w:r>
              <w:rPr>
                <w:rFonts w:hint="default" w:ascii="Times New Roman" w:hAnsi="Times New Roman" w:eastAsia="仿宋" w:cs="Times New Roman"/>
                <w:sz w:val="24"/>
              </w:rPr>
              <w:t>198</w:t>
            </w:r>
          </w:p>
        </w:tc>
      </w:tr>
    </w:tbl>
    <w:p w14:paraId="7111B768">
      <w:pPr>
        <w:jc w:val="center"/>
        <w:rPr>
          <w:rFonts w:hint="default" w:ascii="Times New Roman" w:hAnsi="Times New Roman" w:eastAsia="仿宋" w:cs="Times New Roman"/>
          <w:b/>
          <w:bCs/>
          <w:szCs w:val="28"/>
        </w:rPr>
      </w:pPr>
      <w:r>
        <w:rPr>
          <w:rFonts w:hint="default" w:ascii="Times New Roman" w:hAnsi="Times New Roman" w:eastAsia="仿宋" w:cs="Times New Roman"/>
          <w:b/>
          <w:bCs/>
        </w:rPr>
        <w:t>表2.5-</w:t>
      </w:r>
      <w:r>
        <w:rPr>
          <w:rFonts w:hint="default" w:ascii="Times New Roman" w:hAnsi="Times New Roman" w:eastAsia="仿宋" w:cs="Times New Roman"/>
          <w:b/>
          <w:bCs/>
          <w:lang w:val="en-US" w:eastAsia="zh-CN"/>
        </w:rPr>
        <w:t>2</w:t>
      </w:r>
      <w:r>
        <w:rPr>
          <w:rFonts w:hint="default" w:ascii="Times New Roman" w:hAnsi="Times New Roman" w:eastAsia="仿宋" w:cs="Times New Roman"/>
          <w:b/>
          <w:bCs/>
        </w:rPr>
        <w:t xml:space="preserve">  5km范围内大气环境风险受体一览表</w:t>
      </w:r>
    </w:p>
    <w:tbl>
      <w:tblPr>
        <w:tblStyle w:val="44"/>
        <w:tblW w:w="5000"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585"/>
        <w:gridCol w:w="1009"/>
        <w:gridCol w:w="4125"/>
        <w:gridCol w:w="933"/>
        <w:gridCol w:w="1066"/>
        <w:gridCol w:w="1250"/>
        <w:gridCol w:w="986"/>
      </w:tblGrid>
      <w:tr w14:paraId="64EB2CF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6AEB6B1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序号</w:t>
            </w:r>
          </w:p>
        </w:tc>
        <w:tc>
          <w:tcPr>
            <w:tcW w:w="507" w:type="pct"/>
            <w:noWrap/>
            <w:vAlign w:val="center"/>
          </w:tcPr>
          <w:p w14:paraId="25D49F4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区域</w:t>
            </w:r>
          </w:p>
        </w:tc>
        <w:tc>
          <w:tcPr>
            <w:tcW w:w="2071" w:type="pct"/>
            <w:noWrap/>
            <w:vAlign w:val="center"/>
          </w:tcPr>
          <w:p w14:paraId="228C5C8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名称</w:t>
            </w:r>
          </w:p>
        </w:tc>
        <w:tc>
          <w:tcPr>
            <w:tcW w:w="468" w:type="pct"/>
            <w:noWrap/>
            <w:vAlign w:val="center"/>
          </w:tcPr>
          <w:p w14:paraId="08D2596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相对方位</w:t>
            </w:r>
          </w:p>
        </w:tc>
        <w:tc>
          <w:tcPr>
            <w:tcW w:w="535" w:type="pct"/>
            <w:noWrap/>
            <w:vAlign w:val="center"/>
          </w:tcPr>
          <w:p w14:paraId="46EB8AB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相对距离（米）</w:t>
            </w:r>
          </w:p>
        </w:tc>
        <w:tc>
          <w:tcPr>
            <w:tcW w:w="627" w:type="pct"/>
            <w:noWrap/>
            <w:vAlign w:val="center"/>
          </w:tcPr>
          <w:p w14:paraId="37D06CA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性质</w:t>
            </w:r>
          </w:p>
        </w:tc>
        <w:tc>
          <w:tcPr>
            <w:tcW w:w="495" w:type="pct"/>
            <w:noWrap/>
            <w:vAlign w:val="center"/>
          </w:tcPr>
          <w:p w14:paraId="717DCB6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人数</w:t>
            </w:r>
          </w:p>
        </w:tc>
      </w:tr>
      <w:tr w14:paraId="13D0FCD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5F7022C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w:t>
            </w:r>
          </w:p>
        </w:tc>
        <w:tc>
          <w:tcPr>
            <w:tcW w:w="507" w:type="pct"/>
            <w:vMerge w:val="restart"/>
            <w:noWrap/>
            <w:vAlign w:val="center"/>
          </w:tcPr>
          <w:p w14:paraId="1B0E736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区域一(轻一街-轻四路-纺一街-纺四路)</w:t>
            </w:r>
          </w:p>
        </w:tc>
        <w:tc>
          <w:tcPr>
            <w:tcW w:w="2071" w:type="pct"/>
            <w:vAlign w:val="center"/>
          </w:tcPr>
          <w:p w14:paraId="1AE0AA0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中大建设</w:t>
            </w:r>
          </w:p>
        </w:tc>
        <w:tc>
          <w:tcPr>
            <w:tcW w:w="468" w:type="pct"/>
            <w:vAlign w:val="center"/>
          </w:tcPr>
          <w:p w14:paraId="7F1F9A3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w:t>
            </w:r>
          </w:p>
        </w:tc>
        <w:tc>
          <w:tcPr>
            <w:tcW w:w="535" w:type="pct"/>
            <w:vAlign w:val="center"/>
          </w:tcPr>
          <w:p w14:paraId="5E5F5E7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1547</w:t>
            </w:r>
          </w:p>
        </w:tc>
        <w:tc>
          <w:tcPr>
            <w:tcW w:w="627" w:type="pct"/>
            <w:noWrap/>
            <w:vAlign w:val="center"/>
          </w:tcPr>
          <w:p w14:paraId="71A2493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2055154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90</w:t>
            </w:r>
          </w:p>
        </w:tc>
      </w:tr>
      <w:tr w14:paraId="75B0E32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604EDC4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w:t>
            </w:r>
          </w:p>
        </w:tc>
        <w:tc>
          <w:tcPr>
            <w:tcW w:w="507" w:type="pct"/>
            <w:vMerge w:val="continue"/>
            <w:vAlign w:val="center"/>
          </w:tcPr>
          <w:p w14:paraId="593A97E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7CD28A5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天津市消防总队特勤支队轻纺城中队</w:t>
            </w:r>
          </w:p>
        </w:tc>
        <w:tc>
          <w:tcPr>
            <w:tcW w:w="468" w:type="pct"/>
            <w:vAlign w:val="center"/>
          </w:tcPr>
          <w:p w14:paraId="493E352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w:t>
            </w:r>
          </w:p>
        </w:tc>
        <w:tc>
          <w:tcPr>
            <w:tcW w:w="535" w:type="pct"/>
            <w:vAlign w:val="center"/>
          </w:tcPr>
          <w:p w14:paraId="25475F0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1247</w:t>
            </w:r>
          </w:p>
        </w:tc>
        <w:tc>
          <w:tcPr>
            <w:tcW w:w="627" w:type="pct"/>
            <w:noWrap/>
            <w:vAlign w:val="center"/>
          </w:tcPr>
          <w:p w14:paraId="61F90EE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公共服务单位</w:t>
            </w:r>
          </w:p>
        </w:tc>
        <w:tc>
          <w:tcPr>
            <w:tcW w:w="495" w:type="pct"/>
            <w:noWrap/>
            <w:vAlign w:val="center"/>
          </w:tcPr>
          <w:p w14:paraId="4954918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15</w:t>
            </w:r>
          </w:p>
        </w:tc>
      </w:tr>
      <w:tr w14:paraId="35BE341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36106B1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w:t>
            </w:r>
          </w:p>
        </w:tc>
        <w:tc>
          <w:tcPr>
            <w:tcW w:w="507" w:type="pct"/>
            <w:vMerge w:val="continue"/>
            <w:vAlign w:val="center"/>
          </w:tcPr>
          <w:p w14:paraId="303A7EF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4116D2A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天津市津铭投资发展有限公司</w:t>
            </w:r>
          </w:p>
        </w:tc>
        <w:tc>
          <w:tcPr>
            <w:tcW w:w="468" w:type="pct"/>
            <w:vAlign w:val="center"/>
          </w:tcPr>
          <w:p w14:paraId="25C74EB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w:t>
            </w:r>
          </w:p>
        </w:tc>
        <w:tc>
          <w:tcPr>
            <w:tcW w:w="535" w:type="pct"/>
            <w:vAlign w:val="center"/>
          </w:tcPr>
          <w:p w14:paraId="685301B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839</w:t>
            </w:r>
          </w:p>
        </w:tc>
        <w:tc>
          <w:tcPr>
            <w:tcW w:w="627" w:type="pct"/>
            <w:noWrap/>
            <w:vAlign w:val="center"/>
          </w:tcPr>
          <w:p w14:paraId="4D65390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31FF16D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15</w:t>
            </w:r>
          </w:p>
        </w:tc>
      </w:tr>
      <w:tr w14:paraId="44C1FBF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5368C2C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w:t>
            </w:r>
          </w:p>
        </w:tc>
        <w:tc>
          <w:tcPr>
            <w:tcW w:w="507" w:type="pct"/>
            <w:vMerge w:val="continue"/>
            <w:vAlign w:val="center"/>
          </w:tcPr>
          <w:p w14:paraId="5E79BBF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68983C2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中区中小企业产业园</w:t>
            </w:r>
          </w:p>
        </w:tc>
        <w:tc>
          <w:tcPr>
            <w:tcW w:w="468" w:type="pct"/>
            <w:vAlign w:val="center"/>
          </w:tcPr>
          <w:p w14:paraId="61D77AB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w:t>
            </w:r>
          </w:p>
        </w:tc>
        <w:tc>
          <w:tcPr>
            <w:tcW w:w="535" w:type="pct"/>
            <w:vAlign w:val="center"/>
          </w:tcPr>
          <w:p w14:paraId="0AE6DCE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585</w:t>
            </w:r>
          </w:p>
        </w:tc>
        <w:tc>
          <w:tcPr>
            <w:tcW w:w="627" w:type="pct"/>
            <w:noWrap/>
            <w:vAlign w:val="center"/>
          </w:tcPr>
          <w:p w14:paraId="076C24E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企业园区</w:t>
            </w:r>
          </w:p>
        </w:tc>
        <w:tc>
          <w:tcPr>
            <w:tcW w:w="495" w:type="pct"/>
            <w:noWrap/>
            <w:vAlign w:val="center"/>
          </w:tcPr>
          <w:p w14:paraId="2F5A40E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500</w:t>
            </w:r>
          </w:p>
        </w:tc>
      </w:tr>
      <w:tr w14:paraId="5110D02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472BC89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5</w:t>
            </w:r>
          </w:p>
        </w:tc>
        <w:tc>
          <w:tcPr>
            <w:tcW w:w="507" w:type="pct"/>
            <w:vMerge w:val="continue"/>
            <w:vAlign w:val="center"/>
          </w:tcPr>
          <w:p w14:paraId="3DCF323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589A51D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天津市源著新材料科技有限公司</w:t>
            </w:r>
          </w:p>
        </w:tc>
        <w:tc>
          <w:tcPr>
            <w:tcW w:w="468" w:type="pct"/>
            <w:vAlign w:val="center"/>
          </w:tcPr>
          <w:p w14:paraId="203BC57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w:t>
            </w:r>
          </w:p>
        </w:tc>
        <w:tc>
          <w:tcPr>
            <w:tcW w:w="535" w:type="pct"/>
            <w:vAlign w:val="center"/>
          </w:tcPr>
          <w:p w14:paraId="20B46CE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686</w:t>
            </w:r>
          </w:p>
        </w:tc>
        <w:tc>
          <w:tcPr>
            <w:tcW w:w="627" w:type="pct"/>
            <w:noWrap/>
            <w:vAlign w:val="center"/>
          </w:tcPr>
          <w:p w14:paraId="3ADECD1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1306EDB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56</w:t>
            </w:r>
          </w:p>
        </w:tc>
      </w:tr>
      <w:tr w14:paraId="7E70C79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188CD03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6</w:t>
            </w:r>
          </w:p>
        </w:tc>
        <w:tc>
          <w:tcPr>
            <w:tcW w:w="507" w:type="pct"/>
            <w:vMerge w:val="continue"/>
            <w:vAlign w:val="center"/>
          </w:tcPr>
          <w:p w14:paraId="086AD9D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19E41A2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天津清科环保科技有限公司</w:t>
            </w:r>
          </w:p>
        </w:tc>
        <w:tc>
          <w:tcPr>
            <w:tcW w:w="468" w:type="pct"/>
            <w:vAlign w:val="center"/>
          </w:tcPr>
          <w:p w14:paraId="47E903F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w:t>
            </w:r>
          </w:p>
        </w:tc>
        <w:tc>
          <w:tcPr>
            <w:tcW w:w="535" w:type="pct"/>
            <w:vAlign w:val="center"/>
          </w:tcPr>
          <w:p w14:paraId="03D9E1B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661</w:t>
            </w:r>
          </w:p>
        </w:tc>
        <w:tc>
          <w:tcPr>
            <w:tcW w:w="627" w:type="pct"/>
            <w:noWrap/>
            <w:vAlign w:val="center"/>
          </w:tcPr>
          <w:p w14:paraId="5C9C2BB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5766290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27</w:t>
            </w:r>
          </w:p>
        </w:tc>
      </w:tr>
      <w:tr w14:paraId="3644FE5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3C3983B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7</w:t>
            </w:r>
          </w:p>
        </w:tc>
        <w:tc>
          <w:tcPr>
            <w:tcW w:w="507" w:type="pct"/>
            <w:vMerge w:val="continue"/>
            <w:vAlign w:val="center"/>
          </w:tcPr>
          <w:p w14:paraId="4EAC887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19A82B7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天津市华贝精密钢构建材有限公司</w:t>
            </w:r>
          </w:p>
        </w:tc>
        <w:tc>
          <w:tcPr>
            <w:tcW w:w="468" w:type="pct"/>
            <w:vAlign w:val="center"/>
          </w:tcPr>
          <w:p w14:paraId="2081D92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西南</w:t>
            </w:r>
          </w:p>
        </w:tc>
        <w:tc>
          <w:tcPr>
            <w:tcW w:w="535" w:type="pct"/>
            <w:vAlign w:val="center"/>
          </w:tcPr>
          <w:p w14:paraId="6CC4224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1070</w:t>
            </w:r>
          </w:p>
        </w:tc>
        <w:tc>
          <w:tcPr>
            <w:tcW w:w="627" w:type="pct"/>
            <w:noWrap/>
            <w:vAlign w:val="center"/>
          </w:tcPr>
          <w:p w14:paraId="432ED07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342BC72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12</w:t>
            </w:r>
          </w:p>
        </w:tc>
      </w:tr>
      <w:tr w14:paraId="3A2D9DA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1556C50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8</w:t>
            </w:r>
          </w:p>
        </w:tc>
        <w:tc>
          <w:tcPr>
            <w:tcW w:w="507" w:type="pct"/>
            <w:vMerge w:val="continue"/>
            <w:vAlign w:val="center"/>
          </w:tcPr>
          <w:p w14:paraId="4369B72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2FB9F4A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康地饲料</w:t>
            </w:r>
          </w:p>
        </w:tc>
        <w:tc>
          <w:tcPr>
            <w:tcW w:w="468" w:type="pct"/>
            <w:vAlign w:val="center"/>
          </w:tcPr>
          <w:p w14:paraId="62C0BCD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西南</w:t>
            </w:r>
          </w:p>
        </w:tc>
        <w:tc>
          <w:tcPr>
            <w:tcW w:w="535" w:type="pct"/>
            <w:vAlign w:val="center"/>
          </w:tcPr>
          <w:p w14:paraId="2CA282E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1179</w:t>
            </w:r>
          </w:p>
        </w:tc>
        <w:tc>
          <w:tcPr>
            <w:tcW w:w="627" w:type="pct"/>
            <w:noWrap/>
            <w:vAlign w:val="center"/>
          </w:tcPr>
          <w:p w14:paraId="284D17F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6476126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146</w:t>
            </w:r>
          </w:p>
        </w:tc>
      </w:tr>
      <w:tr w14:paraId="6523A8E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23F4CC9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9</w:t>
            </w:r>
          </w:p>
        </w:tc>
        <w:tc>
          <w:tcPr>
            <w:tcW w:w="507" w:type="pct"/>
            <w:vMerge w:val="continue"/>
            <w:vAlign w:val="center"/>
          </w:tcPr>
          <w:p w14:paraId="4D8975C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7177828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天津海阔天通化工有限公司</w:t>
            </w:r>
          </w:p>
        </w:tc>
        <w:tc>
          <w:tcPr>
            <w:tcW w:w="468" w:type="pct"/>
            <w:vAlign w:val="center"/>
          </w:tcPr>
          <w:p w14:paraId="0D42726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西南</w:t>
            </w:r>
          </w:p>
        </w:tc>
        <w:tc>
          <w:tcPr>
            <w:tcW w:w="535" w:type="pct"/>
            <w:vAlign w:val="center"/>
          </w:tcPr>
          <w:p w14:paraId="2373E77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1426</w:t>
            </w:r>
          </w:p>
        </w:tc>
        <w:tc>
          <w:tcPr>
            <w:tcW w:w="627" w:type="pct"/>
            <w:noWrap/>
            <w:vAlign w:val="center"/>
          </w:tcPr>
          <w:p w14:paraId="7F54D24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08DB05B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50</w:t>
            </w:r>
          </w:p>
        </w:tc>
      </w:tr>
      <w:tr w14:paraId="46CAFB5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559A813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10</w:t>
            </w:r>
          </w:p>
        </w:tc>
        <w:tc>
          <w:tcPr>
            <w:tcW w:w="507" w:type="pct"/>
            <w:vMerge w:val="continue"/>
            <w:vAlign w:val="center"/>
          </w:tcPr>
          <w:p w14:paraId="63F1437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2A239A3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天津路盾公路工程检测有限公司</w:t>
            </w:r>
          </w:p>
        </w:tc>
        <w:tc>
          <w:tcPr>
            <w:tcW w:w="468" w:type="pct"/>
            <w:vAlign w:val="center"/>
          </w:tcPr>
          <w:p w14:paraId="2E9E32D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西南</w:t>
            </w:r>
          </w:p>
        </w:tc>
        <w:tc>
          <w:tcPr>
            <w:tcW w:w="535" w:type="pct"/>
            <w:vAlign w:val="center"/>
          </w:tcPr>
          <w:p w14:paraId="001C5CD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1372</w:t>
            </w:r>
          </w:p>
        </w:tc>
        <w:tc>
          <w:tcPr>
            <w:tcW w:w="627" w:type="pct"/>
            <w:noWrap/>
            <w:vAlign w:val="center"/>
          </w:tcPr>
          <w:p w14:paraId="1F6033B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4187BA0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38</w:t>
            </w:r>
          </w:p>
        </w:tc>
      </w:tr>
      <w:tr w14:paraId="5E88CF7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63184F9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11</w:t>
            </w:r>
          </w:p>
        </w:tc>
        <w:tc>
          <w:tcPr>
            <w:tcW w:w="507" w:type="pct"/>
            <w:vMerge w:val="continue"/>
            <w:vAlign w:val="center"/>
          </w:tcPr>
          <w:p w14:paraId="3E22972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3ABD256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天津嘉亨塑胶有限公司</w:t>
            </w:r>
          </w:p>
        </w:tc>
        <w:tc>
          <w:tcPr>
            <w:tcW w:w="468" w:type="pct"/>
            <w:vAlign w:val="center"/>
          </w:tcPr>
          <w:p w14:paraId="1EC8254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西南</w:t>
            </w:r>
          </w:p>
        </w:tc>
        <w:tc>
          <w:tcPr>
            <w:tcW w:w="535" w:type="pct"/>
            <w:vAlign w:val="center"/>
          </w:tcPr>
          <w:p w14:paraId="3FC911D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1281</w:t>
            </w:r>
          </w:p>
        </w:tc>
        <w:tc>
          <w:tcPr>
            <w:tcW w:w="627" w:type="pct"/>
            <w:noWrap/>
            <w:vAlign w:val="center"/>
          </w:tcPr>
          <w:p w14:paraId="2A86FE5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3D6E974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48</w:t>
            </w:r>
          </w:p>
        </w:tc>
      </w:tr>
      <w:tr w14:paraId="0D7641C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024F9ED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12</w:t>
            </w:r>
          </w:p>
        </w:tc>
        <w:tc>
          <w:tcPr>
            <w:tcW w:w="507" w:type="pct"/>
            <w:vMerge w:val="continue"/>
            <w:vAlign w:val="center"/>
          </w:tcPr>
          <w:p w14:paraId="155321A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14A21EF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天津市帮兴盛达纸质品有限公司</w:t>
            </w:r>
          </w:p>
        </w:tc>
        <w:tc>
          <w:tcPr>
            <w:tcW w:w="468" w:type="pct"/>
            <w:vAlign w:val="center"/>
          </w:tcPr>
          <w:p w14:paraId="0418742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w:t>
            </w:r>
          </w:p>
        </w:tc>
        <w:tc>
          <w:tcPr>
            <w:tcW w:w="535" w:type="pct"/>
            <w:vAlign w:val="center"/>
          </w:tcPr>
          <w:p w14:paraId="15A9E67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1018</w:t>
            </w:r>
          </w:p>
        </w:tc>
        <w:tc>
          <w:tcPr>
            <w:tcW w:w="627" w:type="pct"/>
            <w:noWrap/>
            <w:vAlign w:val="center"/>
          </w:tcPr>
          <w:p w14:paraId="5268B29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405C679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25</w:t>
            </w:r>
          </w:p>
        </w:tc>
      </w:tr>
      <w:tr w14:paraId="52BCB3B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705800D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13</w:t>
            </w:r>
          </w:p>
        </w:tc>
        <w:tc>
          <w:tcPr>
            <w:tcW w:w="507" w:type="pct"/>
            <w:vMerge w:val="continue"/>
            <w:vAlign w:val="center"/>
          </w:tcPr>
          <w:p w14:paraId="29C04D4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42B70D2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瑞奇工贸</w:t>
            </w:r>
          </w:p>
        </w:tc>
        <w:tc>
          <w:tcPr>
            <w:tcW w:w="468" w:type="pct"/>
            <w:vAlign w:val="center"/>
          </w:tcPr>
          <w:p w14:paraId="2799967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西南</w:t>
            </w:r>
          </w:p>
        </w:tc>
        <w:tc>
          <w:tcPr>
            <w:tcW w:w="535" w:type="pct"/>
            <w:vAlign w:val="center"/>
          </w:tcPr>
          <w:p w14:paraId="30C80F7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1203</w:t>
            </w:r>
          </w:p>
        </w:tc>
        <w:tc>
          <w:tcPr>
            <w:tcW w:w="627" w:type="pct"/>
            <w:noWrap/>
            <w:vAlign w:val="center"/>
          </w:tcPr>
          <w:p w14:paraId="07040AD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2B4A8F2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62</w:t>
            </w:r>
          </w:p>
        </w:tc>
      </w:tr>
      <w:tr w14:paraId="1341B30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049E5ED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14</w:t>
            </w:r>
          </w:p>
        </w:tc>
        <w:tc>
          <w:tcPr>
            <w:tcW w:w="507" w:type="pct"/>
            <w:vMerge w:val="restart"/>
            <w:noWrap/>
            <w:vAlign w:val="center"/>
          </w:tcPr>
          <w:p w14:paraId="13846B0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区域二（纺四路-轻四街-纺六路-轻一街）</w:t>
            </w:r>
          </w:p>
        </w:tc>
        <w:tc>
          <w:tcPr>
            <w:tcW w:w="2071" w:type="pct"/>
            <w:vAlign w:val="center"/>
          </w:tcPr>
          <w:p w14:paraId="11986A8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天港人力</w:t>
            </w:r>
          </w:p>
        </w:tc>
        <w:tc>
          <w:tcPr>
            <w:tcW w:w="468" w:type="pct"/>
            <w:vAlign w:val="center"/>
          </w:tcPr>
          <w:p w14:paraId="003216E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w:t>
            </w:r>
          </w:p>
        </w:tc>
        <w:tc>
          <w:tcPr>
            <w:tcW w:w="535" w:type="pct"/>
            <w:vAlign w:val="center"/>
          </w:tcPr>
          <w:p w14:paraId="3A7676D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369</w:t>
            </w:r>
          </w:p>
        </w:tc>
        <w:tc>
          <w:tcPr>
            <w:tcW w:w="627" w:type="pct"/>
            <w:vAlign w:val="center"/>
          </w:tcPr>
          <w:p w14:paraId="5C76013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34BD6E3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15</w:t>
            </w:r>
          </w:p>
        </w:tc>
      </w:tr>
      <w:tr w14:paraId="79F3C4E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33B49A9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15</w:t>
            </w:r>
          </w:p>
        </w:tc>
        <w:tc>
          <w:tcPr>
            <w:tcW w:w="507" w:type="pct"/>
            <w:vMerge w:val="continue"/>
            <w:vAlign w:val="center"/>
          </w:tcPr>
          <w:p w14:paraId="5DB2CB4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4433EF5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天津市滨海新区军盾国防教育训练中心</w:t>
            </w:r>
          </w:p>
        </w:tc>
        <w:tc>
          <w:tcPr>
            <w:tcW w:w="468" w:type="pct"/>
            <w:vAlign w:val="center"/>
          </w:tcPr>
          <w:p w14:paraId="42395ED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西南</w:t>
            </w:r>
          </w:p>
        </w:tc>
        <w:tc>
          <w:tcPr>
            <w:tcW w:w="535" w:type="pct"/>
            <w:vAlign w:val="center"/>
          </w:tcPr>
          <w:p w14:paraId="3E633AD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490</w:t>
            </w:r>
          </w:p>
        </w:tc>
        <w:tc>
          <w:tcPr>
            <w:tcW w:w="627" w:type="pct"/>
            <w:vAlign w:val="center"/>
          </w:tcPr>
          <w:p w14:paraId="253AFA0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4DF53CD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15</w:t>
            </w:r>
          </w:p>
        </w:tc>
      </w:tr>
      <w:tr w14:paraId="6F2D935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605E045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16</w:t>
            </w:r>
          </w:p>
        </w:tc>
        <w:tc>
          <w:tcPr>
            <w:tcW w:w="507" w:type="pct"/>
            <w:vMerge w:val="continue"/>
            <w:vAlign w:val="center"/>
          </w:tcPr>
          <w:p w14:paraId="0D1F80F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44E3A6D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天津市高安塑业有限公公司</w:t>
            </w:r>
          </w:p>
        </w:tc>
        <w:tc>
          <w:tcPr>
            <w:tcW w:w="468" w:type="pct"/>
            <w:vAlign w:val="center"/>
          </w:tcPr>
          <w:p w14:paraId="5A3A529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南</w:t>
            </w:r>
          </w:p>
        </w:tc>
        <w:tc>
          <w:tcPr>
            <w:tcW w:w="535" w:type="pct"/>
            <w:vAlign w:val="center"/>
          </w:tcPr>
          <w:p w14:paraId="5BAA017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345</w:t>
            </w:r>
          </w:p>
        </w:tc>
        <w:tc>
          <w:tcPr>
            <w:tcW w:w="627" w:type="pct"/>
            <w:vAlign w:val="center"/>
          </w:tcPr>
          <w:p w14:paraId="683D76B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12D8C7F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36</w:t>
            </w:r>
          </w:p>
        </w:tc>
      </w:tr>
      <w:tr w14:paraId="2674356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0C7EDB9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17</w:t>
            </w:r>
          </w:p>
        </w:tc>
        <w:tc>
          <w:tcPr>
            <w:tcW w:w="507" w:type="pct"/>
            <w:vMerge w:val="continue"/>
            <w:vAlign w:val="center"/>
          </w:tcPr>
          <w:p w14:paraId="3ECE8B8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6FBC44D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天津市德昱塑业</w:t>
            </w:r>
          </w:p>
        </w:tc>
        <w:tc>
          <w:tcPr>
            <w:tcW w:w="468" w:type="pct"/>
            <w:vAlign w:val="center"/>
          </w:tcPr>
          <w:p w14:paraId="5F8218B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南</w:t>
            </w:r>
          </w:p>
        </w:tc>
        <w:tc>
          <w:tcPr>
            <w:tcW w:w="535" w:type="pct"/>
            <w:vAlign w:val="center"/>
          </w:tcPr>
          <w:p w14:paraId="1C9EA02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481</w:t>
            </w:r>
          </w:p>
        </w:tc>
        <w:tc>
          <w:tcPr>
            <w:tcW w:w="627" w:type="pct"/>
            <w:vAlign w:val="center"/>
          </w:tcPr>
          <w:p w14:paraId="7C2B6D1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6E224FC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9</w:t>
            </w:r>
          </w:p>
        </w:tc>
      </w:tr>
      <w:tr w14:paraId="47FD460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33DB15A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18</w:t>
            </w:r>
          </w:p>
        </w:tc>
        <w:tc>
          <w:tcPr>
            <w:tcW w:w="507" w:type="pct"/>
            <w:vMerge w:val="continue"/>
            <w:vAlign w:val="center"/>
          </w:tcPr>
          <w:p w14:paraId="4F1B292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1E6A427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东一科技发展有限公司</w:t>
            </w:r>
          </w:p>
        </w:tc>
        <w:tc>
          <w:tcPr>
            <w:tcW w:w="468" w:type="pct"/>
            <w:vAlign w:val="center"/>
          </w:tcPr>
          <w:p w14:paraId="6A4009F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南</w:t>
            </w:r>
          </w:p>
        </w:tc>
        <w:tc>
          <w:tcPr>
            <w:tcW w:w="535" w:type="pct"/>
            <w:vAlign w:val="center"/>
          </w:tcPr>
          <w:p w14:paraId="037B06A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403</w:t>
            </w:r>
          </w:p>
        </w:tc>
        <w:tc>
          <w:tcPr>
            <w:tcW w:w="627" w:type="pct"/>
            <w:vAlign w:val="center"/>
          </w:tcPr>
          <w:p w14:paraId="495809E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6F9B618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10</w:t>
            </w:r>
          </w:p>
        </w:tc>
      </w:tr>
      <w:tr w14:paraId="3689FCF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66F29AA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19</w:t>
            </w:r>
          </w:p>
        </w:tc>
        <w:tc>
          <w:tcPr>
            <w:tcW w:w="507" w:type="pct"/>
            <w:vMerge w:val="continue"/>
            <w:vAlign w:val="center"/>
          </w:tcPr>
          <w:p w14:paraId="4D19C60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2BF2CDC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天津市活力源饮料有限公司</w:t>
            </w:r>
          </w:p>
        </w:tc>
        <w:tc>
          <w:tcPr>
            <w:tcW w:w="468" w:type="pct"/>
            <w:vAlign w:val="center"/>
          </w:tcPr>
          <w:p w14:paraId="383FFF3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东南</w:t>
            </w:r>
          </w:p>
        </w:tc>
        <w:tc>
          <w:tcPr>
            <w:tcW w:w="535" w:type="pct"/>
            <w:vAlign w:val="center"/>
          </w:tcPr>
          <w:p w14:paraId="7992998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273</w:t>
            </w:r>
          </w:p>
        </w:tc>
        <w:tc>
          <w:tcPr>
            <w:tcW w:w="627" w:type="pct"/>
            <w:vAlign w:val="center"/>
          </w:tcPr>
          <w:p w14:paraId="6F3A808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5D1CDAE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40</w:t>
            </w:r>
          </w:p>
        </w:tc>
      </w:tr>
      <w:tr w14:paraId="1C78786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2E1EC54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20</w:t>
            </w:r>
          </w:p>
        </w:tc>
        <w:tc>
          <w:tcPr>
            <w:tcW w:w="507" w:type="pct"/>
            <w:vMerge w:val="continue"/>
            <w:vAlign w:val="center"/>
          </w:tcPr>
          <w:p w14:paraId="4EF30D0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59EACFE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诺思泰（天津）科技有限公司</w:t>
            </w:r>
          </w:p>
        </w:tc>
        <w:tc>
          <w:tcPr>
            <w:tcW w:w="468" w:type="pct"/>
            <w:vAlign w:val="center"/>
          </w:tcPr>
          <w:p w14:paraId="6CD044D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南</w:t>
            </w:r>
          </w:p>
        </w:tc>
        <w:tc>
          <w:tcPr>
            <w:tcW w:w="535" w:type="pct"/>
            <w:vAlign w:val="center"/>
          </w:tcPr>
          <w:p w14:paraId="04C86D9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540</w:t>
            </w:r>
          </w:p>
        </w:tc>
        <w:tc>
          <w:tcPr>
            <w:tcW w:w="627" w:type="pct"/>
            <w:vAlign w:val="center"/>
          </w:tcPr>
          <w:p w14:paraId="53636F9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6CAA7CE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30</w:t>
            </w:r>
          </w:p>
        </w:tc>
      </w:tr>
      <w:tr w14:paraId="2EC1C62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4AB9ED3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21</w:t>
            </w:r>
          </w:p>
        </w:tc>
        <w:tc>
          <w:tcPr>
            <w:tcW w:w="507" w:type="pct"/>
            <w:vMerge w:val="continue"/>
            <w:vAlign w:val="center"/>
          </w:tcPr>
          <w:p w14:paraId="0DE4D4B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025C36F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中矿资源天津基地</w:t>
            </w:r>
          </w:p>
        </w:tc>
        <w:tc>
          <w:tcPr>
            <w:tcW w:w="468" w:type="pct"/>
            <w:vAlign w:val="center"/>
          </w:tcPr>
          <w:p w14:paraId="57A65A1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东北</w:t>
            </w:r>
          </w:p>
        </w:tc>
        <w:tc>
          <w:tcPr>
            <w:tcW w:w="535" w:type="pct"/>
            <w:vAlign w:val="center"/>
          </w:tcPr>
          <w:p w14:paraId="1920843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182</w:t>
            </w:r>
          </w:p>
        </w:tc>
        <w:tc>
          <w:tcPr>
            <w:tcW w:w="627" w:type="pct"/>
            <w:vAlign w:val="center"/>
          </w:tcPr>
          <w:p w14:paraId="621E5B3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52B0910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50</w:t>
            </w:r>
          </w:p>
        </w:tc>
      </w:tr>
      <w:tr w14:paraId="1E3234F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3552927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22</w:t>
            </w:r>
          </w:p>
        </w:tc>
        <w:tc>
          <w:tcPr>
            <w:tcW w:w="507" w:type="pct"/>
            <w:vMerge w:val="continue"/>
            <w:vAlign w:val="center"/>
          </w:tcPr>
          <w:p w14:paraId="0CF10FF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41AC18D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天津格亚德新材料科技有限公司</w:t>
            </w:r>
          </w:p>
        </w:tc>
        <w:tc>
          <w:tcPr>
            <w:tcW w:w="468" w:type="pct"/>
            <w:vAlign w:val="center"/>
          </w:tcPr>
          <w:p w14:paraId="6F29F90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东</w:t>
            </w:r>
          </w:p>
        </w:tc>
        <w:tc>
          <w:tcPr>
            <w:tcW w:w="535" w:type="pct"/>
            <w:vAlign w:val="center"/>
          </w:tcPr>
          <w:p w14:paraId="1720990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213</w:t>
            </w:r>
          </w:p>
        </w:tc>
        <w:tc>
          <w:tcPr>
            <w:tcW w:w="627" w:type="pct"/>
            <w:vAlign w:val="center"/>
          </w:tcPr>
          <w:p w14:paraId="5836D82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6B1EAD3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28</w:t>
            </w:r>
          </w:p>
        </w:tc>
      </w:tr>
      <w:tr w14:paraId="2B4017D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0246BA6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23</w:t>
            </w:r>
          </w:p>
        </w:tc>
        <w:tc>
          <w:tcPr>
            <w:tcW w:w="507" w:type="pct"/>
            <w:vMerge w:val="continue"/>
            <w:vAlign w:val="center"/>
          </w:tcPr>
          <w:p w14:paraId="714713C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51D9358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天津市天宝杰瑞贸易有限公司</w:t>
            </w:r>
          </w:p>
        </w:tc>
        <w:tc>
          <w:tcPr>
            <w:tcW w:w="468" w:type="pct"/>
            <w:vAlign w:val="center"/>
          </w:tcPr>
          <w:p w14:paraId="705F995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东南</w:t>
            </w:r>
          </w:p>
        </w:tc>
        <w:tc>
          <w:tcPr>
            <w:tcW w:w="535" w:type="pct"/>
            <w:vAlign w:val="center"/>
          </w:tcPr>
          <w:p w14:paraId="06DB941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343</w:t>
            </w:r>
          </w:p>
        </w:tc>
        <w:tc>
          <w:tcPr>
            <w:tcW w:w="627" w:type="pct"/>
            <w:vAlign w:val="center"/>
          </w:tcPr>
          <w:p w14:paraId="5FC6D9C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790FB61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5</w:t>
            </w:r>
          </w:p>
        </w:tc>
      </w:tr>
      <w:tr w14:paraId="42C9CE6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48919CA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24</w:t>
            </w:r>
          </w:p>
        </w:tc>
        <w:tc>
          <w:tcPr>
            <w:tcW w:w="507" w:type="pct"/>
            <w:vMerge w:val="continue"/>
            <w:vAlign w:val="center"/>
          </w:tcPr>
          <w:p w14:paraId="20A1F3B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5DAA353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天津市华恒包装材料科技有限公司</w:t>
            </w:r>
          </w:p>
        </w:tc>
        <w:tc>
          <w:tcPr>
            <w:tcW w:w="468" w:type="pct"/>
            <w:vAlign w:val="center"/>
          </w:tcPr>
          <w:p w14:paraId="3066B87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南</w:t>
            </w:r>
          </w:p>
        </w:tc>
        <w:tc>
          <w:tcPr>
            <w:tcW w:w="535" w:type="pct"/>
            <w:vAlign w:val="center"/>
          </w:tcPr>
          <w:p w14:paraId="097F0E3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841</w:t>
            </w:r>
          </w:p>
        </w:tc>
        <w:tc>
          <w:tcPr>
            <w:tcW w:w="627" w:type="pct"/>
            <w:vAlign w:val="center"/>
          </w:tcPr>
          <w:p w14:paraId="117193A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1ADEEF8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5</w:t>
            </w:r>
          </w:p>
        </w:tc>
      </w:tr>
      <w:tr w14:paraId="16F6687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1DFC5FF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25</w:t>
            </w:r>
          </w:p>
        </w:tc>
        <w:tc>
          <w:tcPr>
            <w:tcW w:w="507" w:type="pct"/>
            <w:vMerge w:val="continue"/>
            <w:vAlign w:val="center"/>
          </w:tcPr>
          <w:p w14:paraId="6DDCBEC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0770030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天津市一丰生物科技有限公司</w:t>
            </w:r>
          </w:p>
        </w:tc>
        <w:tc>
          <w:tcPr>
            <w:tcW w:w="468" w:type="pct"/>
            <w:vAlign w:val="center"/>
          </w:tcPr>
          <w:p w14:paraId="6ECE834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南</w:t>
            </w:r>
          </w:p>
        </w:tc>
        <w:tc>
          <w:tcPr>
            <w:tcW w:w="535" w:type="pct"/>
            <w:vAlign w:val="center"/>
          </w:tcPr>
          <w:p w14:paraId="3464675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1286</w:t>
            </w:r>
          </w:p>
        </w:tc>
        <w:tc>
          <w:tcPr>
            <w:tcW w:w="627" w:type="pct"/>
            <w:vAlign w:val="center"/>
          </w:tcPr>
          <w:p w14:paraId="7EA854A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249A245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9</w:t>
            </w:r>
          </w:p>
        </w:tc>
      </w:tr>
      <w:tr w14:paraId="32DA376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658EDB4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26</w:t>
            </w:r>
          </w:p>
        </w:tc>
        <w:tc>
          <w:tcPr>
            <w:tcW w:w="507" w:type="pct"/>
            <w:vMerge w:val="continue"/>
            <w:vAlign w:val="center"/>
          </w:tcPr>
          <w:p w14:paraId="36C85D4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7514502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天津市华江包装材料有限公司</w:t>
            </w:r>
          </w:p>
        </w:tc>
        <w:tc>
          <w:tcPr>
            <w:tcW w:w="468" w:type="pct"/>
            <w:vAlign w:val="center"/>
          </w:tcPr>
          <w:p w14:paraId="05B0270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南</w:t>
            </w:r>
          </w:p>
        </w:tc>
        <w:tc>
          <w:tcPr>
            <w:tcW w:w="535" w:type="pct"/>
            <w:vAlign w:val="center"/>
          </w:tcPr>
          <w:p w14:paraId="68CE95B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1637</w:t>
            </w:r>
          </w:p>
        </w:tc>
        <w:tc>
          <w:tcPr>
            <w:tcW w:w="627" w:type="pct"/>
            <w:vAlign w:val="center"/>
          </w:tcPr>
          <w:p w14:paraId="21ADE30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48D24F1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23</w:t>
            </w:r>
          </w:p>
        </w:tc>
      </w:tr>
      <w:tr w14:paraId="4913B40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0EC413A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27</w:t>
            </w:r>
          </w:p>
        </w:tc>
        <w:tc>
          <w:tcPr>
            <w:tcW w:w="507" w:type="pct"/>
            <w:vMerge w:val="continue"/>
            <w:vAlign w:val="center"/>
          </w:tcPr>
          <w:p w14:paraId="5768976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73B7242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龙鼎熙石化新能源科技有限公司</w:t>
            </w:r>
          </w:p>
        </w:tc>
        <w:tc>
          <w:tcPr>
            <w:tcW w:w="468" w:type="pct"/>
            <w:vAlign w:val="center"/>
          </w:tcPr>
          <w:p w14:paraId="1A71CFB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南</w:t>
            </w:r>
          </w:p>
        </w:tc>
        <w:tc>
          <w:tcPr>
            <w:tcW w:w="535" w:type="pct"/>
            <w:vAlign w:val="center"/>
          </w:tcPr>
          <w:p w14:paraId="5BA5C5D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1668</w:t>
            </w:r>
          </w:p>
        </w:tc>
        <w:tc>
          <w:tcPr>
            <w:tcW w:w="627" w:type="pct"/>
            <w:vAlign w:val="center"/>
          </w:tcPr>
          <w:p w14:paraId="227A4E6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7411581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26</w:t>
            </w:r>
          </w:p>
        </w:tc>
      </w:tr>
      <w:tr w14:paraId="6C60EA5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32CFB8E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28</w:t>
            </w:r>
          </w:p>
        </w:tc>
        <w:tc>
          <w:tcPr>
            <w:tcW w:w="507" w:type="pct"/>
            <w:vMerge w:val="continue"/>
            <w:vAlign w:val="center"/>
          </w:tcPr>
          <w:p w14:paraId="39588A8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210215B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天津新美塑胶科技有限公司</w:t>
            </w:r>
          </w:p>
        </w:tc>
        <w:tc>
          <w:tcPr>
            <w:tcW w:w="468" w:type="pct"/>
            <w:vAlign w:val="center"/>
          </w:tcPr>
          <w:p w14:paraId="50F53CD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南</w:t>
            </w:r>
          </w:p>
        </w:tc>
        <w:tc>
          <w:tcPr>
            <w:tcW w:w="535" w:type="pct"/>
            <w:vAlign w:val="center"/>
          </w:tcPr>
          <w:p w14:paraId="5581B4D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1664</w:t>
            </w:r>
          </w:p>
        </w:tc>
        <w:tc>
          <w:tcPr>
            <w:tcW w:w="627" w:type="pct"/>
            <w:vAlign w:val="center"/>
          </w:tcPr>
          <w:p w14:paraId="1C5DD26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283C193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13</w:t>
            </w:r>
          </w:p>
        </w:tc>
      </w:tr>
      <w:tr w14:paraId="5BD702F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692C043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29</w:t>
            </w:r>
          </w:p>
        </w:tc>
        <w:tc>
          <w:tcPr>
            <w:tcW w:w="507" w:type="pct"/>
            <w:vMerge w:val="continue"/>
            <w:vAlign w:val="center"/>
          </w:tcPr>
          <w:p w14:paraId="286A007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34A4044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天津天雄薄膜有限公司</w:t>
            </w:r>
          </w:p>
        </w:tc>
        <w:tc>
          <w:tcPr>
            <w:tcW w:w="468" w:type="pct"/>
            <w:vAlign w:val="center"/>
          </w:tcPr>
          <w:p w14:paraId="767446E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南</w:t>
            </w:r>
          </w:p>
        </w:tc>
        <w:tc>
          <w:tcPr>
            <w:tcW w:w="535" w:type="pct"/>
            <w:vAlign w:val="center"/>
          </w:tcPr>
          <w:p w14:paraId="69EE560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1482</w:t>
            </w:r>
          </w:p>
        </w:tc>
        <w:tc>
          <w:tcPr>
            <w:tcW w:w="627" w:type="pct"/>
            <w:vAlign w:val="center"/>
          </w:tcPr>
          <w:p w14:paraId="604C838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11A0B40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74</w:t>
            </w:r>
          </w:p>
        </w:tc>
      </w:tr>
      <w:tr w14:paraId="010A2FD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062117E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30</w:t>
            </w:r>
          </w:p>
        </w:tc>
        <w:tc>
          <w:tcPr>
            <w:tcW w:w="507" w:type="pct"/>
            <w:vMerge w:val="continue"/>
            <w:vAlign w:val="center"/>
          </w:tcPr>
          <w:p w14:paraId="72A70B1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1815C57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天津鲲鹏包装材料有限公司</w:t>
            </w:r>
          </w:p>
        </w:tc>
        <w:tc>
          <w:tcPr>
            <w:tcW w:w="468" w:type="pct"/>
            <w:vAlign w:val="center"/>
          </w:tcPr>
          <w:p w14:paraId="12E2B4D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南</w:t>
            </w:r>
          </w:p>
        </w:tc>
        <w:tc>
          <w:tcPr>
            <w:tcW w:w="535" w:type="pct"/>
            <w:vAlign w:val="center"/>
          </w:tcPr>
          <w:p w14:paraId="551FBBC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1280</w:t>
            </w:r>
          </w:p>
        </w:tc>
        <w:tc>
          <w:tcPr>
            <w:tcW w:w="627" w:type="pct"/>
            <w:vAlign w:val="center"/>
          </w:tcPr>
          <w:p w14:paraId="71551FC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32173D5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22</w:t>
            </w:r>
          </w:p>
        </w:tc>
      </w:tr>
      <w:tr w14:paraId="2F25895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1B4AEDF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31</w:t>
            </w:r>
          </w:p>
        </w:tc>
        <w:tc>
          <w:tcPr>
            <w:tcW w:w="507" w:type="pct"/>
            <w:vMerge w:val="continue"/>
            <w:vAlign w:val="center"/>
          </w:tcPr>
          <w:p w14:paraId="65A79C8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7BD0EE3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天津市港丰智能装备有限公司</w:t>
            </w:r>
          </w:p>
        </w:tc>
        <w:tc>
          <w:tcPr>
            <w:tcW w:w="468" w:type="pct"/>
            <w:vAlign w:val="center"/>
          </w:tcPr>
          <w:p w14:paraId="04F6E30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南</w:t>
            </w:r>
          </w:p>
        </w:tc>
        <w:tc>
          <w:tcPr>
            <w:tcW w:w="535" w:type="pct"/>
            <w:vAlign w:val="center"/>
          </w:tcPr>
          <w:p w14:paraId="02F01F6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1383</w:t>
            </w:r>
          </w:p>
        </w:tc>
        <w:tc>
          <w:tcPr>
            <w:tcW w:w="627" w:type="pct"/>
            <w:vAlign w:val="center"/>
          </w:tcPr>
          <w:p w14:paraId="139E5F9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64709E9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41</w:t>
            </w:r>
          </w:p>
        </w:tc>
      </w:tr>
      <w:tr w14:paraId="1B208A4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64B154B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32</w:t>
            </w:r>
          </w:p>
        </w:tc>
        <w:tc>
          <w:tcPr>
            <w:tcW w:w="507" w:type="pct"/>
            <w:vMerge w:val="continue"/>
            <w:vAlign w:val="center"/>
          </w:tcPr>
          <w:p w14:paraId="01B4591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762B9AF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天津市新纶科技产业园区</w:t>
            </w:r>
          </w:p>
        </w:tc>
        <w:tc>
          <w:tcPr>
            <w:tcW w:w="468" w:type="pct"/>
            <w:vAlign w:val="center"/>
          </w:tcPr>
          <w:p w14:paraId="20BF1AD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东南</w:t>
            </w:r>
          </w:p>
        </w:tc>
        <w:tc>
          <w:tcPr>
            <w:tcW w:w="535" w:type="pct"/>
            <w:vAlign w:val="center"/>
          </w:tcPr>
          <w:p w14:paraId="4DE12D4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983</w:t>
            </w:r>
          </w:p>
        </w:tc>
        <w:tc>
          <w:tcPr>
            <w:tcW w:w="627" w:type="pct"/>
            <w:vAlign w:val="center"/>
          </w:tcPr>
          <w:p w14:paraId="1428379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3F1FF54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500</w:t>
            </w:r>
          </w:p>
        </w:tc>
      </w:tr>
      <w:tr w14:paraId="42ECA29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192C2F2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33</w:t>
            </w:r>
          </w:p>
        </w:tc>
        <w:tc>
          <w:tcPr>
            <w:tcW w:w="507" w:type="pct"/>
            <w:vMerge w:val="restart"/>
            <w:noWrap/>
            <w:vAlign w:val="center"/>
          </w:tcPr>
          <w:p w14:paraId="53597CC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区域三（纺六路-轻四街-中央大道-轻一街）</w:t>
            </w:r>
          </w:p>
        </w:tc>
        <w:tc>
          <w:tcPr>
            <w:tcW w:w="2071" w:type="pct"/>
            <w:vAlign w:val="center"/>
          </w:tcPr>
          <w:p w14:paraId="298EEBD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开发区中区和能人居科技集团股份有限公司</w:t>
            </w:r>
          </w:p>
        </w:tc>
        <w:tc>
          <w:tcPr>
            <w:tcW w:w="468" w:type="pct"/>
            <w:vAlign w:val="center"/>
          </w:tcPr>
          <w:p w14:paraId="216186F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东</w:t>
            </w:r>
          </w:p>
        </w:tc>
        <w:tc>
          <w:tcPr>
            <w:tcW w:w="535" w:type="pct"/>
            <w:vAlign w:val="center"/>
          </w:tcPr>
          <w:p w14:paraId="59976E3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1165</w:t>
            </w:r>
          </w:p>
        </w:tc>
        <w:tc>
          <w:tcPr>
            <w:tcW w:w="627" w:type="pct"/>
            <w:vAlign w:val="center"/>
          </w:tcPr>
          <w:p w14:paraId="7F3137D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2CE831C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347</w:t>
            </w:r>
          </w:p>
        </w:tc>
      </w:tr>
      <w:tr w14:paraId="7A560CF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28957CA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34</w:t>
            </w:r>
          </w:p>
        </w:tc>
        <w:tc>
          <w:tcPr>
            <w:tcW w:w="507" w:type="pct"/>
            <w:vMerge w:val="continue"/>
            <w:vAlign w:val="center"/>
          </w:tcPr>
          <w:p w14:paraId="6E16E11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0C45D63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元顺物流</w:t>
            </w:r>
          </w:p>
        </w:tc>
        <w:tc>
          <w:tcPr>
            <w:tcW w:w="468" w:type="pct"/>
            <w:vAlign w:val="center"/>
          </w:tcPr>
          <w:p w14:paraId="29DEC30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东</w:t>
            </w:r>
          </w:p>
        </w:tc>
        <w:tc>
          <w:tcPr>
            <w:tcW w:w="535" w:type="pct"/>
            <w:vAlign w:val="center"/>
          </w:tcPr>
          <w:p w14:paraId="065F56B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1516</w:t>
            </w:r>
          </w:p>
        </w:tc>
        <w:tc>
          <w:tcPr>
            <w:tcW w:w="627" w:type="pct"/>
            <w:vAlign w:val="center"/>
          </w:tcPr>
          <w:p w14:paraId="6C88015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40D5F58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22</w:t>
            </w:r>
          </w:p>
        </w:tc>
      </w:tr>
      <w:tr w14:paraId="5DFF661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710CE20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35</w:t>
            </w:r>
          </w:p>
        </w:tc>
        <w:tc>
          <w:tcPr>
            <w:tcW w:w="507" w:type="pct"/>
            <w:vMerge w:val="continue"/>
            <w:vAlign w:val="center"/>
          </w:tcPr>
          <w:p w14:paraId="7DE5E2D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37C456C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天津正标津达线缆集团有限公司</w:t>
            </w:r>
          </w:p>
        </w:tc>
        <w:tc>
          <w:tcPr>
            <w:tcW w:w="468" w:type="pct"/>
            <w:vAlign w:val="center"/>
          </w:tcPr>
          <w:p w14:paraId="7274309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东</w:t>
            </w:r>
          </w:p>
        </w:tc>
        <w:tc>
          <w:tcPr>
            <w:tcW w:w="535" w:type="pct"/>
            <w:vAlign w:val="center"/>
          </w:tcPr>
          <w:p w14:paraId="3D129C4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2038</w:t>
            </w:r>
          </w:p>
        </w:tc>
        <w:tc>
          <w:tcPr>
            <w:tcW w:w="627" w:type="pct"/>
            <w:vAlign w:val="center"/>
          </w:tcPr>
          <w:p w14:paraId="424AF34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6534A8D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250</w:t>
            </w:r>
          </w:p>
        </w:tc>
      </w:tr>
      <w:tr w14:paraId="74E9B8A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0F0A5B4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36</w:t>
            </w:r>
          </w:p>
        </w:tc>
        <w:tc>
          <w:tcPr>
            <w:tcW w:w="507" w:type="pct"/>
            <w:vMerge w:val="restart"/>
            <w:noWrap/>
            <w:vAlign w:val="center"/>
          </w:tcPr>
          <w:p w14:paraId="433EAF5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区域四(轻四街-纺一路-范围边界-中央大道)</w:t>
            </w:r>
          </w:p>
        </w:tc>
        <w:tc>
          <w:tcPr>
            <w:tcW w:w="2071" w:type="pct"/>
            <w:vAlign w:val="center"/>
          </w:tcPr>
          <w:p w14:paraId="40BF3EC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乐哥天津电子商务产业园</w:t>
            </w:r>
          </w:p>
        </w:tc>
        <w:tc>
          <w:tcPr>
            <w:tcW w:w="468" w:type="pct"/>
            <w:vAlign w:val="center"/>
          </w:tcPr>
          <w:p w14:paraId="3932BFC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西南</w:t>
            </w:r>
          </w:p>
        </w:tc>
        <w:tc>
          <w:tcPr>
            <w:tcW w:w="535" w:type="pct"/>
            <w:vAlign w:val="center"/>
          </w:tcPr>
          <w:p w14:paraId="0E5FFD1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2280</w:t>
            </w:r>
          </w:p>
        </w:tc>
        <w:tc>
          <w:tcPr>
            <w:tcW w:w="627" w:type="pct"/>
            <w:vAlign w:val="center"/>
          </w:tcPr>
          <w:p w14:paraId="75E49CC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540FA85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200</w:t>
            </w:r>
          </w:p>
        </w:tc>
      </w:tr>
      <w:tr w14:paraId="1F34198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553890A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37</w:t>
            </w:r>
          </w:p>
        </w:tc>
        <w:tc>
          <w:tcPr>
            <w:tcW w:w="507" w:type="pct"/>
            <w:vMerge w:val="continue"/>
            <w:vAlign w:val="center"/>
          </w:tcPr>
          <w:p w14:paraId="4D49EAF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63BB93C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津滨东宝（天津）科技发展有限公司</w:t>
            </w:r>
          </w:p>
        </w:tc>
        <w:tc>
          <w:tcPr>
            <w:tcW w:w="468" w:type="pct"/>
            <w:vAlign w:val="center"/>
          </w:tcPr>
          <w:p w14:paraId="3734A0E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南</w:t>
            </w:r>
          </w:p>
        </w:tc>
        <w:tc>
          <w:tcPr>
            <w:tcW w:w="535" w:type="pct"/>
            <w:vAlign w:val="center"/>
          </w:tcPr>
          <w:p w14:paraId="3DB79D2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1903</w:t>
            </w:r>
          </w:p>
        </w:tc>
        <w:tc>
          <w:tcPr>
            <w:tcW w:w="627" w:type="pct"/>
            <w:vAlign w:val="center"/>
          </w:tcPr>
          <w:p w14:paraId="74EBA80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015097C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10</w:t>
            </w:r>
          </w:p>
        </w:tc>
      </w:tr>
      <w:tr w14:paraId="2EE4796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29BDF08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38</w:t>
            </w:r>
          </w:p>
        </w:tc>
        <w:tc>
          <w:tcPr>
            <w:tcW w:w="507" w:type="pct"/>
            <w:vMerge w:val="continue"/>
            <w:vAlign w:val="center"/>
          </w:tcPr>
          <w:p w14:paraId="680001E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001BCD4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豪威特达</w:t>
            </w:r>
          </w:p>
        </w:tc>
        <w:tc>
          <w:tcPr>
            <w:tcW w:w="468" w:type="pct"/>
            <w:vAlign w:val="center"/>
          </w:tcPr>
          <w:p w14:paraId="1045DDC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南</w:t>
            </w:r>
          </w:p>
        </w:tc>
        <w:tc>
          <w:tcPr>
            <w:tcW w:w="535" w:type="pct"/>
            <w:vAlign w:val="center"/>
          </w:tcPr>
          <w:p w14:paraId="2B4F533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1877</w:t>
            </w:r>
          </w:p>
        </w:tc>
        <w:tc>
          <w:tcPr>
            <w:tcW w:w="627" w:type="pct"/>
            <w:vAlign w:val="center"/>
          </w:tcPr>
          <w:p w14:paraId="7DB8A24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3D6A459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10</w:t>
            </w:r>
          </w:p>
        </w:tc>
      </w:tr>
      <w:tr w14:paraId="772F923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00451A7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39</w:t>
            </w:r>
          </w:p>
        </w:tc>
        <w:tc>
          <w:tcPr>
            <w:tcW w:w="507" w:type="pct"/>
            <w:vMerge w:val="continue"/>
            <w:vAlign w:val="center"/>
          </w:tcPr>
          <w:p w14:paraId="36D6E07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06ACB70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天津市紫垣纸塑制品有限公司</w:t>
            </w:r>
          </w:p>
        </w:tc>
        <w:tc>
          <w:tcPr>
            <w:tcW w:w="468" w:type="pct"/>
            <w:vAlign w:val="center"/>
          </w:tcPr>
          <w:p w14:paraId="7076F19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南</w:t>
            </w:r>
          </w:p>
        </w:tc>
        <w:tc>
          <w:tcPr>
            <w:tcW w:w="535" w:type="pct"/>
            <w:vAlign w:val="center"/>
          </w:tcPr>
          <w:p w14:paraId="5549E4F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1776</w:t>
            </w:r>
          </w:p>
        </w:tc>
        <w:tc>
          <w:tcPr>
            <w:tcW w:w="627" w:type="pct"/>
            <w:vAlign w:val="center"/>
          </w:tcPr>
          <w:p w14:paraId="3E39A77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54001A2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20</w:t>
            </w:r>
          </w:p>
        </w:tc>
      </w:tr>
      <w:tr w14:paraId="4A35507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544ECE9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40</w:t>
            </w:r>
          </w:p>
        </w:tc>
        <w:tc>
          <w:tcPr>
            <w:tcW w:w="507" w:type="pct"/>
            <w:vMerge w:val="continue"/>
            <w:vAlign w:val="center"/>
          </w:tcPr>
          <w:p w14:paraId="0FF97D9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67DEE72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天津市唯天涂料包装器材有限公司</w:t>
            </w:r>
          </w:p>
        </w:tc>
        <w:tc>
          <w:tcPr>
            <w:tcW w:w="468" w:type="pct"/>
            <w:vAlign w:val="center"/>
          </w:tcPr>
          <w:p w14:paraId="32D7655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南</w:t>
            </w:r>
          </w:p>
        </w:tc>
        <w:tc>
          <w:tcPr>
            <w:tcW w:w="535" w:type="pct"/>
            <w:vAlign w:val="center"/>
          </w:tcPr>
          <w:p w14:paraId="7016099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2210</w:t>
            </w:r>
          </w:p>
        </w:tc>
        <w:tc>
          <w:tcPr>
            <w:tcW w:w="627" w:type="pct"/>
            <w:vAlign w:val="center"/>
          </w:tcPr>
          <w:p w14:paraId="6D29A3A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0A472BF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89</w:t>
            </w:r>
          </w:p>
        </w:tc>
      </w:tr>
      <w:tr w14:paraId="2A5CB80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03E0B6C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41</w:t>
            </w:r>
          </w:p>
        </w:tc>
        <w:tc>
          <w:tcPr>
            <w:tcW w:w="507" w:type="pct"/>
            <w:vMerge w:val="continue"/>
            <w:vAlign w:val="center"/>
          </w:tcPr>
          <w:p w14:paraId="57C58E0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7097186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天津市金桥焊材科技有限公司</w:t>
            </w:r>
          </w:p>
        </w:tc>
        <w:tc>
          <w:tcPr>
            <w:tcW w:w="468" w:type="pct"/>
            <w:vAlign w:val="center"/>
          </w:tcPr>
          <w:p w14:paraId="7D94922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南</w:t>
            </w:r>
          </w:p>
        </w:tc>
        <w:tc>
          <w:tcPr>
            <w:tcW w:w="535" w:type="pct"/>
            <w:vAlign w:val="center"/>
          </w:tcPr>
          <w:p w14:paraId="1A537B8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1978</w:t>
            </w:r>
          </w:p>
        </w:tc>
        <w:tc>
          <w:tcPr>
            <w:tcW w:w="627" w:type="pct"/>
            <w:vAlign w:val="center"/>
          </w:tcPr>
          <w:p w14:paraId="7090701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30F6FD1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772</w:t>
            </w:r>
          </w:p>
        </w:tc>
      </w:tr>
      <w:tr w14:paraId="2A118A8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1A2CCF2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42</w:t>
            </w:r>
          </w:p>
        </w:tc>
        <w:tc>
          <w:tcPr>
            <w:tcW w:w="507" w:type="pct"/>
            <w:vMerge w:val="continue"/>
            <w:vAlign w:val="center"/>
          </w:tcPr>
          <w:p w14:paraId="14F89EA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19F83D4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中国铁建大桥工程局集团津潍高铁2号拌和站</w:t>
            </w:r>
          </w:p>
        </w:tc>
        <w:tc>
          <w:tcPr>
            <w:tcW w:w="468" w:type="pct"/>
            <w:vAlign w:val="center"/>
          </w:tcPr>
          <w:p w14:paraId="3ED0CC7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南</w:t>
            </w:r>
          </w:p>
        </w:tc>
        <w:tc>
          <w:tcPr>
            <w:tcW w:w="535" w:type="pct"/>
            <w:vAlign w:val="center"/>
          </w:tcPr>
          <w:p w14:paraId="41E4C95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2624</w:t>
            </w:r>
          </w:p>
        </w:tc>
        <w:tc>
          <w:tcPr>
            <w:tcW w:w="627" w:type="pct"/>
            <w:vAlign w:val="center"/>
          </w:tcPr>
          <w:p w14:paraId="6D1B65B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6992686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20</w:t>
            </w:r>
          </w:p>
        </w:tc>
      </w:tr>
      <w:tr w14:paraId="175B50B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6948F7B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43</w:t>
            </w:r>
          </w:p>
        </w:tc>
        <w:tc>
          <w:tcPr>
            <w:tcW w:w="507" w:type="pct"/>
            <w:vMerge w:val="continue"/>
            <w:vAlign w:val="center"/>
          </w:tcPr>
          <w:p w14:paraId="0219BC4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3C0059D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华熙生物科技有限公司</w:t>
            </w:r>
          </w:p>
        </w:tc>
        <w:tc>
          <w:tcPr>
            <w:tcW w:w="468" w:type="pct"/>
            <w:vAlign w:val="center"/>
          </w:tcPr>
          <w:p w14:paraId="7622275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西南</w:t>
            </w:r>
          </w:p>
        </w:tc>
        <w:tc>
          <w:tcPr>
            <w:tcW w:w="535" w:type="pct"/>
            <w:vAlign w:val="center"/>
          </w:tcPr>
          <w:p w14:paraId="12BCEBE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3759</w:t>
            </w:r>
          </w:p>
        </w:tc>
        <w:tc>
          <w:tcPr>
            <w:tcW w:w="627" w:type="pct"/>
            <w:vAlign w:val="center"/>
          </w:tcPr>
          <w:p w14:paraId="6917284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6D6B35E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479</w:t>
            </w:r>
          </w:p>
        </w:tc>
      </w:tr>
      <w:tr w14:paraId="6EB225C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3E54CFE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44</w:t>
            </w:r>
          </w:p>
        </w:tc>
        <w:tc>
          <w:tcPr>
            <w:tcW w:w="507" w:type="pct"/>
            <w:vMerge w:val="restart"/>
            <w:noWrap/>
            <w:vAlign w:val="center"/>
          </w:tcPr>
          <w:p w14:paraId="1FD7C2A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区域五（南环南路-海景大道-范围边界）</w:t>
            </w:r>
          </w:p>
        </w:tc>
        <w:tc>
          <w:tcPr>
            <w:tcW w:w="2071" w:type="pct"/>
            <w:vAlign w:val="center"/>
          </w:tcPr>
          <w:p w14:paraId="7310ABE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欣欣小区</w:t>
            </w:r>
          </w:p>
        </w:tc>
        <w:tc>
          <w:tcPr>
            <w:tcW w:w="468" w:type="pct"/>
            <w:vAlign w:val="center"/>
          </w:tcPr>
          <w:p w14:paraId="184883A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西南</w:t>
            </w:r>
          </w:p>
        </w:tc>
        <w:tc>
          <w:tcPr>
            <w:tcW w:w="535" w:type="pct"/>
            <w:vAlign w:val="center"/>
          </w:tcPr>
          <w:p w14:paraId="5E9FADE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4491</w:t>
            </w:r>
          </w:p>
        </w:tc>
        <w:tc>
          <w:tcPr>
            <w:tcW w:w="627" w:type="pct"/>
            <w:vAlign w:val="center"/>
          </w:tcPr>
          <w:p w14:paraId="4106A2D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居民区</w:t>
            </w:r>
          </w:p>
        </w:tc>
        <w:tc>
          <w:tcPr>
            <w:tcW w:w="495" w:type="pct"/>
            <w:noWrap/>
            <w:vAlign w:val="center"/>
          </w:tcPr>
          <w:p w14:paraId="031A541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1200</w:t>
            </w:r>
          </w:p>
        </w:tc>
      </w:tr>
      <w:tr w14:paraId="576B7F8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262A6CB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45</w:t>
            </w:r>
          </w:p>
        </w:tc>
        <w:tc>
          <w:tcPr>
            <w:tcW w:w="507" w:type="pct"/>
            <w:vMerge w:val="continue"/>
            <w:vAlign w:val="center"/>
          </w:tcPr>
          <w:p w14:paraId="0331A27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3077256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大港区海滨第四学校</w:t>
            </w:r>
          </w:p>
        </w:tc>
        <w:tc>
          <w:tcPr>
            <w:tcW w:w="468" w:type="pct"/>
            <w:vAlign w:val="center"/>
          </w:tcPr>
          <w:p w14:paraId="7C7C914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西南</w:t>
            </w:r>
          </w:p>
        </w:tc>
        <w:tc>
          <w:tcPr>
            <w:tcW w:w="535" w:type="pct"/>
            <w:vAlign w:val="center"/>
          </w:tcPr>
          <w:p w14:paraId="63AE05B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4420</w:t>
            </w:r>
          </w:p>
        </w:tc>
        <w:tc>
          <w:tcPr>
            <w:tcW w:w="627" w:type="pct"/>
            <w:vAlign w:val="center"/>
          </w:tcPr>
          <w:p w14:paraId="1A2248A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学校</w:t>
            </w:r>
          </w:p>
        </w:tc>
        <w:tc>
          <w:tcPr>
            <w:tcW w:w="495" w:type="pct"/>
            <w:noWrap/>
            <w:vAlign w:val="center"/>
          </w:tcPr>
          <w:p w14:paraId="3822AF9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668</w:t>
            </w:r>
          </w:p>
        </w:tc>
      </w:tr>
      <w:tr w14:paraId="3C55075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78E430E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46</w:t>
            </w:r>
          </w:p>
        </w:tc>
        <w:tc>
          <w:tcPr>
            <w:tcW w:w="507" w:type="pct"/>
            <w:vMerge w:val="continue"/>
            <w:vAlign w:val="center"/>
          </w:tcPr>
          <w:p w14:paraId="5136BBE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202FBD5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天津中龙工贸有限公司</w:t>
            </w:r>
          </w:p>
        </w:tc>
        <w:tc>
          <w:tcPr>
            <w:tcW w:w="468" w:type="pct"/>
            <w:vAlign w:val="center"/>
          </w:tcPr>
          <w:p w14:paraId="32C912D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西南</w:t>
            </w:r>
          </w:p>
        </w:tc>
        <w:tc>
          <w:tcPr>
            <w:tcW w:w="535" w:type="pct"/>
            <w:vAlign w:val="center"/>
          </w:tcPr>
          <w:p w14:paraId="1391139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3986</w:t>
            </w:r>
          </w:p>
        </w:tc>
        <w:tc>
          <w:tcPr>
            <w:tcW w:w="627" w:type="pct"/>
            <w:vAlign w:val="center"/>
          </w:tcPr>
          <w:p w14:paraId="1285C87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383C076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11</w:t>
            </w:r>
          </w:p>
        </w:tc>
      </w:tr>
      <w:tr w14:paraId="4EFCE59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440358A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47</w:t>
            </w:r>
          </w:p>
        </w:tc>
        <w:tc>
          <w:tcPr>
            <w:tcW w:w="507" w:type="pct"/>
            <w:vMerge w:val="continue"/>
            <w:vAlign w:val="center"/>
          </w:tcPr>
          <w:p w14:paraId="1D16468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1A95D2B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天津滨海科迪检测有限公司</w:t>
            </w:r>
          </w:p>
        </w:tc>
        <w:tc>
          <w:tcPr>
            <w:tcW w:w="468" w:type="pct"/>
            <w:vAlign w:val="center"/>
          </w:tcPr>
          <w:p w14:paraId="6D8CC99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西南</w:t>
            </w:r>
          </w:p>
        </w:tc>
        <w:tc>
          <w:tcPr>
            <w:tcW w:w="535" w:type="pct"/>
            <w:vAlign w:val="center"/>
          </w:tcPr>
          <w:p w14:paraId="0A6DBA7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3987</w:t>
            </w:r>
          </w:p>
        </w:tc>
        <w:tc>
          <w:tcPr>
            <w:tcW w:w="627" w:type="pct"/>
            <w:vAlign w:val="center"/>
          </w:tcPr>
          <w:p w14:paraId="15BB706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210E58E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32</w:t>
            </w:r>
          </w:p>
        </w:tc>
      </w:tr>
      <w:tr w14:paraId="4C4ED9E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6A9580A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48</w:t>
            </w:r>
          </w:p>
        </w:tc>
        <w:tc>
          <w:tcPr>
            <w:tcW w:w="507" w:type="pct"/>
            <w:vMerge w:val="continue"/>
            <w:vAlign w:val="center"/>
          </w:tcPr>
          <w:p w14:paraId="67A6982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50C270E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天津市双盈物资回收有限公司</w:t>
            </w:r>
          </w:p>
        </w:tc>
        <w:tc>
          <w:tcPr>
            <w:tcW w:w="468" w:type="pct"/>
            <w:vAlign w:val="center"/>
          </w:tcPr>
          <w:p w14:paraId="3E7B9FA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西南</w:t>
            </w:r>
          </w:p>
        </w:tc>
        <w:tc>
          <w:tcPr>
            <w:tcW w:w="535" w:type="pct"/>
            <w:vAlign w:val="center"/>
          </w:tcPr>
          <w:p w14:paraId="7F851DA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4671</w:t>
            </w:r>
          </w:p>
        </w:tc>
        <w:tc>
          <w:tcPr>
            <w:tcW w:w="627" w:type="pct"/>
            <w:vAlign w:val="center"/>
          </w:tcPr>
          <w:p w14:paraId="6970291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70468E7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15</w:t>
            </w:r>
          </w:p>
        </w:tc>
      </w:tr>
      <w:tr w14:paraId="247E09E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50AB1E7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49</w:t>
            </w:r>
          </w:p>
        </w:tc>
        <w:tc>
          <w:tcPr>
            <w:tcW w:w="507" w:type="pct"/>
            <w:vMerge w:val="continue"/>
            <w:vAlign w:val="center"/>
          </w:tcPr>
          <w:p w14:paraId="367804D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28944C5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东海汽修厂</w:t>
            </w:r>
          </w:p>
        </w:tc>
        <w:tc>
          <w:tcPr>
            <w:tcW w:w="468" w:type="pct"/>
            <w:vAlign w:val="center"/>
          </w:tcPr>
          <w:p w14:paraId="1D5FD38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西南</w:t>
            </w:r>
          </w:p>
        </w:tc>
        <w:tc>
          <w:tcPr>
            <w:tcW w:w="535" w:type="pct"/>
            <w:vAlign w:val="center"/>
          </w:tcPr>
          <w:p w14:paraId="024751C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4923</w:t>
            </w:r>
          </w:p>
        </w:tc>
        <w:tc>
          <w:tcPr>
            <w:tcW w:w="627" w:type="pct"/>
            <w:vAlign w:val="center"/>
          </w:tcPr>
          <w:p w14:paraId="147AABC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5162B6D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5</w:t>
            </w:r>
          </w:p>
        </w:tc>
      </w:tr>
      <w:tr w14:paraId="7CCD1B8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666B94E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50</w:t>
            </w:r>
          </w:p>
        </w:tc>
        <w:tc>
          <w:tcPr>
            <w:tcW w:w="507" w:type="pct"/>
            <w:vMerge w:val="continue"/>
            <w:vAlign w:val="center"/>
          </w:tcPr>
          <w:p w14:paraId="47E1BA6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4B6BA7A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宏伟腾达机修</w:t>
            </w:r>
          </w:p>
        </w:tc>
        <w:tc>
          <w:tcPr>
            <w:tcW w:w="468" w:type="pct"/>
            <w:vAlign w:val="center"/>
          </w:tcPr>
          <w:p w14:paraId="6D5998F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西南</w:t>
            </w:r>
          </w:p>
        </w:tc>
        <w:tc>
          <w:tcPr>
            <w:tcW w:w="535" w:type="pct"/>
            <w:vAlign w:val="center"/>
          </w:tcPr>
          <w:p w14:paraId="0AF29C5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4818</w:t>
            </w:r>
          </w:p>
        </w:tc>
        <w:tc>
          <w:tcPr>
            <w:tcW w:w="627" w:type="pct"/>
            <w:vAlign w:val="center"/>
          </w:tcPr>
          <w:p w14:paraId="58B035B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5806AB6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5</w:t>
            </w:r>
          </w:p>
        </w:tc>
      </w:tr>
      <w:tr w14:paraId="41A4B0E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54862D7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51</w:t>
            </w:r>
          </w:p>
        </w:tc>
        <w:tc>
          <w:tcPr>
            <w:tcW w:w="507" w:type="pct"/>
            <w:vMerge w:val="continue"/>
            <w:vAlign w:val="center"/>
          </w:tcPr>
          <w:p w14:paraId="2E5ECF8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36259F6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大港油田集团工程建设责任有限公司</w:t>
            </w:r>
          </w:p>
        </w:tc>
        <w:tc>
          <w:tcPr>
            <w:tcW w:w="468" w:type="pct"/>
            <w:vAlign w:val="center"/>
          </w:tcPr>
          <w:p w14:paraId="0DB4A7A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西南</w:t>
            </w:r>
          </w:p>
        </w:tc>
        <w:tc>
          <w:tcPr>
            <w:tcW w:w="535" w:type="pct"/>
            <w:vAlign w:val="center"/>
          </w:tcPr>
          <w:p w14:paraId="1491D91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4254</w:t>
            </w:r>
          </w:p>
        </w:tc>
        <w:tc>
          <w:tcPr>
            <w:tcW w:w="627" w:type="pct"/>
            <w:vAlign w:val="center"/>
          </w:tcPr>
          <w:p w14:paraId="12B3EC8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68CF96F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3229</w:t>
            </w:r>
          </w:p>
        </w:tc>
      </w:tr>
      <w:tr w14:paraId="5B46413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1EF2325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52</w:t>
            </w:r>
          </w:p>
        </w:tc>
        <w:tc>
          <w:tcPr>
            <w:tcW w:w="507" w:type="pct"/>
            <w:vMerge w:val="continue"/>
            <w:vAlign w:val="center"/>
          </w:tcPr>
          <w:p w14:paraId="6C67A73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48EB629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红太阳公寓</w:t>
            </w:r>
          </w:p>
        </w:tc>
        <w:tc>
          <w:tcPr>
            <w:tcW w:w="468" w:type="pct"/>
            <w:vAlign w:val="center"/>
          </w:tcPr>
          <w:p w14:paraId="70CC75F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西南</w:t>
            </w:r>
          </w:p>
        </w:tc>
        <w:tc>
          <w:tcPr>
            <w:tcW w:w="535" w:type="pct"/>
            <w:vAlign w:val="center"/>
          </w:tcPr>
          <w:p w14:paraId="2DCE77C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4145</w:t>
            </w:r>
          </w:p>
        </w:tc>
        <w:tc>
          <w:tcPr>
            <w:tcW w:w="627" w:type="pct"/>
            <w:vAlign w:val="center"/>
          </w:tcPr>
          <w:p w14:paraId="51C13DE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居民区</w:t>
            </w:r>
          </w:p>
        </w:tc>
        <w:tc>
          <w:tcPr>
            <w:tcW w:w="495" w:type="pct"/>
            <w:noWrap/>
            <w:vAlign w:val="center"/>
          </w:tcPr>
          <w:p w14:paraId="27A3015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500</w:t>
            </w:r>
          </w:p>
        </w:tc>
      </w:tr>
      <w:tr w14:paraId="4ABB8EB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6A524C6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53</w:t>
            </w:r>
          </w:p>
        </w:tc>
        <w:tc>
          <w:tcPr>
            <w:tcW w:w="507" w:type="pct"/>
            <w:vMerge w:val="continue"/>
            <w:vAlign w:val="center"/>
          </w:tcPr>
          <w:p w14:paraId="5D2A7FC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64DDD0B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康宁医院</w:t>
            </w:r>
          </w:p>
        </w:tc>
        <w:tc>
          <w:tcPr>
            <w:tcW w:w="468" w:type="pct"/>
            <w:vAlign w:val="center"/>
          </w:tcPr>
          <w:p w14:paraId="346C119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西南</w:t>
            </w:r>
          </w:p>
        </w:tc>
        <w:tc>
          <w:tcPr>
            <w:tcW w:w="535" w:type="pct"/>
            <w:vAlign w:val="center"/>
          </w:tcPr>
          <w:p w14:paraId="32741FC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4090</w:t>
            </w:r>
          </w:p>
        </w:tc>
        <w:tc>
          <w:tcPr>
            <w:tcW w:w="627" w:type="pct"/>
            <w:vAlign w:val="center"/>
          </w:tcPr>
          <w:p w14:paraId="30A4D28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医院</w:t>
            </w:r>
          </w:p>
        </w:tc>
        <w:tc>
          <w:tcPr>
            <w:tcW w:w="495" w:type="pct"/>
            <w:noWrap/>
            <w:vAlign w:val="center"/>
          </w:tcPr>
          <w:p w14:paraId="305FF59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500</w:t>
            </w:r>
          </w:p>
        </w:tc>
      </w:tr>
      <w:tr w14:paraId="39B33D8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4B80385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54</w:t>
            </w:r>
          </w:p>
        </w:tc>
        <w:tc>
          <w:tcPr>
            <w:tcW w:w="507" w:type="pct"/>
            <w:vMerge w:val="continue"/>
            <w:vAlign w:val="center"/>
          </w:tcPr>
          <w:p w14:paraId="3E79848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1579D67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北苑物业公司</w:t>
            </w:r>
          </w:p>
        </w:tc>
        <w:tc>
          <w:tcPr>
            <w:tcW w:w="468" w:type="pct"/>
            <w:vAlign w:val="center"/>
          </w:tcPr>
          <w:p w14:paraId="0EF06EF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西南</w:t>
            </w:r>
          </w:p>
        </w:tc>
        <w:tc>
          <w:tcPr>
            <w:tcW w:w="535" w:type="pct"/>
            <w:vAlign w:val="center"/>
          </w:tcPr>
          <w:p w14:paraId="54F9A1D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4004</w:t>
            </w:r>
          </w:p>
        </w:tc>
        <w:tc>
          <w:tcPr>
            <w:tcW w:w="627" w:type="pct"/>
            <w:vAlign w:val="center"/>
          </w:tcPr>
          <w:p w14:paraId="35894A9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086DF7B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5</w:t>
            </w:r>
          </w:p>
        </w:tc>
      </w:tr>
      <w:tr w14:paraId="0E17377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111E67E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55</w:t>
            </w:r>
          </w:p>
        </w:tc>
        <w:tc>
          <w:tcPr>
            <w:tcW w:w="507" w:type="pct"/>
            <w:vMerge w:val="continue"/>
            <w:vAlign w:val="center"/>
          </w:tcPr>
          <w:p w14:paraId="1DCAA72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6FEC7D1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大港油田第一采油厂地质研究所</w:t>
            </w:r>
          </w:p>
        </w:tc>
        <w:tc>
          <w:tcPr>
            <w:tcW w:w="468" w:type="pct"/>
            <w:vAlign w:val="center"/>
          </w:tcPr>
          <w:p w14:paraId="5DED7AD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西南</w:t>
            </w:r>
          </w:p>
        </w:tc>
        <w:tc>
          <w:tcPr>
            <w:tcW w:w="535" w:type="pct"/>
            <w:vAlign w:val="center"/>
          </w:tcPr>
          <w:p w14:paraId="3CE357C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4044</w:t>
            </w:r>
          </w:p>
        </w:tc>
        <w:tc>
          <w:tcPr>
            <w:tcW w:w="627" w:type="pct"/>
            <w:vAlign w:val="center"/>
          </w:tcPr>
          <w:p w14:paraId="72F5087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研究所</w:t>
            </w:r>
          </w:p>
        </w:tc>
        <w:tc>
          <w:tcPr>
            <w:tcW w:w="495" w:type="pct"/>
            <w:noWrap/>
            <w:vAlign w:val="center"/>
          </w:tcPr>
          <w:p w14:paraId="28D60B3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15</w:t>
            </w:r>
          </w:p>
        </w:tc>
      </w:tr>
      <w:tr w14:paraId="3F3F318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1217BC0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56</w:t>
            </w:r>
          </w:p>
        </w:tc>
        <w:tc>
          <w:tcPr>
            <w:tcW w:w="507" w:type="pct"/>
            <w:vMerge w:val="continue"/>
            <w:vAlign w:val="center"/>
          </w:tcPr>
          <w:p w14:paraId="05694BB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7CE8B85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工农村</w:t>
            </w:r>
          </w:p>
        </w:tc>
        <w:tc>
          <w:tcPr>
            <w:tcW w:w="468" w:type="pct"/>
            <w:vAlign w:val="center"/>
          </w:tcPr>
          <w:p w14:paraId="0E89684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西南</w:t>
            </w:r>
          </w:p>
        </w:tc>
        <w:tc>
          <w:tcPr>
            <w:tcW w:w="535" w:type="pct"/>
            <w:vAlign w:val="center"/>
          </w:tcPr>
          <w:p w14:paraId="066660E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4349</w:t>
            </w:r>
          </w:p>
        </w:tc>
        <w:tc>
          <w:tcPr>
            <w:tcW w:w="627" w:type="pct"/>
            <w:vAlign w:val="center"/>
          </w:tcPr>
          <w:p w14:paraId="783E63C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居民区</w:t>
            </w:r>
          </w:p>
        </w:tc>
        <w:tc>
          <w:tcPr>
            <w:tcW w:w="495" w:type="pct"/>
            <w:noWrap/>
            <w:vAlign w:val="center"/>
          </w:tcPr>
          <w:p w14:paraId="4426CC6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2000</w:t>
            </w:r>
          </w:p>
        </w:tc>
      </w:tr>
      <w:tr w14:paraId="778639B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3B093D2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57</w:t>
            </w:r>
          </w:p>
        </w:tc>
        <w:tc>
          <w:tcPr>
            <w:tcW w:w="507" w:type="pct"/>
            <w:vMerge w:val="continue"/>
            <w:vAlign w:val="center"/>
          </w:tcPr>
          <w:p w14:paraId="3D4660F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098C9D2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建北里</w:t>
            </w:r>
          </w:p>
        </w:tc>
        <w:tc>
          <w:tcPr>
            <w:tcW w:w="468" w:type="pct"/>
            <w:vAlign w:val="center"/>
          </w:tcPr>
          <w:p w14:paraId="0BA4F9D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西南</w:t>
            </w:r>
          </w:p>
        </w:tc>
        <w:tc>
          <w:tcPr>
            <w:tcW w:w="535" w:type="pct"/>
            <w:vAlign w:val="center"/>
          </w:tcPr>
          <w:p w14:paraId="7AD34C3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3999</w:t>
            </w:r>
          </w:p>
        </w:tc>
        <w:tc>
          <w:tcPr>
            <w:tcW w:w="627" w:type="pct"/>
            <w:vAlign w:val="center"/>
          </w:tcPr>
          <w:p w14:paraId="6019C92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居民区</w:t>
            </w:r>
          </w:p>
        </w:tc>
        <w:tc>
          <w:tcPr>
            <w:tcW w:w="495" w:type="pct"/>
            <w:noWrap/>
            <w:vAlign w:val="center"/>
          </w:tcPr>
          <w:p w14:paraId="0E52C4E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3000</w:t>
            </w:r>
          </w:p>
        </w:tc>
      </w:tr>
      <w:tr w14:paraId="6F0C074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35DAD80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58</w:t>
            </w:r>
          </w:p>
        </w:tc>
        <w:tc>
          <w:tcPr>
            <w:tcW w:w="507" w:type="pct"/>
            <w:vMerge w:val="continue"/>
            <w:vAlign w:val="center"/>
          </w:tcPr>
          <w:p w14:paraId="1C4C5EC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236D47C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金属结构厂</w:t>
            </w:r>
          </w:p>
        </w:tc>
        <w:tc>
          <w:tcPr>
            <w:tcW w:w="468" w:type="pct"/>
            <w:vAlign w:val="center"/>
          </w:tcPr>
          <w:p w14:paraId="0B1E92C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西南</w:t>
            </w:r>
          </w:p>
        </w:tc>
        <w:tc>
          <w:tcPr>
            <w:tcW w:w="535" w:type="pct"/>
            <w:vAlign w:val="center"/>
          </w:tcPr>
          <w:p w14:paraId="5B19576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3830</w:t>
            </w:r>
          </w:p>
        </w:tc>
        <w:tc>
          <w:tcPr>
            <w:tcW w:w="627" w:type="pct"/>
            <w:vAlign w:val="center"/>
          </w:tcPr>
          <w:p w14:paraId="663A810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5F8A34B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15</w:t>
            </w:r>
          </w:p>
        </w:tc>
      </w:tr>
      <w:tr w14:paraId="3CC65F3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4FB2780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59</w:t>
            </w:r>
          </w:p>
        </w:tc>
        <w:tc>
          <w:tcPr>
            <w:tcW w:w="507" w:type="pct"/>
            <w:vMerge w:val="continue"/>
            <w:vAlign w:val="center"/>
          </w:tcPr>
          <w:p w14:paraId="59A4CC1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4459DF8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油建五分公司</w:t>
            </w:r>
          </w:p>
        </w:tc>
        <w:tc>
          <w:tcPr>
            <w:tcW w:w="468" w:type="pct"/>
            <w:vAlign w:val="center"/>
          </w:tcPr>
          <w:p w14:paraId="4966282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西南</w:t>
            </w:r>
          </w:p>
        </w:tc>
        <w:tc>
          <w:tcPr>
            <w:tcW w:w="535" w:type="pct"/>
            <w:vAlign w:val="center"/>
          </w:tcPr>
          <w:p w14:paraId="6A48D35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3654</w:t>
            </w:r>
          </w:p>
        </w:tc>
        <w:tc>
          <w:tcPr>
            <w:tcW w:w="627" w:type="pct"/>
            <w:vAlign w:val="center"/>
          </w:tcPr>
          <w:p w14:paraId="5C9302C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2D0A892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200</w:t>
            </w:r>
          </w:p>
        </w:tc>
      </w:tr>
      <w:tr w14:paraId="65F8429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5A4D89F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60</w:t>
            </w:r>
          </w:p>
        </w:tc>
        <w:tc>
          <w:tcPr>
            <w:tcW w:w="507" w:type="pct"/>
            <w:vMerge w:val="continue"/>
            <w:vAlign w:val="center"/>
          </w:tcPr>
          <w:p w14:paraId="31F72A3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41809A3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中石油管道局环渤海LNG产业园</w:t>
            </w:r>
          </w:p>
        </w:tc>
        <w:tc>
          <w:tcPr>
            <w:tcW w:w="468" w:type="pct"/>
            <w:vAlign w:val="center"/>
          </w:tcPr>
          <w:p w14:paraId="2CB1079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西南</w:t>
            </w:r>
          </w:p>
        </w:tc>
        <w:tc>
          <w:tcPr>
            <w:tcW w:w="535" w:type="pct"/>
            <w:vAlign w:val="center"/>
          </w:tcPr>
          <w:p w14:paraId="2E3DC4E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3759</w:t>
            </w:r>
          </w:p>
        </w:tc>
        <w:tc>
          <w:tcPr>
            <w:tcW w:w="627" w:type="pct"/>
            <w:vAlign w:val="center"/>
          </w:tcPr>
          <w:p w14:paraId="1F0C0CB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27E5239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200</w:t>
            </w:r>
          </w:p>
        </w:tc>
      </w:tr>
      <w:tr w14:paraId="470289B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572846D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61</w:t>
            </w:r>
          </w:p>
        </w:tc>
        <w:tc>
          <w:tcPr>
            <w:tcW w:w="507" w:type="pct"/>
            <w:vMerge w:val="continue"/>
            <w:vAlign w:val="center"/>
          </w:tcPr>
          <w:p w14:paraId="4024030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1F6F8B4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电讯仪表分公司</w:t>
            </w:r>
          </w:p>
        </w:tc>
        <w:tc>
          <w:tcPr>
            <w:tcW w:w="468" w:type="pct"/>
            <w:vAlign w:val="center"/>
          </w:tcPr>
          <w:p w14:paraId="14B474E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西南</w:t>
            </w:r>
          </w:p>
        </w:tc>
        <w:tc>
          <w:tcPr>
            <w:tcW w:w="535" w:type="pct"/>
            <w:vAlign w:val="center"/>
          </w:tcPr>
          <w:p w14:paraId="6CDFA5A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3972</w:t>
            </w:r>
          </w:p>
        </w:tc>
        <w:tc>
          <w:tcPr>
            <w:tcW w:w="627" w:type="pct"/>
            <w:vAlign w:val="center"/>
          </w:tcPr>
          <w:p w14:paraId="6921E71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2EEEC88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10</w:t>
            </w:r>
          </w:p>
        </w:tc>
      </w:tr>
      <w:tr w14:paraId="3D8D719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33A7F88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62</w:t>
            </w:r>
          </w:p>
        </w:tc>
        <w:tc>
          <w:tcPr>
            <w:tcW w:w="507" w:type="pct"/>
            <w:vMerge w:val="continue"/>
            <w:vAlign w:val="center"/>
          </w:tcPr>
          <w:p w14:paraId="4C4275E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0E19E2F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天津市晶工微晶石建材公司</w:t>
            </w:r>
          </w:p>
        </w:tc>
        <w:tc>
          <w:tcPr>
            <w:tcW w:w="468" w:type="pct"/>
            <w:vAlign w:val="center"/>
          </w:tcPr>
          <w:p w14:paraId="156D3B4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西南</w:t>
            </w:r>
          </w:p>
        </w:tc>
        <w:tc>
          <w:tcPr>
            <w:tcW w:w="535" w:type="pct"/>
            <w:vAlign w:val="center"/>
          </w:tcPr>
          <w:p w14:paraId="2DF1C8E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4173</w:t>
            </w:r>
          </w:p>
        </w:tc>
        <w:tc>
          <w:tcPr>
            <w:tcW w:w="627" w:type="pct"/>
            <w:vAlign w:val="center"/>
          </w:tcPr>
          <w:p w14:paraId="7CB741E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250845E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30</w:t>
            </w:r>
          </w:p>
        </w:tc>
      </w:tr>
      <w:tr w14:paraId="1FEB2A8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0ED82F1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63</w:t>
            </w:r>
          </w:p>
        </w:tc>
        <w:tc>
          <w:tcPr>
            <w:tcW w:w="507" w:type="pct"/>
            <w:vMerge w:val="continue"/>
            <w:vAlign w:val="center"/>
          </w:tcPr>
          <w:p w14:paraId="6F23BE8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1966648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天津市滨海远景玻璃制品有限公司</w:t>
            </w:r>
          </w:p>
        </w:tc>
        <w:tc>
          <w:tcPr>
            <w:tcW w:w="468" w:type="pct"/>
            <w:vAlign w:val="center"/>
          </w:tcPr>
          <w:p w14:paraId="2C5EE29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西南</w:t>
            </w:r>
          </w:p>
        </w:tc>
        <w:tc>
          <w:tcPr>
            <w:tcW w:w="535" w:type="pct"/>
            <w:vAlign w:val="center"/>
          </w:tcPr>
          <w:p w14:paraId="0E4854A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4135</w:t>
            </w:r>
          </w:p>
        </w:tc>
        <w:tc>
          <w:tcPr>
            <w:tcW w:w="627" w:type="pct"/>
            <w:vAlign w:val="center"/>
          </w:tcPr>
          <w:p w14:paraId="3CD3F8A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2A6AC25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30</w:t>
            </w:r>
          </w:p>
        </w:tc>
      </w:tr>
      <w:tr w14:paraId="066A96C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74E7CE5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64</w:t>
            </w:r>
          </w:p>
        </w:tc>
        <w:tc>
          <w:tcPr>
            <w:tcW w:w="507" w:type="pct"/>
            <w:vMerge w:val="continue"/>
            <w:vAlign w:val="center"/>
          </w:tcPr>
          <w:p w14:paraId="7BEFC8F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001B5D6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天津永生吊装工程有限公司</w:t>
            </w:r>
          </w:p>
        </w:tc>
        <w:tc>
          <w:tcPr>
            <w:tcW w:w="468" w:type="pct"/>
            <w:vAlign w:val="center"/>
          </w:tcPr>
          <w:p w14:paraId="6FCEC0E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西南</w:t>
            </w:r>
          </w:p>
        </w:tc>
        <w:tc>
          <w:tcPr>
            <w:tcW w:w="535" w:type="pct"/>
            <w:vAlign w:val="center"/>
          </w:tcPr>
          <w:p w14:paraId="1AEF16F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4264</w:t>
            </w:r>
          </w:p>
        </w:tc>
        <w:tc>
          <w:tcPr>
            <w:tcW w:w="627" w:type="pct"/>
            <w:vAlign w:val="center"/>
          </w:tcPr>
          <w:p w14:paraId="4A6760F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14C9A02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15</w:t>
            </w:r>
          </w:p>
        </w:tc>
      </w:tr>
      <w:tr w14:paraId="0A38A66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6E85FD6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65</w:t>
            </w:r>
          </w:p>
        </w:tc>
        <w:tc>
          <w:tcPr>
            <w:tcW w:w="507" w:type="pct"/>
            <w:vMerge w:val="continue"/>
            <w:vAlign w:val="center"/>
          </w:tcPr>
          <w:p w14:paraId="4856363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1E00F79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玖通管道</w:t>
            </w:r>
          </w:p>
        </w:tc>
        <w:tc>
          <w:tcPr>
            <w:tcW w:w="468" w:type="pct"/>
            <w:vAlign w:val="center"/>
          </w:tcPr>
          <w:p w14:paraId="01FD94F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西南</w:t>
            </w:r>
          </w:p>
        </w:tc>
        <w:tc>
          <w:tcPr>
            <w:tcW w:w="535" w:type="pct"/>
            <w:vAlign w:val="center"/>
          </w:tcPr>
          <w:p w14:paraId="2131604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4471</w:t>
            </w:r>
          </w:p>
        </w:tc>
        <w:tc>
          <w:tcPr>
            <w:tcW w:w="627" w:type="pct"/>
            <w:vAlign w:val="center"/>
          </w:tcPr>
          <w:p w14:paraId="0651C53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51F6707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15</w:t>
            </w:r>
          </w:p>
        </w:tc>
      </w:tr>
      <w:tr w14:paraId="243B673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6169EC2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66</w:t>
            </w:r>
          </w:p>
        </w:tc>
        <w:tc>
          <w:tcPr>
            <w:tcW w:w="507" w:type="pct"/>
            <w:vMerge w:val="continue"/>
            <w:vAlign w:val="center"/>
          </w:tcPr>
          <w:p w14:paraId="0E679AA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7D5CE9B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大港油田工程建设公司建筑工程分公司</w:t>
            </w:r>
          </w:p>
        </w:tc>
        <w:tc>
          <w:tcPr>
            <w:tcW w:w="468" w:type="pct"/>
            <w:vAlign w:val="center"/>
          </w:tcPr>
          <w:p w14:paraId="6C28336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西南</w:t>
            </w:r>
          </w:p>
        </w:tc>
        <w:tc>
          <w:tcPr>
            <w:tcW w:w="535" w:type="pct"/>
            <w:vAlign w:val="center"/>
          </w:tcPr>
          <w:p w14:paraId="318A210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3713</w:t>
            </w:r>
          </w:p>
        </w:tc>
        <w:tc>
          <w:tcPr>
            <w:tcW w:w="627" w:type="pct"/>
            <w:vAlign w:val="center"/>
          </w:tcPr>
          <w:p w14:paraId="214115C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6C4F592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400</w:t>
            </w:r>
          </w:p>
        </w:tc>
      </w:tr>
      <w:tr w14:paraId="2EC0F61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4EF1803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67</w:t>
            </w:r>
          </w:p>
        </w:tc>
        <w:tc>
          <w:tcPr>
            <w:tcW w:w="507" w:type="pct"/>
            <w:vMerge w:val="continue"/>
            <w:vAlign w:val="center"/>
          </w:tcPr>
          <w:p w14:paraId="6BF080E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3D323D7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天津滕泰混凝土有限公司</w:t>
            </w:r>
          </w:p>
        </w:tc>
        <w:tc>
          <w:tcPr>
            <w:tcW w:w="468" w:type="pct"/>
            <w:vAlign w:val="center"/>
          </w:tcPr>
          <w:p w14:paraId="303339D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西南</w:t>
            </w:r>
          </w:p>
        </w:tc>
        <w:tc>
          <w:tcPr>
            <w:tcW w:w="535" w:type="pct"/>
            <w:vAlign w:val="center"/>
          </w:tcPr>
          <w:p w14:paraId="60A0640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3453</w:t>
            </w:r>
          </w:p>
        </w:tc>
        <w:tc>
          <w:tcPr>
            <w:tcW w:w="627" w:type="pct"/>
            <w:vAlign w:val="center"/>
          </w:tcPr>
          <w:p w14:paraId="2E97557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54194AB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14</w:t>
            </w:r>
          </w:p>
        </w:tc>
      </w:tr>
      <w:tr w14:paraId="6AEB2C4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397360D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68</w:t>
            </w:r>
          </w:p>
        </w:tc>
        <w:tc>
          <w:tcPr>
            <w:tcW w:w="507" w:type="pct"/>
            <w:vMerge w:val="continue"/>
            <w:vAlign w:val="center"/>
          </w:tcPr>
          <w:p w14:paraId="05D12D9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24C3EF1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天津市恒泰混凝土有限公司</w:t>
            </w:r>
          </w:p>
        </w:tc>
        <w:tc>
          <w:tcPr>
            <w:tcW w:w="468" w:type="pct"/>
            <w:vAlign w:val="center"/>
          </w:tcPr>
          <w:p w14:paraId="2A2C436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西南</w:t>
            </w:r>
          </w:p>
        </w:tc>
        <w:tc>
          <w:tcPr>
            <w:tcW w:w="535" w:type="pct"/>
            <w:vAlign w:val="center"/>
          </w:tcPr>
          <w:p w14:paraId="68A1D13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3225</w:t>
            </w:r>
          </w:p>
        </w:tc>
        <w:tc>
          <w:tcPr>
            <w:tcW w:w="627" w:type="pct"/>
            <w:vAlign w:val="center"/>
          </w:tcPr>
          <w:p w14:paraId="3D8ABC5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0D247EF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30</w:t>
            </w:r>
          </w:p>
        </w:tc>
      </w:tr>
      <w:tr w14:paraId="590D636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3D27C80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69</w:t>
            </w:r>
          </w:p>
        </w:tc>
        <w:tc>
          <w:tcPr>
            <w:tcW w:w="507" w:type="pct"/>
            <w:vMerge w:val="continue"/>
            <w:vAlign w:val="center"/>
          </w:tcPr>
          <w:p w14:paraId="41A52E2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6FE860C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天津永生硅酸盐有限公司</w:t>
            </w:r>
          </w:p>
        </w:tc>
        <w:tc>
          <w:tcPr>
            <w:tcW w:w="468" w:type="pct"/>
            <w:vAlign w:val="center"/>
          </w:tcPr>
          <w:p w14:paraId="0EEC887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西南</w:t>
            </w:r>
          </w:p>
        </w:tc>
        <w:tc>
          <w:tcPr>
            <w:tcW w:w="535" w:type="pct"/>
            <w:vAlign w:val="center"/>
          </w:tcPr>
          <w:p w14:paraId="6CFB08C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3074</w:t>
            </w:r>
          </w:p>
        </w:tc>
        <w:tc>
          <w:tcPr>
            <w:tcW w:w="627" w:type="pct"/>
            <w:vAlign w:val="center"/>
          </w:tcPr>
          <w:p w14:paraId="03FBF85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1663167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48</w:t>
            </w:r>
          </w:p>
        </w:tc>
      </w:tr>
      <w:tr w14:paraId="78B5A4A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28FC92E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70</w:t>
            </w:r>
          </w:p>
        </w:tc>
        <w:tc>
          <w:tcPr>
            <w:tcW w:w="507" w:type="pct"/>
            <w:vMerge w:val="continue"/>
            <w:vAlign w:val="center"/>
          </w:tcPr>
          <w:p w14:paraId="09681AF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0E7BEE6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科迈化工股份有限公司</w:t>
            </w:r>
          </w:p>
        </w:tc>
        <w:tc>
          <w:tcPr>
            <w:tcW w:w="468" w:type="pct"/>
            <w:vAlign w:val="center"/>
          </w:tcPr>
          <w:p w14:paraId="3908C34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西南</w:t>
            </w:r>
          </w:p>
        </w:tc>
        <w:tc>
          <w:tcPr>
            <w:tcW w:w="535" w:type="pct"/>
            <w:vAlign w:val="center"/>
          </w:tcPr>
          <w:p w14:paraId="3C549CE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2887</w:t>
            </w:r>
          </w:p>
        </w:tc>
        <w:tc>
          <w:tcPr>
            <w:tcW w:w="627" w:type="pct"/>
            <w:vAlign w:val="center"/>
          </w:tcPr>
          <w:p w14:paraId="3C69C53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583A47F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600</w:t>
            </w:r>
          </w:p>
        </w:tc>
      </w:tr>
      <w:tr w14:paraId="34BB518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7F2F926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71</w:t>
            </w:r>
          </w:p>
        </w:tc>
        <w:tc>
          <w:tcPr>
            <w:tcW w:w="507" w:type="pct"/>
            <w:vMerge w:val="continue"/>
            <w:vAlign w:val="center"/>
          </w:tcPr>
          <w:p w14:paraId="24AFEDC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387AED3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天津东泰塑料金属制品有限公司</w:t>
            </w:r>
          </w:p>
        </w:tc>
        <w:tc>
          <w:tcPr>
            <w:tcW w:w="468" w:type="pct"/>
            <w:vAlign w:val="center"/>
          </w:tcPr>
          <w:p w14:paraId="1F379F5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西南</w:t>
            </w:r>
          </w:p>
        </w:tc>
        <w:tc>
          <w:tcPr>
            <w:tcW w:w="535" w:type="pct"/>
            <w:vAlign w:val="center"/>
          </w:tcPr>
          <w:p w14:paraId="6527D02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3131</w:t>
            </w:r>
          </w:p>
        </w:tc>
        <w:tc>
          <w:tcPr>
            <w:tcW w:w="627" w:type="pct"/>
            <w:vAlign w:val="center"/>
          </w:tcPr>
          <w:p w14:paraId="48D561D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3C19EE9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30</w:t>
            </w:r>
          </w:p>
        </w:tc>
      </w:tr>
      <w:tr w14:paraId="6D7C56E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5920461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72</w:t>
            </w:r>
          </w:p>
        </w:tc>
        <w:tc>
          <w:tcPr>
            <w:tcW w:w="507" w:type="pct"/>
            <w:vMerge w:val="continue"/>
            <w:vAlign w:val="center"/>
          </w:tcPr>
          <w:p w14:paraId="3EF87FA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771E4DE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天津市龙州天和能源科技有限公司</w:t>
            </w:r>
          </w:p>
        </w:tc>
        <w:tc>
          <w:tcPr>
            <w:tcW w:w="468" w:type="pct"/>
            <w:vAlign w:val="center"/>
          </w:tcPr>
          <w:p w14:paraId="11D5716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西南</w:t>
            </w:r>
          </w:p>
        </w:tc>
        <w:tc>
          <w:tcPr>
            <w:tcW w:w="535" w:type="pct"/>
            <w:vAlign w:val="center"/>
          </w:tcPr>
          <w:p w14:paraId="5E3EF88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3251</w:t>
            </w:r>
          </w:p>
        </w:tc>
        <w:tc>
          <w:tcPr>
            <w:tcW w:w="627" w:type="pct"/>
            <w:vAlign w:val="center"/>
          </w:tcPr>
          <w:p w14:paraId="7092761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3CD4419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50</w:t>
            </w:r>
          </w:p>
        </w:tc>
      </w:tr>
      <w:tr w14:paraId="2970376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134BA19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73</w:t>
            </w:r>
          </w:p>
        </w:tc>
        <w:tc>
          <w:tcPr>
            <w:tcW w:w="507" w:type="pct"/>
            <w:vMerge w:val="continue"/>
            <w:vAlign w:val="center"/>
          </w:tcPr>
          <w:p w14:paraId="2A0E3E7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26626A7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翔龙亿昇环保科技有限公司</w:t>
            </w:r>
          </w:p>
        </w:tc>
        <w:tc>
          <w:tcPr>
            <w:tcW w:w="468" w:type="pct"/>
            <w:vAlign w:val="center"/>
          </w:tcPr>
          <w:p w14:paraId="0C9F108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西南</w:t>
            </w:r>
          </w:p>
        </w:tc>
        <w:tc>
          <w:tcPr>
            <w:tcW w:w="535" w:type="pct"/>
            <w:vAlign w:val="center"/>
          </w:tcPr>
          <w:p w14:paraId="5B53C1E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3314</w:t>
            </w:r>
          </w:p>
        </w:tc>
        <w:tc>
          <w:tcPr>
            <w:tcW w:w="627" w:type="pct"/>
            <w:vAlign w:val="center"/>
          </w:tcPr>
          <w:p w14:paraId="252FBD3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2C9596B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10</w:t>
            </w:r>
          </w:p>
        </w:tc>
      </w:tr>
      <w:tr w14:paraId="58FF22E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29F74E1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74</w:t>
            </w:r>
          </w:p>
        </w:tc>
        <w:tc>
          <w:tcPr>
            <w:tcW w:w="507" w:type="pct"/>
            <w:vMerge w:val="continue"/>
            <w:vAlign w:val="center"/>
          </w:tcPr>
          <w:p w14:paraId="01B43BC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6F881E2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天津绿展环保科技有限公司</w:t>
            </w:r>
          </w:p>
        </w:tc>
        <w:tc>
          <w:tcPr>
            <w:tcW w:w="468" w:type="pct"/>
            <w:vAlign w:val="center"/>
          </w:tcPr>
          <w:p w14:paraId="1C1CEF9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西南</w:t>
            </w:r>
          </w:p>
        </w:tc>
        <w:tc>
          <w:tcPr>
            <w:tcW w:w="535" w:type="pct"/>
            <w:vAlign w:val="center"/>
          </w:tcPr>
          <w:p w14:paraId="4F52DD7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3340</w:t>
            </w:r>
          </w:p>
        </w:tc>
        <w:tc>
          <w:tcPr>
            <w:tcW w:w="627" w:type="pct"/>
            <w:vAlign w:val="center"/>
          </w:tcPr>
          <w:p w14:paraId="2C74E45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32176B5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78</w:t>
            </w:r>
          </w:p>
        </w:tc>
      </w:tr>
      <w:tr w14:paraId="22BEA7A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1985A40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75</w:t>
            </w:r>
          </w:p>
        </w:tc>
        <w:tc>
          <w:tcPr>
            <w:tcW w:w="507" w:type="pct"/>
            <w:vMerge w:val="continue"/>
            <w:vAlign w:val="center"/>
          </w:tcPr>
          <w:p w14:paraId="1A1E9AA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4682F56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科信达天津实业股份有限公司大港基地</w:t>
            </w:r>
          </w:p>
        </w:tc>
        <w:tc>
          <w:tcPr>
            <w:tcW w:w="468" w:type="pct"/>
            <w:vAlign w:val="center"/>
          </w:tcPr>
          <w:p w14:paraId="5750866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西南</w:t>
            </w:r>
          </w:p>
        </w:tc>
        <w:tc>
          <w:tcPr>
            <w:tcW w:w="535" w:type="pct"/>
            <w:vAlign w:val="center"/>
          </w:tcPr>
          <w:p w14:paraId="797236A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3295</w:t>
            </w:r>
          </w:p>
        </w:tc>
        <w:tc>
          <w:tcPr>
            <w:tcW w:w="627" w:type="pct"/>
            <w:vAlign w:val="center"/>
          </w:tcPr>
          <w:p w14:paraId="13D4C87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16F58AC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200</w:t>
            </w:r>
          </w:p>
        </w:tc>
      </w:tr>
      <w:tr w14:paraId="65715DC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4AB730B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76</w:t>
            </w:r>
          </w:p>
        </w:tc>
        <w:tc>
          <w:tcPr>
            <w:tcW w:w="507" w:type="pct"/>
            <w:vMerge w:val="continue"/>
            <w:vAlign w:val="center"/>
          </w:tcPr>
          <w:p w14:paraId="44364A6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669A9DE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吉源元印刷制品有限公司</w:t>
            </w:r>
          </w:p>
        </w:tc>
        <w:tc>
          <w:tcPr>
            <w:tcW w:w="468" w:type="pct"/>
            <w:vAlign w:val="center"/>
          </w:tcPr>
          <w:p w14:paraId="4ED5731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西南</w:t>
            </w:r>
          </w:p>
        </w:tc>
        <w:tc>
          <w:tcPr>
            <w:tcW w:w="535" w:type="pct"/>
            <w:vAlign w:val="center"/>
          </w:tcPr>
          <w:p w14:paraId="7C0B6B4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3589</w:t>
            </w:r>
          </w:p>
        </w:tc>
        <w:tc>
          <w:tcPr>
            <w:tcW w:w="627" w:type="pct"/>
            <w:vAlign w:val="center"/>
          </w:tcPr>
          <w:p w14:paraId="0346F5A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3E523E7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26</w:t>
            </w:r>
          </w:p>
        </w:tc>
      </w:tr>
      <w:tr w14:paraId="43D29AA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6D28DB6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77</w:t>
            </w:r>
          </w:p>
        </w:tc>
        <w:tc>
          <w:tcPr>
            <w:tcW w:w="507" w:type="pct"/>
            <w:vMerge w:val="continue"/>
            <w:vAlign w:val="center"/>
          </w:tcPr>
          <w:p w14:paraId="190D85C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2E7D290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欣通塑料有限公司</w:t>
            </w:r>
          </w:p>
        </w:tc>
        <w:tc>
          <w:tcPr>
            <w:tcW w:w="468" w:type="pct"/>
            <w:vAlign w:val="center"/>
          </w:tcPr>
          <w:p w14:paraId="1A5E073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西南</w:t>
            </w:r>
          </w:p>
        </w:tc>
        <w:tc>
          <w:tcPr>
            <w:tcW w:w="535" w:type="pct"/>
            <w:vAlign w:val="center"/>
          </w:tcPr>
          <w:p w14:paraId="2C31994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3694</w:t>
            </w:r>
          </w:p>
        </w:tc>
        <w:tc>
          <w:tcPr>
            <w:tcW w:w="627" w:type="pct"/>
            <w:vAlign w:val="center"/>
          </w:tcPr>
          <w:p w14:paraId="751739B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71EB6A7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20</w:t>
            </w:r>
          </w:p>
        </w:tc>
      </w:tr>
      <w:tr w14:paraId="19328D3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2EF78FE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78</w:t>
            </w:r>
          </w:p>
        </w:tc>
        <w:tc>
          <w:tcPr>
            <w:tcW w:w="507" w:type="pct"/>
            <w:vMerge w:val="continue"/>
            <w:vAlign w:val="center"/>
          </w:tcPr>
          <w:p w14:paraId="2BB1949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4232BF6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禹麟防水工厂</w:t>
            </w:r>
          </w:p>
        </w:tc>
        <w:tc>
          <w:tcPr>
            <w:tcW w:w="468" w:type="pct"/>
            <w:vAlign w:val="center"/>
          </w:tcPr>
          <w:p w14:paraId="61E6D4D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西南</w:t>
            </w:r>
          </w:p>
        </w:tc>
        <w:tc>
          <w:tcPr>
            <w:tcW w:w="535" w:type="pct"/>
            <w:vAlign w:val="center"/>
          </w:tcPr>
          <w:p w14:paraId="0A58812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3833</w:t>
            </w:r>
          </w:p>
        </w:tc>
        <w:tc>
          <w:tcPr>
            <w:tcW w:w="627" w:type="pct"/>
            <w:vAlign w:val="center"/>
          </w:tcPr>
          <w:p w14:paraId="70EDFB1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039F5D1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30</w:t>
            </w:r>
          </w:p>
        </w:tc>
      </w:tr>
      <w:tr w14:paraId="115A948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5549271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79</w:t>
            </w:r>
          </w:p>
        </w:tc>
        <w:tc>
          <w:tcPr>
            <w:tcW w:w="507" w:type="pct"/>
            <w:vMerge w:val="continue"/>
            <w:vAlign w:val="center"/>
          </w:tcPr>
          <w:p w14:paraId="3D9D888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2950C44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天津联合仓库</w:t>
            </w:r>
          </w:p>
        </w:tc>
        <w:tc>
          <w:tcPr>
            <w:tcW w:w="468" w:type="pct"/>
            <w:vAlign w:val="center"/>
          </w:tcPr>
          <w:p w14:paraId="21A4E56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西南</w:t>
            </w:r>
          </w:p>
        </w:tc>
        <w:tc>
          <w:tcPr>
            <w:tcW w:w="535" w:type="pct"/>
            <w:vAlign w:val="center"/>
          </w:tcPr>
          <w:p w14:paraId="1DB1426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4425</w:t>
            </w:r>
          </w:p>
        </w:tc>
        <w:tc>
          <w:tcPr>
            <w:tcW w:w="627" w:type="pct"/>
            <w:vAlign w:val="center"/>
          </w:tcPr>
          <w:p w14:paraId="5B9AC43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58F4C25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10</w:t>
            </w:r>
          </w:p>
        </w:tc>
      </w:tr>
      <w:tr w14:paraId="7080DBA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76F33F5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80</w:t>
            </w:r>
          </w:p>
        </w:tc>
        <w:tc>
          <w:tcPr>
            <w:tcW w:w="507" w:type="pct"/>
            <w:vMerge w:val="continue"/>
            <w:vAlign w:val="center"/>
          </w:tcPr>
          <w:p w14:paraId="501CD25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0E94C41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宏津源彩钢岩棉复合板厂</w:t>
            </w:r>
          </w:p>
        </w:tc>
        <w:tc>
          <w:tcPr>
            <w:tcW w:w="468" w:type="pct"/>
            <w:vAlign w:val="center"/>
          </w:tcPr>
          <w:p w14:paraId="474D62A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西南</w:t>
            </w:r>
          </w:p>
        </w:tc>
        <w:tc>
          <w:tcPr>
            <w:tcW w:w="535" w:type="pct"/>
            <w:vAlign w:val="center"/>
          </w:tcPr>
          <w:p w14:paraId="3AB8002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4417</w:t>
            </w:r>
          </w:p>
        </w:tc>
        <w:tc>
          <w:tcPr>
            <w:tcW w:w="627" w:type="pct"/>
            <w:vAlign w:val="center"/>
          </w:tcPr>
          <w:p w14:paraId="2369D41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2C58AD5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10</w:t>
            </w:r>
          </w:p>
        </w:tc>
      </w:tr>
      <w:tr w14:paraId="1542AF0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65843EC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81</w:t>
            </w:r>
          </w:p>
        </w:tc>
        <w:tc>
          <w:tcPr>
            <w:tcW w:w="507" w:type="pct"/>
            <w:vMerge w:val="continue"/>
            <w:vAlign w:val="center"/>
          </w:tcPr>
          <w:p w14:paraId="3AED2BD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3848961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大港彩钢彩钢厂</w:t>
            </w:r>
          </w:p>
        </w:tc>
        <w:tc>
          <w:tcPr>
            <w:tcW w:w="468" w:type="pct"/>
            <w:vAlign w:val="center"/>
          </w:tcPr>
          <w:p w14:paraId="0D92833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西南</w:t>
            </w:r>
          </w:p>
        </w:tc>
        <w:tc>
          <w:tcPr>
            <w:tcW w:w="535" w:type="pct"/>
            <w:vAlign w:val="center"/>
          </w:tcPr>
          <w:p w14:paraId="64871D0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4383</w:t>
            </w:r>
          </w:p>
        </w:tc>
        <w:tc>
          <w:tcPr>
            <w:tcW w:w="627" w:type="pct"/>
            <w:vAlign w:val="center"/>
          </w:tcPr>
          <w:p w14:paraId="5837697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4156D89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15</w:t>
            </w:r>
          </w:p>
        </w:tc>
      </w:tr>
      <w:tr w14:paraId="1EF318F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36211B6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82</w:t>
            </w:r>
          </w:p>
        </w:tc>
        <w:tc>
          <w:tcPr>
            <w:tcW w:w="507" w:type="pct"/>
            <w:vMerge w:val="continue"/>
            <w:vAlign w:val="center"/>
          </w:tcPr>
          <w:p w14:paraId="4EED941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7B24618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天智精细化工有限公司滨海分公司</w:t>
            </w:r>
          </w:p>
        </w:tc>
        <w:tc>
          <w:tcPr>
            <w:tcW w:w="468" w:type="pct"/>
            <w:vAlign w:val="center"/>
          </w:tcPr>
          <w:p w14:paraId="3BBA3DC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西南</w:t>
            </w:r>
          </w:p>
        </w:tc>
        <w:tc>
          <w:tcPr>
            <w:tcW w:w="535" w:type="pct"/>
            <w:vAlign w:val="center"/>
          </w:tcPr>
          <w:p w14:paraId="2650D71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4954</w:t>
            </w:r>
          </w:p>
        </w:tc>
        <w:tc>
          <w:tcPr>
            <w:tcW w:w="627" w:type="pct"/>
            <w:vAlign w:val="center"/>
          </w:tcPr>
          <w:p w14:paraId="4A44E99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28EC87F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30</w:t>
            </w:r>
          </w:p>
        </w:tc>
      </w:tr>
      <w:tr w14:paraId="7C37FE8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396B157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83</w:t>
            </w:r>
          </w:p>
        </w:tc>
        <w:tc>
          <w:tcPr>
            <w:tcW w:w="507" w:type="pct"/>
            <w:vMerge w:val="continue"/>
            <w:vAlign w:val="center"/>
          </w:tcPr>
          <w:p w14:paraId="751EB00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1D9B981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大港区工农村工业园</w:t>
            </w:r>
          </w:p>
        </w:tc>
        <w:tc>
          <w:tcPr>
            <w:tcW w:w="468" w:type="pct"/>
            <w:vAlign w:val="center"/>
          </w:tcPr>
          <w:p w14:paraId="39F5F0D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西南</w:t>
            </w:r>
          </w:p>
        </w:tc>
        <w:tc>
          <w:tcPr>
            <w:tcW w:w="535" w:type="pct"/>
            <w:vAlign w:val="center"/>
          </w:tcPr>
          <w:p w14:paraId="0685871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4817</w:t>
            </w:r>
          </w:p>
        </w:tc>
        <w:tc>
          <w:tcPr>
            <w:tcW w:w="627" w:type="pct"/>
            <w:vAlign w:val="center"/>
          </w:tcPr>
          <w:p w14:paraId="2239AF3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6CB6BAA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1000</w:t>
            </w:r>
          </w:p>
        </w:tc>
      </w:tr>
      <w:tr w14:paraId="728FCB6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7ABB744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84</w:t>
            </w:r>
          </w:p>
        </w:tc>
        <w:tc>
          <w:tcPr>
            <w:tcW w:w="507" w:type="pct"/>
            <w:vMerge w:val="continue"/>
            <w:vAlign w:val="center"/>
          </w:tcPr>
          <w:p w14:paraId="3445D81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30B5963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天津海纳龙化工有限公司</w:t>
            </w:r>
          </w:p>
        </w:tc>
        <w:tc>
          <w:tcPr>
            <w:tcW w:w="468" w:type="pct"/>
            <w:vAlign w:val="center"/>
          </w:tcPr>
          <w:p w14:paraId="4089AA2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w:t>
            </w:r>
          </w:p>
        </w:tc>
        <w:tc>
          <w:tcPr>
            <w:tcW w:w="535" w:type="pct"/>
            <w:vAlign w:val="center"/>
          </w:tcPr>
          <w:p w14:paraId="5AB2B6F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4854</w:t>
            </w:r>
          </w:p>
        </w:tc>
        <w:tc>
          <w:tcPr>
            <w:tcW w:w="627" w:type="pct"/>
            <w:vAlign w:val="center"/>
          </w:tcPr>
          <w:p w14:paraId="7A14129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7D18319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100</w:t>
            </w:r>
          </w:p>
        </w:tc>
      </w:tr>
      <w:tr w14:paraId="6AE3F85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3724BC8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85</w:t>
            </w:r>
          </w:p>
        </w:tc>
        <w:tc>
          <w:tcPr>
            <w:tcW w:w="507" w:type="pct"/>
            <w:vMerge w:val="continue"/>
            <w:vAlign w:val="center"/>
          </w:tcPr>
          <w:p w14:paraId="0CFA6BA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106B66A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天津嘉泰伟业化工有限公司</w:t>
            </w:r>
          </w:p>
        </w:tc>
        <w:tc>
          <w:tcPr>
            <w:tcW w:w="468" w:type="pct"/>
            <w:vAlign w:val="center"/>
          </w:tcPr>
          <w:p w14:paraId="708AFF7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w:t>
            </w:r>
          </w:p>
        </w:tc>
        <w:tc>
          <w:tcPr>
            <w:tcW w:w="535" w:type="pct"/>
            <w:vAlign w:val="center"/>
          </w:tcPr>
          <w:p w14:paraId="2C5CE52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4716</w:t>
            </w:r>
          </w:p>
        </w:tc>
        <w:tc>
          <w:tcPr>
            <w:tcW w:w="627" w:type="pct"/>
            <w:vAlign w:val="center"/>
          </w:tcPr>
          <w:p w14:paraId="069B7D9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71E8395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300</w:t>
            </w:r>
          </w:p>
        </w:tc>
      </w:tr>
      <w:tr w14:paraId="4485C80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48B34FC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86</w:t>
            </w:r>
          </w:p>
        </w:tc>
        <w:tc>
          <w:tcPr>
            <w:tcW w:w="507" w:type="pct"/>
            <w:vMerge w:val="continue"/>
            <w:vAlign w:val="center"/>
          </w:tcPr>
          <w:p w14:paraId="5438D76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49F7AAA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天津市昊航安装工程有限公司</w:t>
            </w:r>
          </w:p>
        </w:tc>
        <w:tc>
          <w:tcPr>
            <w:tcW w:w="468" w:type="pct"/>
            <w:vAlign w:val="center"/>
          </w:tcPr>
          <w:p w14:paraId="0B7AC18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w:t>
            </w:r>
          </w:p>
        </w:tc>
        <w:tc>
          <w:tcPr>
            <w:tcW w:w="535" w:type="pct"/>
            <w:vAlign w:val="center"/>
          </w:tcPr>
          <w:p w14:paraId="6C6635D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4896</w:t>
            </w:r>
          </w:p>
        </w:tc>
        <w:tc>
          <w:tcPr>
            <w:tcW w:w="627" w:type="pct"/>
            <w:vAlign w:val="center"/>
          </w:tcPr>
          <w:p w14:paraId="5B313FE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3168727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32</w:t>
            </w:r>
          </w:p>
        </w:tc>
      </w:tr>
      <w:tr w14:paraId="31394524">
        <w:tblPrEx>
          <w:tblCellMar>
            <w:top w:w="0" w:type="dxa"/>
            <w:left w:w="108" w:type="dxa"/>
            <w:bottom w:w="0" w:type="dxa"/>
            <w:right w:w="108" w:type="dxa"/>
          </w:tblCellMar>
        </w:tblPrEx>
        <w:trPr>
          <w:trHeight w:val="420" w:hRule="atLeast"/>
        </w:trPr>
        <w:tc>
          <w:tcPr>
            <w:tcW w:w="293" w:type="pct"/>
            <w:noWrap/>
            <w:vAlign w:val="center"/>
          </w:tcPr>
          <w:p w14:paraId="034E554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87</w:t>
            </w:r>
          </w:p>
        </w:tc>
        <w:tc>
          <w:tcPr>
            <w:tcW w:w="507" w:type="pct"/>
            <w:vMerge w:val="continue"/>
            <w:vAlign w:val="center"/>
          </w:tcPr>
          <w:p w14:paraId="47751D5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695247F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天津一泓新能源科技有限公司</w:t>
            </w:r>
          </w:p>
        </w:tc>
        <w:tc>
          <w:tcPr>
            <w:tcW w:w="468" w:type="pct"/>
            <w:vAlign w:val="center"/>
          </w:tcPr>
          <w:p w14:paraId="0468278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w:t>
            </w:r>
          </w:p>
        </w:tc>
        <w:tc>
          <w:tcPr>
            <w:tcW w:w="535" w:type="pct"/>
            <w:vAlign w:val="center"/>
          </w:tcPr>
          <w:p w14:paraId="2E87D55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4742</w:t>
            </w:r>
          </w:p>
        </w:tc>
        <w:tc>
          <w:tcPr>
            <w:tcW w:w="627" w:type="pct"/>
            <w:vAlign w:val="center"/>
          </w:tcPr>
          <w:p w14:paraId="320BD64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6B2F717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60</w:t>
            </w:r>
          </w:p>
        </w:tc>
      </w:tr>
      <w:tr w14:paraId="44DCDF4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5F9C61D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88</w:t>
            </w:r>
          </w:p>
        </w:tc>
        <w:tc>
          <w:tcPr>
            <w:tcW w:w="507" w:type="pct"/>
            <w:vMerge w:val="continue"/>
            <w:vAlign w:val="center"/>
          </w:tcPr>
          <w:p w14:paraId="3954047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3552EEB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兴达彩钢</w:t>
            </w:r>
          </w:p>
        </w:tc>
        <w:tc>
          <w:tcPr>
            <w:tcW w:w="468" w:type="pct"/>
            <w:vAlign w:val="center"/>
          </w:tcPr>
          <w:p w14:paraId="372D0B3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w:t>
            </w:r>
          </w:p>
        </w:tc>
        <w:tc>
          <w:tcPr>
            <w:tcW w:w="535" w:type="pct"/>
            <w:vAlign w:val="center"/>
          </w:tcPr>
          <w:p w14:paraId="0E8E671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4290</w:t>
            </w:r>
          </w:p>
        </w:tc>
        <w:tc>
          <w:tcPr>
            <w:tcW w:w="627" w:type="pct"/>
            <w:vAlign w:val="center"/>
          </w:tcPr>
          <w:p w14:paraId="2D02D24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31AC2A3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10</w:t>
            </w:r>
          </w:p>
        </w:tc>
      </w:tr>
      <w:tr w14:paraId="5B8880E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2C2E38F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89</w:t>
            </w:r>
          </w:p>
        </w:tc>
        <w:tc>
          <w:tcPr>
            <w:tcW w:w="507" w:type="pct"/>
            <w:vMerge w:val="continue"/>
            <w:vAlign w:val="center"/>
          </w:tcPr>
          <w:p w14:paraId="1B0197A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37211BB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天津海虹中意商贸有限公司</w:t>
            </w:r>
          </w:p>
        </w:tc>
        <w:tc>
          <w:tcPr>
            <w:tcW w:w="468" w:type="pct"/>
            <w:vAlign w:val="center"/>
          </w:tcPr>
          <w:p w14:paraId="3F25497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w:t>
            </w:r>
          </w:p>
        </w:tc>
        <w:tc>
          <w:tcPr>
            <w:tcW w:w="535" w:type="pct"/>
            <w:vAlign w:val="center"/>
          </w:tcPr>
          <w:p w14:paraId="3362960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4267</w:t>
            </w:r>
          </w:p>
        </w:tc>
        <w:tc>
          <w:tcPr>
            <w:tcW w:w="627" w:type="pct"/>
            <w:vAlign w:val="center"/>
          </w:tcPr>
          <w:p w14:paraId="78A8365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7D56643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20</w:t>
            </w:r>
          </w:p>
        </w:tc>
      </w:tr>
      <w:tr w14:paraId="748D253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5F0AE90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90</w:t>
            </w:r>
          </w:p>
        </w:tc>
        <w:tc>
          <w:tcPr>
            <w:tcW w:w="507" w:type="pct"/>
            <w:vMerge w:val="continue"/>
            <w:vAlign w:val="center"/>
          </w:tcPr>
          <w:p w14:paraId="572548A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1C8F655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中铁十八局集团</w:t>
            </w:r>
          </w:p>
        </w:tc>
        <w:tc>
          <w:tcPr>
            <w:tcW w:w="468" w:type="pct"/>
            <w:vAlign w:val="center"/>
          </w:tcPr>
          <w:p w14:paraId="69F6E84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w:t>
            </w:r>
          </w:p>
        </w:tc>
        <w:tc>
          <w:tcPr>
            <w:tcW w:w="535" w:type="pct"/>
            <w:vAlign w:val="center"/>
          </w:tcPr>
          <w:p w14:paraId="4F34A15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4824</w:t>
            </w:r>
          </w:p>
        </w:tc>
        <w:tc>
          <w:tcPr>
            <w:tcW w:w="627" w:type="pct"/>
            <w:vAlign w:val="center"/>
          </w:tcPr>
          <w:p w14:paraId="1FAE5CB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67EBECB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700</w:t>
            </w:r>
          </w:p>
        </w:tc>
      </w:tr>
      <w:tr w14:paraId="7435279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3B74758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91</w:t>
            </w:r>
          </w:p>
        </w:tc>
        <w:tc>
          <w:tcPr>
            <w:tcW w:w="507" w:type="pct"/>
            <w:vMerge w:val="continue"/>
            <w:vAlign w:val="center"/>
          </w:tcPr>
          <w:p w14:paraId="422C2B2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7248EEE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金泰物流中心</w:t>
            </w:r>
          </w:p>
        </w:tc>
        <w:tc>
          <w:tcPr>
            <w:tcW w:w="468" w:type="pct"/>
            <w:vAlign w:val="center"/>
          </w:tcPr>
          <w:p w14:paraId="267F60F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w:t>
            </w:r>
          </w:p>
        </w:tc>
        <w:tc>
          <w:tcPr>
            <w:tcW w:w="535" w:type="pct"/>
            <w:vAlign w:val="center"/>
          </w:tcPr>
          <w:p w14:paraId="3310227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4198</w:t>
            </w:r>
          </w:p>
        </w:tc>
        <w:tc>
          <w:tcPr>
            <w:tcW w:w="627" w:type="pct"/>
            <w:vAlign w:val="center"/>
          </w:tcPr>
          <w:p w14:paraId="65455D1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7F90250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200</w:t>
            </w:r>
          </w:p>
        </w:tc>
      </w:tr>
      <w:tr w14:paraId="0413CDF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2D30356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92</w:t>
            </w:r>
          </w:p>
        </w:tc>
        <w:tc>
          <w:tcPr>
            <w:tcW w:w="507" w:type="pct"/>
            <w:vMerge w:val="continue"/>
            <w:vAlign w:val="center"/>
          </w:tcPr>
          <w:p w14:paraId="7D260F9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19CA48F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天津市顺通港货运输有限公司</w:t>
            </w:r>
          </w:p>
        </w:tc>
        <w:tc>
          <w:tcPr>
            <w:tcW w:w="468" w:type="pct"/>
            <w:vAlign w:val="center"/>
          </w:tcPr>
          <w:p w14:paraId="2ED18A7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w:t>
            </w:r>
          </w:p>
        </w:tc>
        <w:tc>
          <w:tcPr>
            <w:tcW w:w="535" w:type="pct"/>
            <w:vAlign w:val="center"/>
          </w:tcPr>
          <w:p w14:paraId="5033EF3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3516</w:t>
            </w:r>
          </w:p>
        </w:tc>
        <w:tc>
          <w:tcPr>
            <w:tcW w:w="627" w:type="pct"/>
            <w:vAlign w:val="center"/>
          </w:tcPr>
          <w:p w14:paraId="2E29363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6979B17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70</w:t>
            </w:r>
          </w:p>
        </w:tc>
      </w:tr>
      <w:tr w14:paraId="1D24796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1F48CBF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93</w:t>
            </w:r>
          </w:p>
        </w:tc>
        <w:tc>
          <w:tcPr>
            <w:tcW w:w="507" w:type="pct"/>
            <w:vMerge w:val="continue"/>
            <w:vAlign w:val="center"/>
          </w:tcPr>
          <w:p w14:paraId="04F1C9F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0696AD4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大港顺发工贸有限公司</w:t>
            </w:r>
          </w:p>
        </w:tc>
        <w:tc>
          <w:tcPr>
            <w:tcW w:w="468" w:type="pct"/>
            <w:vAlign w:val="center"/>
          </w:tcPr>
          <w:p w14:paraId="03D02D6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w:t>
            </w:r>
          </w:p>
        </w:tc>
        <w:tc>
          <w:tcPr>
            <w:tcW w:w="535" w:type="pct"/>
            <w:vAlign w:val="center"/>
          </w:tcPr>
          <w:p w14:paraId="7512EF6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4414</w:t>
            </w:r>
          </w:p>
        </w:tc>
        <w:tc>
          <w:tcPr>
            <w:tcW w:w="627" w:type="pct"/>
            <w:vAlign w:val="center"/>
          </w:tcPr>
          <w:p w14:paraId="0D14848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2C0374E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30</w:t>
            </w:r>
          </w:p>
        </w:tc>
      </w:tr>
      <w:tr w14:paraId="349D634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0FE6A4E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94</w:t>
            </w:r>
          </w:p>
        </w:tc>
        <w:tc>
          <w:tcPr>
            <w:tcW w:w="507" w:type="pct"/>
            <w:vMerge w:val="continue"/>
            <w:vAlign w:val="center"/>
          </w:tcPr>
          <w:p w14:paraId="17C6560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2D04C33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润达塑料</w:t>
            </w:r>
          </w:p>
        </w:tc>
        <w:tc>
          <w:tcPr>
            <w:tcW w:w="468" w:type="pct"/>
            <w:vAlign w:val="center"/>
          </w:tcPr>
          <w:p w14:paraId="22DD612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w:t>
            </w:r>
          </w:p>
        </w:tc>
        <w:tc>
          <w:tcPr>
            <w:tcW w:w="535" w:type="pct"/>
            <w:vAlign w:val="center"/>
          </w:tcPr>
          <w:p w14:paraId="6EE7576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4258</w:t>
            </w:r>
          </w:p>
        </w:tc>
        <w:tc>
          <w:tcPr>
            <w:tcW w:w="627" w:type="pct"/>
            <w:vAlign w:val="center"/>
          </w:tcPr>
          <w:p w14:paraId="0332A21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1B4E143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30</w:t>
            </w:r>
          </w:p>
        </w:tc>
      </w:tr>
      <w:tr w14:paraId="7FEB72F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33E4798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95</w:t>
            </w:r>
          </w:p>
        </w:tc>
        <w:tc>
          <w:tcPr>
            <w:tcW w:w="507" w:type="pct"/>
            <w:vMerge w:val="continue"/>
            <w:vAlign w:val="center"/>
          </w:tcPr>
          <w:p w14:paraId="30EECF7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4D15DDF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天津煜德隆铝业制造有限公司</w:t>
            </w:r>
          </w:p>
        </w:tc>
        <w:tc>
          <w:tcPr>
            <w:tcW w:w="468" w:type="pct"/>
            <w:vAlign w:val="center"/>
          </w:tcPr>
          <w:p w14:paraId="0A4B648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w:t>
            </w:r>
          </w:p>
        </w:tc>
        <w:tc>
          <w:tcPr>
            <w:tcW w:w="535" w:type="pct"/>
            <w:vAlign w:val="center"/>
          </w:tcPr>
          <w:p w14:paraId="1E7E78D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3414</w:t>
            </w:r>
          </w:p>
        </w:tc>
        <w:tc>
          <w:tcPr>
            <w:tcW w:w="627" w:type="pct"/>
            <w:vAlign w:val="center"/>
          </w:tcPr>
          <w:p w14:paraId="132E0AE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6619028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25</w:t>
            </w:r>
          </w:p>
        </w:tc>
      </w:tr>
      <w:tr w14:paraId="3A7FB06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060D6BA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96</w:t>
            </w:r>
          </w:p>
        </w:tc>
        <w:tc>
          <w:tcPr>
            <w:tcW w:w="507" w:type="pct"/>
            <w:vMerge w:val="continue"/>
            <w:vAlign w:val="center"/>
          </w:tcPr>
          <w:p w14:paraId="5E4564F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2C6B09A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通晟达物流有限公司</w:t>
            </w:r>
          </w:p>
        </w:tc>
        <w:tc>
          <w:tcPr>
            <w:tcW w:w="468" w:type="pct"/>
            <w:vAlign w:val="center"/>
          </w:tcPr>
          <w:p w14:paraId="673CA7B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w:t>
            </w:r>
          </w:p>
        </w:tc>
        <w:tc>
          <w:tcPr>
            <w:tcW w:w="535" w:type="pct"/>
            <w:vAlign w:val="center"/>
          </w:tcPr>
          <w:p w14:paraId="7F2425D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3116</w:t>
            </w:r>
          </w:p>
        </w:tc>
        <w:tc>
          <w:tcPr>
            <w:tcW w:w="627" w:type="pct"/>
            <w:vAlign w:val="center"/>
          </w:tcPr>
          <w:p w14:paraId="53A33D8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4378087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50</w:t>
            </w:r>
          </w:p>
        </w:tc>
      </w:tr>
      <w:tr w14:paraId="3E30729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2F2A469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97</w:t>
            </w:r>
          </w:p>
        </w:tc>
        <w:tc>
          <w:tcPr>
            <w:tcW w:w="507" w:type="pct"/>
            <w:vMerge w:val="continue"/>
            <w:vAlign w:val="center"/>
          </w:tcPr>
          <w:p w14:paraId="7FBEB49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1EA3F68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宝鼎散热器有限公司</w:t>
            </w:r>
          </w:p>
        </w:tc>
        <w:tc>
          <w:tcPr>
            <w:tcW w:w="468" w:type="pct"/>
            <w:vAlign w:val="center"/>
          </w:tcPr>
          <w:p w14:paraId="709978E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w:t>
            </w:r>
          </w:p>
        </w:tc>
        <w:tc>
          <w:tcPr>
            <w:tcW w:w="535" w:type="pct"/>
            <w:vAlign w:val="center"/>
          </w:tcPr>
          <w:p w14:paraId="6D3F0F1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3655</w:t>
            </w:r>
          </w:p>
        </w:tc>
        <w:tc>
          <w:tcPr>
            <w:tcW w:w="627" w:type="pct"/>
            <w:vAlign w:val="center"/>
          </w:tcPr>
          <w:p w14:paraId="5E9B23E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5A96DEC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20</w:t>
            </w:r>
          </w:p>
        </w:tc>
      </w:tr>
      <w:tr w14:paraId="031426D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5D4D865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98</w:t>
            </w:r>
          </w:p>
        </w:tc>
        <w:tc>
          <w:tcPr>
            <w:tcW w:w="507" w:type="pct"/>
            <w:vMerge w:val="continue"/>
            <w:vAlign w:val="center"/>
          </w:tcPr>
          <w:p w14:paraId="46EA5D7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551D6CE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天津科林车业有限公司</w:t>
            </w:r>
          </w:p>
        </w:tc>
        <w:tc>
          <w:tcPr>
            <w:tcW w:w="468" w:type="pct"/>
            <w:vAlign w:val="center"/>
          </w:tcPr>
          <w:p w14:paraId="022FDEC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w:t>
            </w:r>
          </w:p>
        </w:tc>
        <w:tc>
          <w:tcPr>
            <w:tcW w:w="535" w:type="pct"/>
            <w:vAlign w:val="center"/>
          </w:tcPr>
          <w:p w14:paraId="630864C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3935</w:t>
            </w:r>
          </w:p>
        </w:tc>
        <w:tc>
          <w:tcPr>
            <w:tcW w:w="627" w:type="pct"/>
            <w:vAlign w:val="center"/>
          </w:tcPr>
          <w:p w14:paraId="08CD480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005FCAD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15</w:t>
            </w:r>
          </w:p>
        </w:tc>
      </w:tr>
      <w:tr w14:paraId="6C650EC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771FF6D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99</w:t>
            </w:r>
          </w:p>
        </w:tc>
        <w:tc>
          <w:tcPr>
            <w:tcW w:w="507" w:type="pct"/>
            <w:vMerge w:val="continue"/>
            <w:vAlign w:val="center"/>
          </w:tcPr>
          <w:p w14:paraId="007C3C7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0B3A43D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天津市石化管件有限公司</w:t>
            </w:r>
          </w:p>
        </w:tc>
        <w:tc>
          <w:tcPr>
            <w:tcW w:w="468" w:type="pct"/>
            <w:vAlign w:val="center"/>
          </w:tcPr>
          <w:p w14:paraId="410AF82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w:t>
            </w:r>
          </w:p>
        </w:tc>
        <w:tc>
          <w:tcPr>
            <w:tcW w:w="535" w:type="pct"/>
            <w:vAlign w:val="center"/>
          </w:tcPr>
          <w:p w14:paraId="51C3481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4015</w:t>
            </w:r>
          </w:p>
        </w:tc>
        <w:tc>
          <w:tcPr>
            <w:tcW w:w="627" w:type="pct"/>
            <w:vAlign w:val="center"/>
          </w:tcPr>
          <w:p w14:paraId="3CF7A9C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372FA77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150</w:t>
            </w:r>
          </w:p>
        </w:tc>
      </w:tr>
      <w:tr w14:paraId="1A587C8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6161842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100</w:t>
            </w:r>
          </w:p>
        </w:tc>
        <w:tc>
          <w:tcPr>
            <w:tcW w:w="507" w:type="pct"/>
            <w:vMerge w:val="continue"/>
            <w:vAlign w:val="center"/>
          </w:tcPr>
          <w:p w14:paraId="398CF54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1DE1E17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天津鹏坤化工有限公司</w:t>
            </w:r>
          </w:p>
        </w:tc>
        <w:tc>
          <w:tcPr>
            <w:tcW w:w="468" w:type="pct"/>
            <w:vAlign w:val="center"/>
          </w:tcPr>
          <w:p w14:paraId="169F0F2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w:t>
            </w:r>
          </w:p>
        </w:tc>
        <w:tc>
          <w:tcPr>
            <w:tcW w:w="535" w:type="pct"/>
            <w:vAlign w:val="center"/>
          </w:tcPr>
          <w:p w14:paraId="1A4E60E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4448</w:t>
            </w:r>
          </w:p>
        </w:tc>
        <w:tc>
          <w:tcPr>
            <w:tcW w:w="627" w:type="pct"/>
            <w:vAlign w:val="center"/>
          </w:tcPr>
          <w:p w14:paraId="7A3B79E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3D77167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30</w:t>
            </w:r>
          </w:p>
        </w:tc>
      </w:tr>
      <w:tr w14:paraId="17EA71E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25B2CA1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101</w:t>
            </w:r>
          </w:p>
        </w:tc>
        <w:tc>
          <w:tcPr>
            <w:tcW w:w="507" w:type="pct"/>
            <w:vMerge w:val="continue"/>
            <w:vAlign w:val="center"/>
          </w:tcPr>
          <w:p w14:paraId="79C14DF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40F57FA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云水物流中心</w:t>
            </w:r>
          </w:p>
        </w:tc>
        <w:tc>
          <w:tcPr>
            <w:tcW w:w="468" w:type="pct"/>
            <w:vAlign w:val="center"/>
          </w:tcPr>
          <w:p w14:paraId="3AE63D9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w:t>
            </w:r>
          </w:p>
        </w:tc>
        <w:tc>
          <w:tcPr>
            <w:tcW w:w="535" w:type="pct"/>
            <w:vAlign w:val="center"/>
          </w:tcPr>
          <w:p w14:paraId="286AC28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4490</w:t>
            </w:r>
          </w:p>
        </w:tc>
        <w:tc>
          <w:tcPr>
            <w:tcW w:w="627" w:type="pct"/>
            <w:vAlign w:val="center"/>
          </w:tcPr>
          <w:p w14:paraId="01156D5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31580DF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60</w:t>
            </w:r>
          </w:p>
        </w:tc>
      </w:tr>
      <w:tr w14:paraId="0268AD3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45D1E19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102</w:t>
            </w:r>
          </w:p>
        </w:tc>
        <w:tc>
          <w:tcPr>
            <w:tcW w:w="507" w:type="pct"/>
            <w:vMerge w:val="continue"/>
            <w:vAlign w:val="center"/>
          </w:tcPr>
          <w:p w14:paraId="4133AFB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4C1E94C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天津荣灿物流有限公司</w:t>
            </w:r>
          </w:p>
        </w:tc>
        <w:tc>
          <w:tcPr>
            <w:tcW w:w="468" w:type="pct"/>
            <w:vAlign w:val="center"/>
          </w:tcPr>
          <w:p w14:paraId="112EA21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w:t>
            </w:r>
          </w:p>
        </w:tc>
        <w:tc>
          <w:tcPr>
            <w:tcW w:w="535" w:type="pct"/>
            <w:vAlign w:val="center"/>
          </w:tcPr>
          <w:p w14:paraId="4F88598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3677</w:t>
            </w:r>
          </w:p>
        </w:tc>
        <w:tc>
          <w:tcPr>
            <w:tcW w:w="627" w:type="pct"/>
            <w:vAlign w:val="center"/>
          </w:tcPr>
          <w:p w14:paraId="74EFACB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39656F4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10</w:t>
            </w:r>
          </w:p>
        </w:tc>
      </w:tr>
      <w:tr w14:paraId="0443938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5E485F6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103</w:t>
            </w:r>
          </w:p>
        </w:tc>
        <w:tc>
          <w:tcPr>
            <w:tcW w:w="507" w:type="pct"/>
            <w:vMerge w:val="continue"/>
            <w:vAlign w:val="center"/>
          </w:tcPr>
          <w:p w14:paraId="50008C0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76D0F36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天津市乐买电子商务有限公司</w:t>
            </w:r>
          </w:p>
        </w:tc>
        <w:tc>
          <w:tcPr>
            <w:tcW w:w="468" w:type="pct"/>
            <w:vAlign w:val="center"/>
          </w:tcPr>
          <w:p w14:paraId="17AB79E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w:t>
            </w:r>
          </w:p>
        </w:tc>
        <w:tc>
          <w:tcPr>
            <w:tcW w:w="535" w:type="pct"/>
            <w:vAlign w:val="center"/>
          </w:tcPr>
          <w:p w14:paraId="4580779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3554</w:t>
            </w:r>
          </w:p>
        </w:tc>
        <w:tc>
          <w:tcPr>
            <w:tcW w:w="627" w:type="pct"/>
            <w:vAlign w:val="center"/>
          </w:tcPr>
          <w:p w14:paraId="3E15DA5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55CC6DA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30</w:t>
            </w:r>
          </w:p>
        </w:tc>
      </w:tr>
      <w:tr w14:paraId="6622EA7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3ACB84B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104</w:t>
            </w:r>
          </w:p>
        </w:tc>
        <w:tc>
          <w:tcPr>
            <w:tcW w:w="507" w:type="pct"/>
            <w:vMerge w:val="continue"/>
            <w:vAlign w:val="center"/>
          </w:tcPr>
          <w:p w14:paraId="4883A32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70A89D2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天津市小吉林建设工程有限公司</w:t>
            </w:r>
          </w:p>
        </w:tc>
        <w:tc>
          <w:tcPr>
            <w:tcW w:w="468" w:type="pct"/>
            <w:vAlign w:val="center"/>
          </w:tcPr>
          <w:p w14:paraId="127409C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w:t>
            </w:r>
          </w:p>
        </w:tc>
        <w:tc>
          <w:tcPr>
            <w:tcW w:w="535" w:type="pct"/>
            <w:vAlign w:val="center"/>
          </w:tcPr>
          <w:p w14:paraId="38F72F4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2962</w:t>
            </w:r>
          </w:p>
        </w:tc>
        <w:tc>
          <w:tcPr>
            <w:tcW w:w="627" w:type="pct"/>
            <w:vAlign w:val="center"/>
          </w:tcPr>
          <w:p w14:paraId="08732EF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7ABA9AB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42</w:t>
            </w:r>
          </w:p>
        </w:tc>
      </w:tr>
      <w:tr w14:paraId="39C0B53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015BEE7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105</w:t>
            </w:r>
          </w:p>
        </w:tc>
        <w:tc>
          <w:tcPr>
            <w:tcW w:w="507" w:type="pct"/>
            <w:vMerge w:val="continue"/>
            <w:vAlign w:val="center"/>
          </w:tcPr>
          <w:p w14:paraId="27E75C7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385A515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天津渤海鸿达运输有限公司</w:t>
            </w:r>
          </w:p>
        </w:tc>
        <w:tc>
          <w:tcPr>
            <w:tcW w:w="468" w:type="pct"/>
            <w:vAlign w:val="center"/>
          </w:tcPr>
          <w:p w14:paraId="5481C54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w:t>
            </w:r>
          </w:p>
        </w:tc>
        <w:tc>
          <w:tcPr>
            <w:tcW w:w="535" w:type="pct"/>
            <w:vAlign w:val="center"/>
          </w:tcPr>
          <w:p w14:paraId="7664F77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2295</w:t>
            </w:r>
          </w:p>
        </w:tc>
        <w:tc>
          <w:tcPr>
            <w:tcW w:w="627" w:type="pct"/>
            <w:vAlign w:val="center"/>
          </w:tcPr>
          <w:p w14:paraId="6B45D4E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4FCCA77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55</w:t>
            </w:r>
          </w:p>
        </w:tc>
      </w:tr>
      <w:tr w14:paraId="264E751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0A51FA0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106</w:t>
            </w:r>
          </w:p>
        </w:tc>
        <w:tc>
          <w:tcPr>
            <w:tcW w:w="507" w:type="pct"/>
            <w:vMerge w:val="restart"/>
            <w:noWrap/>
            <w:vAlign w:val="center"/>
          </w:tcPr>
          <w:p w14:paraId="29669B2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区域六（南环路-海景大道-世纪大道-范围边界）</w:t>
            </w:r>
          </w:p>
        </w:tc>
        <w:tc>
          <w:tcPr>
            <w:tcW w:w="2071" w:type="pct"/>
            <w:vAlign w:val="center"/>
          </w:tcPr>
          <w:p w14:paraId="36142E4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天津市大港区津港车料制品厂</w:t>
            </w:r>
          </w:p>
        </w:tc>
        <w:tc>
          <w:tcPr>
            <w:tcW w:w="468" w:type="pct"/>
            <w:vAlign w:val="center"/>
          </w:tcPr>
          <w:p w14:paraId="39971A3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w:t>
            </w:r>
          </w:p>
        </w:tc>
        <w:tc>
          <w:tcPr>
            <w:tcW w:w="535" w:type="pct"/>
            <w:vAlign w:val="center"/>
          </w:tcPr>
          <w:p w14:paraId="6A51E90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4723</w:t>
            </w:r>
          </w:p>
        </w:tc>
        <w:tc>
          <w:tcPr>
            <w:tcW w:w="627" w:type="pct"/>
            <w:vAlign w:val="center"/>
          </w:tcPr>
          <w:p w14:paraId="6178067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01836E5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34</w:t>
            </w:r>
          </w:p>
        </w:tc>
      </w:tr>
      <w:tr w14:paraId="3E57DEA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4D3FCF3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107</w:t>
            </w:r>
          </w:p>
        </w:tc>
        <w:tc>
          <w:tcPr>
            <w:tcW w:w="507" w:type="pct"/>
            <w:vMerge w:val="continue"/>
            <w:vAlign w:val="center"/>
          </w:tcPr>
          <w:p w14:paraId="34BD659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2E4C9F0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民进务实幼教底漆幼儿园</w:t>
            </w:r>
          </w:p>
        </w:tc>
        <w:tc>
          <w:tcPr>
            <w:tcW w:w="468" w:type="pct"/>
            <w:vAlign w:val="center"/>
          </w:tcPr>
          <w:p w14:paraId="5DEF0F1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w:t>
            </w:r>
          </w:p>
        </w:tc>
        <w:tc>
          <w:tcPr>
            <w:tcW w:w="535" w:type="pct"/>
            <w:vAlign w:val="center"/>
          </w:tcPr>
          <w:p w14:paraId="0DDBF2B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4986</w:t>
            </w:r>
          </w:p>
        </w:tc>
        <w:tc>
          <w:tcPr>
            <w:tcW w:w="627" w:type="pct"/>
            <w:vAlign w:val="center"/>
          </w:tcPr>
          <w:p w14:paraId="08110C3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学校</w:t>
            </w:r>
          </w:p>
        </w:tc>
        <w:tc>
          <w:tcPr>
            <w:tcW w:w="495" w:type="pct"/>
            <w:noWrap/>
            <w:vAlign w:val="center"/>
          </w:tcPr>
          <w:p w14:paraId="29C2DC1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200</w:t>
            </w:r>
          </w:p>
        </w:tc>
      </w:tr>
      <w:tr w14:paraId="7030AB6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39090BF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108</w:t>
            </w:r>
          </w:p>
        </w:tc>
        <w:tc>
          <w:tcPr>
            <w:tcW w:w="507" w:type="pct"/>
            <w:vMerge w:val="continue"/>
            <w:vAlign w:val="center"/>
          </w:tcPr>
          <w:p w14:paraId="735ED11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70D2F7B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港东金融湾</w:t>
            </w:r>
          </w:p>
        </w:tc>
        <w:tc>
          <w:tcPr>
            <w:tcW w:w="468" w:type="pct"/>
            <w:vAlign w:val="center"/>
          </w:tcPr>
          <w:p w14:paraId="0CEE3B5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w:t>
            </w:r>
          </w:p>
        </w:tc>
        <w:tc>
          <w:tcPr>
            <w:tcW w:w="535" w:type="pct"/>
            <w:vAlign w:val="center"/>
          </w:tcPr>
          <w:p w14:paraId="05D7385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4508</w:t>
            </w:r>
          </w:p>
        </w:tc>
        <w:tc>
          <w:tcPr>
            <w:tcW w:w="627" w:type="pct"/>
            <w:vAlign w:val="center"/>
          </w:tcPr>
          <w:p w14:paraId="0889E48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居民区</w:t>
            </w:r>
          </w:p>
        </w:tc>
        <w:tc>
          <w:tcPr>
            <w:tcW w:w="495" w:type="pct"/>
            <w:noWrap/>
            <w:vAlign w:val="center"/>
          </w:tcPr>
          <w:p w14:paraId="564C87E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5000</w:t>
            </w:r>
          </w:p>
        </w:tc>
      </w:tr>
      <w:tr w14:paraId="0B91114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556A904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109</w:t>
            </w:r>
          </w:p>
        </w:tc>
        <w:tc>
          <w:tcPr>
            <w:tcW w:w="507" w:type="pct"/>
            <w:vMerge w:val="continue"/>
            <w:vAlign w:val="center"/>
          </w:tcPr>
          <w:p w14:paraId="3EF0A61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12B8D5C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香海园</w:t>
            </w:r>
          </w:p>
        </w:tc>
        <w:tc>
          <w:tcPr>
            <w:tcW w:w="468" w:type="pct"/>
            <w:vAlign w:val="center"/>
          </w:tcPr>
          <w:p w14:paraId="2657EC2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w:t>
            </w:r>
          </w:p>
        </w:tc>
        <w:tc>
          <w:tcPr>
            <w:tcW w:w="535" w:type="pct"/>
            <w:vAlign w:val="center"/>
          </w:tcPr>
          <w:p w14:paraId="0126811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3529</w:t>
            </w:r>
          </w:p>
        </w:tc>
        <w:tc>
          <w:tcPr>
            <w:tcW w:w="627" w:type="pct"/>
            <w:vAlign w:val="center"/>
          </w:tcPr>
          <w:p w14:paraId="4C26DD5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居民区</w:t>
            </w:r>
          </w:p>
        </w:tc>
        <w:tc>
          <w:tcPr>
            <w:tcW w:w="495" w:type="pct"/>
            <w:noWrap/>
            <w:vAlign w:val="center"/>
          </w:tcPr>
          <w:p w14:paraId="367A2B6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3000</w:t>
            </w:r>
          </w:p>
        </w:tc>
      </w:tr>
      <w:tr w14:paraId="5E637FF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184E152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110</w:t>
            </w:r>
          </w:p>
        </w:tc>
        <w:tc>
          <w:tcPr>
            <w:tcW w:w="507" w:type="pct"/>
            <w:vMerge w:val="continue"/>
            <w:vAlign w:val="center"/>
          </w:tcPr>
          <w:p w14:paraId="1BCDE45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6F0EDA5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星河荣御</w:t>
            </w:r>
          </w:p>
        </w:tc>
        <w:tc>
          <w:tcPr>
            <w:tcW w:w="468" w:type="pct"/>
            <w:vAlign w:val="center"/>
          </w:tcPr>
          <w:p w14:paraId="4AA7E30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w:t>
            </w:r>
          </w:p>
        </w:tc>
        <w:tc>
          <w:tcPr>
            <w:tcW w:w="535" w:type="pct"/>
            <w:vAlign w:val="center"/>
          </w:tcPr>
          <w:p w14:paraId="5C40E5A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3707</w:t>
            </w:r>
          </w:p>
        </w:tc>
        <w:tc>
          <w:tcPr>
            <w:tcW w:w="627" w:type="pct"/>
            <w:vAlign w:val="center"/>
          </w:tcPr>
          <w:p w14:paraId="1A4D85F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居民区</w:t>
            </w:r>
          </w:p>
        </w:tc>
        <w:tc>
          <w:tcPr>
            <w:tcW w:w="495" w:type="pct"/>
            <w:noWrap/>
            <w:vAlign w:val="center"/>
          </w:tcPr>
          <w:p w14:paraId="25B1918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2200</w:t>
            </w:r>
          </w:p>
        </w:tc>
      </w:tr>
      <w:tr w14:paraId="0D01506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2549C43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111</w:t>
            </w:r>
          </w:p>
        </w:tc>
        <w:tc>
          <w:tcPr>
            <w:tcW w:w="507" w:type="pct"/>
            <w:vMerge w:val="continue"/>
            <w:vAlign w:val="center"/>
          </w:tcPr>
          <w:p w14:paraId="40E688C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4FEE663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香逸园</w:t>
            </w:r>
          </w:p>
        </w:tc>
        <w:tc>
          <w:tcPr>
            <w:tcW w:w="468" w:type="pct"/>
            <w:vAlign w:val="center"/>
          </w:tcPr>
          <w:p w14:paraId="720208F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w:t>
            </w:r>
          </w:p>
        </w:tc>
        <w:tc>
          <w:tcPr>
            <w:tcW w:w="535" w:type="pct"/>
            <w:vAlign w:val="center"/>
          </w:tcPr>
          <w:p w14:paraId="0B32353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3836</w:t>
            </w:r>
          </w:p>
        </w:tc>
        <w:tc>
          <w:tcPr>
            <w:tcW w:w="627" w:type="pct"/>
            <w:vAlign w:val="center"/>
          </w:tcPr>
          <w:p w14:paraId="2F7B72C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居民区</w:t>
            </w:r>
          </w:p>
        </w:tc>
        <w:tc>
          <w:tcPr>
            <w:tcW w:w="495" w:type="pct"/>
            <w:noWrap/>
            <w:vAlign w:val="center"/>
          </w:tcPr>
          <w:p w14:paraId="362EE5F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3000</w:t>
            </w:r>
          </w:p>
        </w:tc>
      </w:tr>
      <w:tr w14:paraId="7238CE1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4E5C3D2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112</w:t>
            </w:r>
          </w:p>
        </w:tc>
        <w:tc>
          <w:tcPr>
            <w:tcW w:w="507" w:type="pct"/>
            <w:vMerge w:val="continue"/>
            <w:vAlign w:val="center"/>
          </w:tcPr>
          <w:p w14:paraId="447169D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75EE432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港东名轩</w:t>
            </w:r>
          </w:p>
        </w:tc>
        <w:tc>
          <w:tcPr>
            <w:tcW w:w="468" w:type="pct"/>
            <w:vAlign w:val="center"/>
          </w:tcPr>
          <w:p w14:paraId="5A8966D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w:t>
            </w:r>
          </w:p>
        </w:tc>
        <w:tc>
          <w:tcPr>
            <w:tcW w:w="535" w:type="pct"/>
            <w:vAlign w:val="center"/>
          </w:tcPr>
          <w:p w14:paraId="5498F8F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3749</w:t>
            </w:r>
          </w:p>
        </w:tc>
        <w:tc>
          <w:tcPr>
            <w:tcW w:w="627" w:type="pct"/>
            <w:vAlign w:val="center"/>
          </w:tcPr>
          <w:p w14:paraId="3E09326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居民区</w:t>
            </w:r>
          </w:p>
        </w:tc>
        <w:tc>
          <w:tcPr>
            <w:tcW w:w="495" w:type="pct"/>
            <w:noWrap/>
            <w:vAlign w:val="center"/>
          </w:tcPr>
          <w:p w14:paraId="2A45921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2200</w:t>
            </w:r>
          </w:p>
        </w:tc>
      </w:tr>
      <w:tr w14:paraId="5519D63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7B9AD45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113</w:t>
            </w:r>
          </w:p>
        </w:tc>
        <w:tc>
          <w:tcPr>
            <w:tcW w:w="507" w:type="pct"/>
            <w:vMerge w:val="continue"/>
            <w:vAlign w:val="center"/>
          </w:tcPr>
          <w:p w14:paraId="283F92C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23AE8B8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成鑫佳园</w:t>
            </w:r>
          </w:p>
        </w:tc>
        <w:tc>
          <w:tcPr>
            <w:tcW w:w="468" w:type="pct"/>
            <w:vAlign w:val="center"/>
          </w:tcPr>
          <w:p w14:paraId="39382F4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w:t>
            </w:r>
          </w:p>
        </w:tc>
        <w:tc>
          <w:tcPr>
            <w:tcW w:w="535" w:type="pct"/>
            <w:vAlign w:val="center"/>
          </w:tcPr>
          <w:p w14:paraId="0778196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4008</w:t>
            </w:r>
          </w:p>
        </w:tc>
        <w:tc>
          <w:tcPr>
            <w:tcW w:w="627" w:type="pct"/>
            <w:vAlign w:val="center"/>
          </w:tcPr>
          <w:p w14:paraId="36A5B01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居民区</w:t>
            </w:r>
          </w:p>
        </w:tc>
        <w:tc>
          <w:tcPr>
            <w:tcW w:w="495" w:type="pct"/>
            <w:noWrap/>
            <w:vAlign w:val="center"/>
          </w:tcPr>
          <w:p w14:paraId="436EDEA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200</w:t>
            </w:r>
          </w:p>
        </w:tc>
      </w:tr>
      <w:tr w14:paraId="1C7D808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2B7DB42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114</w:t>
            </w:r>
          </w:p>
        </w:tc>
        <w:tc>
          <w:tcPr>
            <w:tcW w:w="507" w:type="pct"/>
            <w:vMerge w:val="continue"/>
            <w:vAlign w:val="center"/>
          </w:tcPr>
          <w:p w14:paraId="69221DE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16077AF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大港轻纺城工业园</w:t>
            </w:r>
          </w:p>
        </w:tc>
        <w:tc>
          <w:tcPr>
            <w:tcW w:w="468" w:type="pct"/>
            <w:vAlign w:val="center"/>
          </w:tcPr>
          <w:p w14:paraId="423AEF0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w:t>
            </w:r>
          </w:p>
        </w:tc>
        <w:tc>
          <w:tcPr>
            <w:tcW w:w="535" w:type="pct"/>
            <w:vAlign w:val="center"/>
          </w:tcPr>
          <w:p w14:paraId="1083118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3877</w:t>
            </w:r>
          </w:p>
        </w:tc>
        <w:tc>
          <w:tcPr>
            <w:tcW w:w="627" w:type="pct"/>
            <w:vAlign w:val="center"/>
          </w:tcPr>
          <w:p w14:paraId="37B90FD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工业园区</w:t>
            </w:r>
          </w:p>
        </w:tc>
        <w:tc>
          <w:tcPr>
            <w:tcW w:w="495" w:type="pct"/>
            <w:noWrap/>
            <w:vAlign w:val="center"/>
          </w:tcPr>
          <w:p w14:paraId="1BEDA0F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2000</w:t>
            </w:r>
          </w:p>
        </w:tc>
      </w:tr>
      <w:tr w14:paraId="36CB089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6DE09B4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115</w:t>
            </w:r>
          </w:p>
        </w:tc>
        <w:tc>
          <w:tcPr>
            <w:tcW w:w="507" w:type="pct"/>
            <w:vMerge w:val="continue"/>
            <w:vAlign w:val="center"/>
          </w:tcPr>
          <w:p w14:paraId="32344EA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6F689FE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天津光华包装有限公司</w:t>
            </w:r>
          </w:p>
        </w:tc>
        <w:tc>
          <w:tcPr>
            <w:tcW w:w="468" w:type="pct"/>
            <w:vAlign w:val="center"/>
          </w:tcPr>
          <w:p w14:paraId="2D8E1E8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w:t>
            </w:r>
          </w:p>
        </w:tc>
        <w:tc>
          <w:tcPr>
            <w:tcW w:w="535" w:type="pct"/>
            <w:vAlign w:val="center"/>
          </w:tcPr>
          <w:p w14:paraId="48B5784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4017</w:t>
            </w:r>
          </w:p>
        </w:tc>
        <w:tc>
          <w:tcPr>
            <w:tcW w:w="627" w:type="pct"/>
            <w:vAlign w:val="center"/>
          </w:tcPr>
          <w:p w14:paraId="2D91D74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796B9EB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16</w:t>
            </w:r>
          </w:p>
        </w:tc>
      </w:tr>
      <w:tr w14:paraId="315FF2A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7BC98DB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116</w:t>
            </w:r>
          </w:p>
        </w:tc>
        <w:tc>
          <w:tcPr>
            <w:tcW w:w="507" w:type="pct"/>
            <w:vMerge w:val="continue"/>
            <w:vAlign w:val="center"/>
          </w:tcPr>
          <w:p w14:paraId="30A6E31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61359E3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大港物资回收总公司</w:t>
            </w:r>
          </w:p>
        </w:tc>
        <w:tc>
          <w:tcPr>
            <w:tcW w:w="468" w:type="pct"/>
            <w:vAlign w:val="center"/>
          </w:tcPr>
          <w:p w14:paraId="24F60F6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w:t>
            </w:r>
          </w:p>
        </w:tc>
        <w:tc>
          <w:tcPr>
            <w:tcW w:w="535" w:type="pct"/>
            <w:vAlign w:val="center"/>
          </w:tcPr>
          <w:p w14:paraId="2B164D3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3708</w:t>
            </w:r>
          </w:p>
        </w:tc>
        <w:tc>
          <w:tcPr>
            <w:tcW w:w="627" w:type="pct"/>
            <w:vAlign w:val="center"/>
          </w:tcPr>
          <w:p w14:paraId="6E09178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0BE372D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10</w:t>
            </w:r>
          </w:p>
        </w:tc>
      </w:tr>
      <w:tr w14:paraId="7377B3F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5DE934C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117</w:t>
            </w:r>
          </w:p>
        </w:tc>
        <w:tc>
          <w:tcPr>
            <w:tcW w:w="507" w:type="pct"/>
            <w:vMerge w:val="continue"/>
            <w:vAlign w:val="center"/>
          </w:tcPr>
          <w:p w14:paraId="2C19BD1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568BF99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吉林里小区</w:t>
            </w:r>
          </w:p>
        </w:tc>
        <w:tc>
          <w:tcPr>
            <w:tcW w:w="468" w:type="pct"/>
            <w:vAlign w:val="center"/>
          </w:tcPr>
          <w:p w14:paraId="0EC7A0E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w:t>
            </w:r>
          </w:p>
        </w:tc>
        <w:tc>
          <w:tcPr>
            <w:tcW w:w="535" w:type="pct"/>
            <w:vAlign w:val="center"/>
          </w:tcPr>
          <w:p w14:paraId="6C69210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4514</w:t>
            </w:r>
          </w:p>
        </w:tc>
        <w:tc>
          <w:tcPr>
            <w:tcW w:w="627" w:type="pct"/>
            <w:vAlign w:val="center"/>
          </w:tcPr>
          <w:p w14:paraId="6DA3667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居民区</w:t>
            </w:r>
          </w:p>
        </w:tc>
        <w:tc>
          <w:tcPr>
            <w:tcW w:w="495" w:type="pct"/>
            <w:noWrap/>
            <w:vAlign w:val="center"/>
          </w:tcPr>
          <w:p w14:paraId="2442017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900</w:t>
            </w:r>
          </w:p>
        </w:tc>
      </w:tr>
      <w:tr w14:paraId="5F96705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68663AD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118</w:t>
            </w:r>
          </w:p>
        </w:tc>
        <w:tc>
          <w:tcPr>
            <w:tcW w:w="507" w:type="pct"/>
            <w:vMerge w:val="continue"/>
            <w:vAlign w:val="center"/>
          </w:tcPr>
          <w:p w14:paraId="19A0F31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63C45B4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浩宇幼儿园</w:t>
            </w:r>
          </w:p>
        </w:tc>
        <w:tc>
          <w:tcPr>
            <w:tcW w:w="468" w:type="pct"/>
            <w:vAlign w:val="center"/>
          </w:tcPr>
          <w:p w14:paraId="5321D8C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w:t>
            </w:r>
          </w:p>
        </w:tc>
        <w:tc>
          <w:tcPr>
            <w:tcW w:w="535" w:type="pct"/>
            <w:vAlign w:val="center"/>
          </w:tcPr>
          <w:p w14:paraId="7F90E1F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4572</w:t>
            </w:r>
          </w:p>
        </w:tc>
        <w:tc>
          <w:tcPr>
            <w:tcW w:w="627" w:type="pct"/>
            <w:vAlign w:val="center"/>
          </w:tcPr>
          <w:p w14:paraId="54D9A1C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学校</w:t>
            </w:r>
          </w:p>
        </w:tc>
        <w:tc>
          <w:tcPr>
            <w:tcW w:w="495" w:type="pct"/>
            <w:noWrap/>
            <w:vAlign w:val="center"/>
          </w:tcPr>
          <w:p w14:paraId="5B783BC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200</w:t>
            </w:r>
          </w:p>
        </w:tc>
      </w:tr>
      <w:tr w14:paraId="1C0634B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1F2D9EF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119</w:t>
            </w:r>
          </w:p>
        </w:tc>
        <w:tc>
          <w:tcPr>
            <w:tcW w:w="507" w:type="pct"/>
            <w:vMerge w:val="continue"/>
            <w:vAlign w:val="center"/>
          </w:tcPr>
          <w:p w14:paraId="683601F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27980BF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大港上古林小学</w:t>
            </w:r>
          </w:p>
        </w:tc>
        <w:tc>
          <w:tcPr>
            <w:tcW w:w="468" w:type="pct"/>
            <w:vAlign w:val="center"/>
          </w:tcPr>
          <w:p w14:paraId="7AF710D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w:t>
            </w:r>
          </w:p>
        </w:tc>
        <w:tc>
          <w:tcPr>
            <w:tcW w:w="535" w:type="pct"/>
            <w:vAlign w:val="center"/>
          </w:tcPr>
          <w:p w14:paraId="10D3AF7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4689</w:t>
            </w:r>
          </w:p>
        </w:tc>
        <w:tc>
          <w:tcPr>
            <w:tcW w:w="627" w:type="pct"/>
            <w:vAlign w:val="center"/>
          </w:tcPr>
          <w:p w14:paraId="0243176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学校</w:t>
            </w:r>
          </w:p>
        </w:tc>
        <w:tc>
          <w:tcPr>
            <w:tcW w:w="495" w:type="pct"/>
            <w:noWrap/>
            <w:vAlign w:val="center"/>
          </w:tcPr>
          <w:p w14:paraId="7CCB467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1000</w:t>
            </w:r>
          </w:p>
        </w:tc>
      </w:tr>
      <w:tr w14:paraId="3734398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45D1C83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120</w:t>
            </w:r>
          </w:p>
        </w:tc>
        <w:tc>
          <w:tcPr>
            <w:tcW w:w="507" w:type="pct"/>
            <w:vMerge w:val="continue"/>
            <w:vAlign w:val="center"/>
          </w:tcPr>
          <w:p w14:paraId="01083D6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573C9FC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天津市滨海新区军辉幼儿园</w:t>
            </w:r>
          </w:p>
        </w:tc>
        <w:tc>
          <w:tcPr>
            <w:tcW w:w="468" w:type="pct"/>
            <w:vAlign w:val="center"/>
          </w:tcPr>
          <w:p w14:paraId="07933F6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w:t>
            </w:r>
          </w:p>
        </w:tc>
        <w:tc>
          <w:tcPr>
            <w:tcW w:w="535" w:type="pct"/>
            <w:vAlign w:val="center"/>
          </w:tcPr>
          <w:p w14:paraId="1BE99EE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4622</w:t>
            </w:r>
          </w:p>
        </w:tc>
        <w:tc>
          <w:tcPr>
            <w:tcW w:w="627" w:type="pct"/>
            <w:vAlign w:val="center"/>
          </w:tcPr>
          <w:p w14:paraId="123858A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学校</w:t>
            </w:r>
          </w:p>
        </w:tc>
        <w:tc>
          <w:tcPr>
            <w:tcW w:w="495" w:type="pct"/>
            <w:noWrap/>
            <w:vAlign w:val="center"/>
          </w:tcPr>
          <w:p w14:paraId="61C50B7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200</w:t>
            </w:r>
          </w:p>
        </w:tc>
      </w:tr>
      <w:tr w14:paraId="44AA6D1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29776B2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121</w:t>
            </w:r>
          </w:p>
        </w:tc>
        <w:tc>
          <w:tcPr>
            <w:tcW w:w="507" w:type="pct"/>
            <w:vMerge w:val="continue"/>
            <w:vAlign w:val="center"/>
          </w:tcPr>
          <w:p w14:paraId="79ABABA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6F63E01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永明里小区</w:t>
            </w:r>
          </w:p>
        </w:tc>
        <w:tc>
          <w:tcPr>
            <w:tcW w:w="468" w:type="pct"/>
            <w:vAlign w:val="center"/>
          </w:tcPr>
          <w:p w14:paraId="649EA06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w:t>
            </w:r>
          </w:p>
        </w:tc>
        <w:tc>
          <w:tcPr>
            <w:tcW w:w="535" w:type="pct"/>
            <w:vAlign w:val="center"/>
          </w:tcPr>
          <w:p w14:paraId="253FDEF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4737</w:t>
            </w:r>
          </w:p>
        </w:tc>
        <w:tc>
          <w:tcPr>
            <w:tcW w:w="627" w:type="pct"/>
            <w:vAlign w:val="center"/>
          </w:tcPr>
          <w:p w14:paraId="7BCEADC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居民区</w:t>
            </w:r>
          </w:p>
        </w:tc>
        <w:tc>
          <w:tcPr>
            <w:tcW w:w="495" w:type="pct"/>
            <w:noWrap/>
            <w:vAlign w:val="center"/>
          </w:tcPr>
          <w:p w14:paraId="733E8E6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3300</w:t>
            </w:r>
          </w:p>
        </w:tc>
      </w:tr>
      <w:tr w14:paraId="1DBF92B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09CED32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122</w:t>
            </w:r>
          </w:p>
        </w:tc>
        <w:tc>
          <w:tcPr>
            <w:tcW w:w="507" w:type="pct"/>
            <w:vMerge w:val="continue"/>
            <w:vAlign w:val="center"/>
          </w:tcPr>
          <w:p w14:paraId="1723CC8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5F13DE5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睦林里</w:t>
            </w:r>
          </w:p>
        </w:tc>
        <w:tc>
          <w:tcPr>
            <w:tcW w:w="468" w:type="pct"/>
            <w:vAlign w:val="center"/>
          </w:tcPr>
          <w:p w14:paraId="275BA3F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w:t>
            </w:r>
          </w:p>
        </w:tc>
        <w:tc>
          <w:tcPr>
            <w:tcW w:w="535" w:type="pct"/>
            <w:vAlign w:val="center"/>
          </w:tcPr>
          <w:p w14:paraId="266253D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4274</w:t>
            </w:r>
          </w:p>
        </w:tc>
        <w:tc>
          <w:tcPr>
            <w:tcW w:w="627" w:type="pct"/>
            <w:vAlign w:val="center"/>
          </w:tcPr>
          <w:p w14:paraId="253CFEE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居民区</w:t>
            </w:r>
          </w:p>
        </w:tc>
        <w:tc>
          <w:tcPr>
            <w:tcW w:w="495" w:type="pct"/>
            <w:noWrap/>
            <w:vAlign w:val="center"/>
          </w:tcPr>
          <w:p w14:paraId="0652D73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1500</w:t>
            </w:r>
          </w:p>
        </w:tc>
      </w:tr>
      <w:tr w14:paraId="2989371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19DB244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123</w:t>
            </w:r>
          </w:p>
        </w:tc>
        <w:tc>
          <w:tcPr>
            <w:tcW w:w="507" w:type="pct"/>
            <w:vMerge w:val="continue"/>
            <w:vAlign w:val="center"/>
          </w:tcPr>
          <w:p w14:paraId="2C77945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6692455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海鑫硅藻土助剂厂</w:t>
            </w:r>
          </w:p>
        </w:tc>
        <w:tc>
          <w:tcPr>
            <w:tcW w:w="468" w:type="pct"/>
            <w:vAlign w:val="center"/>
          </w:tcPr>
          <w:p w14:paraId="0628C23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w:t>
            </w:r>
          </w:p>
        </w:tc>
        <w:tc>
          <w:tcPr>
            <w:tcW w:w="535" w:type="pct"/>
            <w:vAlign w:val="center"/>
          </w:tcPr>
          <w:p w14:paraId="236B95A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3016</w:t>
            </w:r>
          </w:p>
        </w:tc>
        <w:tc>
          <w:tcPr>
            <w:tcW w:w="627" w:type="pct"/>
            <w:vAlign w:val="center"/>
          </w:tcPr>
          <w:p w14:paraId="7037886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3F69F6B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50</w:t>
            </w:r>
          </w:p>
        </w:tc>
      </w:tr>
      <w:tr w14:paraId="66C8254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037946F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124</w:t>
            </w:r>
          </w:p>
        </w:tc>
        <w:tc>
          <w:tcPr>
            <w:tcW w:w="507" w:type="pct"/>
            <w:vMerge w:val="continue"/>
            <w:vAlign w:val="center"/>
          </w:tcPr>
          <w:p w14:paraId="07BEB00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2960505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天津东宏晟商贸有限公司</w:t>
            </w:r>
          </w:p>
        </w:tc>
        <w:tc>
          <w:tcPr>
            <w:tcW w:w="468" w:type="pct"/>
            <w:vAlign w:val="center"/>
          </w:tcPr>
          <w:p w14:paraId="463CCCF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w:t>
            </w:r>
          </w:p>
        </w:tc>
        <w:tc>
          <w:tcPr>
            <w:tcW w:w="535" w:type="pct"/>
            <w:vAlign w:val="center"/>
          </w:tcPr>
          <w:p w14:paraId="70F8A5F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3219</w:t>
            </w:r>
          </w:p>
        </w:tc>
        <w:tc>
          <w:tcPr>
            <w:tcW w:w="627" w:type="pct"/>
            <w:vAlign w:val="center"/>
          </w:tcPr>
          <w:p w14:paraId="4B4C0F7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67BA291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15</w:t>
            </w:r>
          </w:p>
        </w:tc>
      </w:tr>
      <w:tr w14:paraId="7471388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435AAB1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125</w:t>
            </w:r>
          </w:p>
        </w:tc>
        <w:tc>
          <w:tcPr>
            <w:tcW w:w="507" w:type="pct"/>
            <w:vMerge w:val="restart"/>
            <w:noWrap/>
            <w:vAlign w:val="center"/>
          </w:tcPr>
          <w:p w14:paraId="2E6DA31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区域七（海景大道-轻纺大道-世纪大道）</w:t>
            </w:r>
          </w:p>
        </w:tc>
        <w:tc>
          <w:tcPr>
            <w:tcW w:w="2071" w:type="pct"/>
            <w:vAlign w:val="center"/>
          </w:tcPr>
          <w:p w14:paraId="7C07BD6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海康苑</w:t>
            </w:r>
          </w:p>
        </w:tc>
        <w:tc>
          <w:tcPr>
            <w:tcW w:w="468" w:type="pct"/>
            <w:vAlign w:val="center"/>
          </w:tcPr>
          <w:p w14:paraId="7A99D92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西北</w:t>
            </w:r>
          </w:p>
        </w:tc>
        <w:tc>
          <w:tcPr>
            <w:tcW w:w="535" w:type="pct"/>
            <w:vAlign w:val="center"/>
          </w:tcPr>
          <w:p w14:paraId="01DE2F7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1332</w:t>
            </w:r>
          </w:p>
        </w:tc>
        <w:tc>
          <w:tcPr>
            <w:tcW w:w="627" w:type="pct"/>
            <w:vAlign w:val="center"/>
          </w:tcPr>
          <w:p w14:paraId="70B5E8F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居民区</w:t>
            </w:r>
          </w:p>
        </w:tc>
        <w:tc>
          <w:tcPr>
            <w:tcW w:w="495" w:type="pct"/>
            <w:noWrap/>
            <w:vAlign w:val="center"/>
          </w:tcPr>
          <w:p w14:paraId="12EBAFE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3900</w:t>
            </w:r>
          </w:p>
        </w:tc>
      </w:tr>
      <w:tr w14:paraId="2FA6261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155C56F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126</w:t>
            </w:r>
          </w:p>
        </w:tc>
        <w:tc>
          <w:tcPr>
            <w:tcW w:w="507" w:type="pct"/>
            <w:vMerge w:val="continue"/>
            <w:vAlign w:val="center"/>
          </w:tcPr>
          <w:p w14:paraId="0DACAC4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5970533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中和苑</w:t>
            </w:r>
          </w:p>
        </w:tc>
        <w:tc>
          <w:tcPr>
            <w:tcW w:w="468" w:type="pct"/>
            <w:vAlign w:val="center"/>
          </w:tcPr>
          <w:p w14:paraId="3D484A3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西北</w:t>
            </w:r>
          </w:p>
        </w:tc>
        <w:tc>
          <w:tcPr>
            <w:tcW w:w="535" w:type="pct"/>
            <w:vAlign w:val="center"/>
          </w:tcPr>
          <w:p w14:paraId="5C60B76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1385</w:t>
            </w:r>
          </w:p>
        </w:tc>
        <w:tc>
          <w:tcPr>
            <w:tcW w:w="627" w:type="pct"/>
            <w:vAlign w:val="center"/>
          </w:tcPr>
          <w:p w14:paraId="3C520A5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居民区</w:t>
            </w:r>
          </w:p>
        </w:tc>
        <w:tc>
          <w:tcPr>
            <w:tcW w:w="495" w:type="pct"/>
            <w:noWrap/>
            <w:vAlign w:val="center"/>
          </w:tcPr>
          <w:p w14:paraId="427495E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150</w:t>
            </w:r>
          </w:p>
        </w:tc>
      </w:tr>
      <w:tr w14:paraId="40F0F62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498044E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127</w:t>
            </w:r>
          </w:p>
        </w:tc>
        <w:tc>
          <w:tcPr>
            <w:tcW w:w="507" w:type="pct"/>
            <w:vMerge w:val="continue"/>
            <w:vAlign w:val="center"/>
          </w:tcPr>
          <w:p w14:paraId="4D6F949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6DDE821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滨海新区中部新城开发投资有限公司</w:t>
            </w:r>
          </w:p>
        </w:tc>
        <w:tc>
          <w:tcPr>
            <w:tcW w:w="468" w:type="pct"/>
            <w:vAlign w:val="center"/>
          </w:tcPr>
          <w:p w14:paraId="7F15D2E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西北</w:t>
            </w:r>
          </w:p>
        </w:tc>
        <w:tc>
          <w:tcPr>
            <w:tcW w:w="535" w:type="pct"/>
            <w:vAlign w:val="center"/>
          </w:tcPr>
          <w:p w14:paraId="2BB24A4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855</w:t>
            </w:r>
          </w:p>
        </w:tc>
        <w:tc>
          <w:tcPr>
            <w:tcW w:w="627" w:type="pct"/>
            <w:vAlign w:val="center"/>
          </w:tcPr>
          <w:p w14:paraId="43336DF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12DBCD2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15</w:t>
            </w:r>
          </w:p>
        </w:tc>
      </w:tr>
      <w:tr w14:paraId="24771C3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19BD5F4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128</w:t>
            </w:r>
          </w:p>
        </w:tc>
        <w:tc>
          <w:tcPr>
            <w:tcW w:w="507" w:type="pct"/>
            <w:vMerge w:val="restart"/>
            <w:noWrap/>
            <w:vAlign w:val="center"/>
          </w:tcPr>
          <w:p w14:paraId="4B810C4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区域八（南环路-海景大道-范围边界）</w:t>
            </w:r>
          </w:p>
        </w:tc>
        <w:tc>
          <w:tcPr>
            <w:tcW w:w="2071" w:type="pct"/>
            <w:vAlign w:val="center"/>
          </w:tcPr>
          <w:p w14:paraId="79BC16C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海佳园</w:t>
            </w:r>
          </w:p>
        </w:tc>
        <w:tc>
          <w:tcPr>
            <w:tcW w:w="468" w:type="pct"/>
            <w:vAlign w:val="center"/>
          </w:tcPr>
          <w:p w14:paraId="4248533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西北</w:t>
            </w:r>
          </w:p>
        </w:tc>
        <w:tc>
          <w:tcPr>
            <w:tcW w:w="535" w:type="pct"/>
            <w:vAlign w:val="center"/>
          </w:tcPr>
          <w:p w14:paraId="7165F09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4952</w:t>
            </w:r>
          </w:p>
        </w:tc>
        <w:tc>
          <w:tcPr>
            <w:tcW w:w="627" w:type="pct"/>
            <w:vAlign w:val="center"/>
          </w:tcPr>
          <w:p w14:paraId="63A112C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居民区</w:t>
            </w:r>
          </w:p>
        </w:tc>
        <w:tc>
          <w:tcPr>
            <w:tcW w:w="495" w:type="pct"/>
            <w:noWrap/>
            <w:vAlign w:val="center"/>
          </w:tcPr>
          <w:p w14:paraId="14052BB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2200</w:t>
            </w:r>
          </w:p>
        </w:tc>
      </w:tr>
      <w:tr w14:paraId="26D9C36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291903D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129</w:t>
            </w:r>
          </w:p>
        </w:tc>
        <w:tc>
          <w:tcPr>
            <w:tcW w:w="507" w:type="pct"/>
            <w:vMerge w:val="continue"/>
            <w:vAlign w:val="center"/>
          </w:tcPr>
          <w:p w14:paraId="1A79C43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69A7726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海榕园</w:t>
            </w:r>
          </w:p>
        </w:tc>
        <w:tc>
          <w:tcPr>
            <w:tcW w:w="468" w:type="pct"/>
            <w:vAlign w:val="center"/>
          </w:tcPr>
          <w:p w14:paraId="7DB8769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西北</w:t>
            </w:r>
          </w:p>
        </w:tc>
        <w:tc>
          <w:tcPr>
            <w:tcW w:w="535" w:type="pct"/>
            <w:vAlign w:val="center"/>
          </w:tcPr>
          <w:p w14:paraId="6495E81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4786</w:t>
            </w:r>
          </w:p>
        </w:tc>
        <w:tc>
          <w:tcPr>
            <w:tcW w:w="627" w:type="pct"/>
            <w:vAlign w:val="center"/>
          </w:tcPr>
          <w:p w14:paraId="549745B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居民区</w:t>
            </w:r>
          </w:p>
        </w:tc>
        <w:tc>
          <w:tcPr>
            <w:tcW w:w="495" w:type="pct"/>
            <w:noWrap/>
            <w:vAlign w:val="center"/>
          </w:tcPr>
          <w:p w14:paraId="68CA32F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2000</w:t>
            </w:r>
          </w:p>
        </w:tc>
      </w:tr>
      <w:tr w14:paraId="1DB1AF5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25DD3D8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130</w:t>
            </w:r>
          </w:p>
        </w:tc>
        <w:tc>
          <w:tcPr>
            <w:tcW w:w="507" w:type="pct"/>
            <w:vMerge w:val="continue"/>
            <w:vAlign w:val="center"/>
          </w:tcPr>
          <w:p w14:paraId="3889B30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1B9F00C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海居园</w:t>
            </w:r>
          </w:p>
        </w:tc>
        <w:tc>
          <w:tcPr>
            <w:tcW w:w="468" w:type="pct"/>
            <w:vAlign w:val="center"/>
          </w:tcPr>
          <w:p w14:paraId="1C6FF50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西北</w:t>
            </w:r>
          </w:p>
        </w:tc>
        <w:tc>
          <w:tcPr>
            <w:tcW w:w="535" w:type="pct"/>
            <w:vAlign w:val="center"/>
          </w:tcPr>
          <w:p w14:paraId="30FEFB9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4741</w:t>
            </w:r>
          </w:p>
        </w:tc>
        <w:tc>
          <w:tcPr>
            <w:tcW w:w="627" w:type="pct"/>
            <w:vAlign w:val="center"/>
          </w:tcPr>
          <w:p w14:paraId="558D513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居民区</w:t>
            </w:r>
          </w:p>
        </w:tc>
        <w:tc>
          <w:tcPr>
            <w:tcW w:w="495" w:type="pct"/>
            <w:noWrap/>
            <w:vAlign w:val="center"/>
          </w:tcPr>
          <w:p w14:paraId="755BF83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1800</w:t>
            </w:r>
          </w:p>
        </w:tc>
      </w:tr>
      <w:tr w14:paraId="0BCE624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1677EEE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131</w:t>
            </w:r>
          </w:p>
        </w:tc>
        <w:tc>
          <w:tcPr>
            <w:tcW w:w="507" w:type="pct"/>
            <w:vMerge w:val="continue"/>
            <w:vAlign w:val="center"/>
          </w:tcPr>
          <w:p w14:paraId="59A0464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263572B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海通园</w:t>
            </w:r>
          </w:p>
        </w:tc>
        <w:tc>
          <w:tcPr>
            <w:tcW w:w="468" w:type="pct"/>
            <w:vAlign w:val="center"/>
          </w:tcPr>
          <w:p w14:paraId="61D27AA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西北</w:t>
            </w:r>
          </w:p>
        </w:tc>
        <w:tc>
          <w:tcPr>
            <w:tcW w:w="535" w:type="pct"/>
            <w:vAlign w:val="center"/>
          </w:tcPr>
          <w:p w14:paraId="76900B8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4760</w:t>
            </w:r>
          </w:p>
        </w:tc>
        <w:tc>
          <w:tcPr>
            <w:tcW w:w="627" w:type="pct"/>
            <w:vAlign w:val="center"/>
          </w:tcPr>
          <w:p w14:paraId="77DB270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居民区</w:t>
            </w:r>
          </w:p>
        </w:tc>
        <w:tc>
          <w:tcPr>
            <w:tcW w:w="495" w:type="pct"/>
            <w:noWrap/>
            <w:vAlign w:val="center"/>
          </w:tcPr>
          <w:p w14:paraId="21B3B4D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2000</w:t>
            </w:r>
          </w:p>
        </w:tc>
      </w:tr>
      <w:tr w14:paraId="701716B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163BC75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132</w:t>
            </w:r>
          </w:p>
        </w:tc>
        <w:tc>
          <w:tcPr>
            <w:tcW w:w="507" w:type="pct"/>
            <w:vMerge w:val="continue"/>
            <w:vAlign w:val="center"/>
          </w:tcPr>
          <w:p w14:paraId="2715DF8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0BA3A9B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海华园</w:t>
            </w:r>
          </w:p>
        </w:tc>
        <w:tc>
          <w:tcPr>
            <w:tcW w:w="468" w:type="pct"/>
            <w:vAlign w:val="center"/>
          </w:tcPr>
          <w:p w14:paraId="6EB133F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西北</w:t>
            </w:r>
          </w:p>
        </w:tc>
        <w:tc>
          <w:tcPr>
            <w:tcW w:w="535" w:type="pct"/>
            <w:vAlign w:val="center"/>
          </w:tcPr>
          <w:p w14:paraId="45B67B8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4578</w:t>
            </w:r>
          </w:p>
        </w:tc>
        <w:tc>
          <w:tcPr>
            <w:tcW w:w="627" w:type="pct"/>
            <w:vAlign w:val="center"/>
          </w:tcPr>
          <w:p w14:paraId="560A933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居民区</w:t>
            </w:r>
          </w:p>
        </w:tc>
        <w:tc>
          <w:tcPr>
            <w:tcW w:w="495" w:type="pct"/>
            <w:noWrap/>
            <w:vAlign w:val="center"/>
          </w:tcPr>
          <w:p w14:paraId="2B98820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2100</w:t>
            </w:r>
          </w:p>
        </w:tc>
      </w:tr>
      <w:tr w14:paraId="7F0C5A7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6F9F8D8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133</w:t>
            </w:r>
          </w:p>
        </w:tc>
        <w:tc>
          <w:tcPr>
            <w:tcW w:w="507" w:type="pct"/>
            <w:vMerge w:val="continue"/>
            <w:vAlign w:val="center"/>
          </w:tcPr>
          <w:p w14:paraId="2C4E368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3FFF069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海旋园</w:t>
            </w:r>
          </w:p>
        </w:tc>
        <w:tc>
          <w:tcPr>
            <w:tcW w:w="468" w:type="pct"/>
            <w:vAlign w:val="center"/>
          </w:tcPr>
          <w:p w14:paraId="0EAE873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西北</w:t>
            </w:r>
          </w:p>
        </w:tc>
        <w:tc>
          <w:tcPr>
            <w:tcW w:w="535" w:type="pct"/>
            <w:vAlign w:val="center"/>
          </w:tcPr>
          <w:p w14:paraId="6DF35FC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4485</w:t>
            </w:r>
          </w:p>
        </w:tc>
        <w:tc>
          <w:tcPr>
            <w:tcW w:w="627" w:type="pct"/>
            <w:vAlign w:val="center"/>
          </w:tcPr>
          <w:p w14:paraId="7EA2B35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居民区</w:t>
            </w:r>
          </w:p>
        </w:tc>
        <w:tc>
          <w:tcPr>
            <w:tcW w:w="495" w:type="pct"/>
            <w:noWrap/>
            <w:vAlign w:val="center"/>
          </w:tcPr>
          <w:p w14:paraId="5BC31A5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2200</w:t>
            </w:r>
          </w:p>
        </w:tc>
      </w:tr>
      <w:tr w14:paraId="021CB4F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48A39E4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134</w:t>
            </w:r>
          </w:p>
        </w:tc>
        <w:tc>
          <w:tcPr>
            <w:tcW w:w="507" w:type="pct"/>
            <w:vMerge w:val="continue"/>
            <w:vAlign w:val="center"/>
          </w:tcPr>
          <w:p w14:paraId="27615AC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7540EEE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海明园</w:t>
            </w:r>
          </w:p>
        </w:tc>
        <w:tc>
          <w:tcPr>
            <w:tcW w:w="468" w:type="pct"/>
            <w:vAlign w:val="center"/>
          </w:tcPr>
          <w:p w14:paraId="461A97D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西北</w:t>
            </w:r>
          </w:p>
        </w:tc>
        <w:tc>
          <w:tcPr>
            <w:tcW w:w="535" w:type="pct"/>
            <w:vAlign w:val="center"/>
          </w:tcPr>
          <w:p w14:paraId="4F9D80B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4281</w:t>
            </w:r>
          </w:p>
        </w:tc>
        <w:tc>
          <w:tcPr>
            <w:tcW w:w="627" w:type="pct"/>
            <w:vAlign w:val="center"/>
          </w:tcPr>
          <w:p w14:paraId="224DC75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居民区</w:t>
            </w:r>
          </w:p>
        </w:tc>
        <w:tc>
          <w:tcPr>
            <w:tcW w:w="495" w:type="pct"/>
            <w:noWrap/>
            <w:vAlign w:val="center"/>
          </w:tcPr>
          <w:p w14:paraId="49EA9AD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2000</w:t>
            </w:r>
          </w:p>
        </w:tc>
      </w:tr>
      <w:tr w14:paraId="5517642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5917590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135</w:t>
            </w:r>
          </w:p>
        </w:tc>
        <w:tc>
          <w:tcPr>
            <w:tcW w:w="507" w:type="pct"/>
            <w:vMerge w:val="continue"/>
            <w:vAlign w:val="center"/>
          </w:tcPr>
          <w:p w14:paraId="790FEA5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670F598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天津市滨海新区可贝幼儿园</w:t>
            </w:r>
          </w:p>
        </w:tc>
        <w:tc>
          <w:tcPr>
            <w:tcW w:w="468" w:type="pct"/>
            <w:vAlign w:val="center"/>
          </w:tcPr>
          <w:p w14:paraId="3D12108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西北</w:t>
            </w:r>
          </w:p>
        </w:tc>
        <w:tc>
          <w:tcPr>
            <w:tcW w:w="535" w:type="pct"/>
            <w:vAlign w:val="center"/>
          </w:tcPr>
          <w:p w14:paraId="2AFCD77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4314</w:t>
            </w:r>
          </w:p>
        </w:tc>
        <w:tc>
          <w:tcPr>
            <w:tcW w:w="627" w:type="pct"/>
            <w:vAlign w:val="center"/>
          </w:tcPr>
          <w:p w14:paraId="4A79FA8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学校</w:t>
            </w:r>
          </w:p>
        </w:tc>
        <w:tc>
          <w:tcPr>
            <w:tcW w:w="495" w:type="pct"/>
            <w:noWrap/>
            <w:vAlign w:val="center"/>
          </w:tcPr>
          <w:p w14:paraId="21B34B1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200</w:t>
            </w:r>
          </w:p>
        </w:tc>
      </w:tr>
      <w:tr w14:paraId="4EC5A82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50B4690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136</w:t>
            </w:r>
          </w:p>
        </w:tc>
        <w:tc>
          <w:tcPr>
            <w:tcW w:w="507" w:type="pct"/>
            <w:vMerge w:val="continue"/>
            <w:vAlign w:val="center"/>
          </w:tcPr>
          <w:p w14:paraId="626EA56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53ED102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海都园</w:t>
            </w:r>
          </w:p>
        </w:tc>
        <w:tc>
          <w:tcPr>
            <w:tcW w:w="468" w:type="pct"/>
            <w:vAlign w:val="center"/>
          </w:tcPr>
          <w:p w14:paraId="615090E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西北</w:t>
            </w:r>
          </w:p>
        </w:tc>
        <w:tc>
          <w:tcPr>
            <w:tcW w:w="535" w:type="pct"/>
            <w:vAlign w:val="center"/>
          </w:tcPr>
          <w:p w14:paraId="0C7EC8A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4418</w:t>
            </w:r>
          </w:p>
        </w:tc>
        <w:tc>
          <w:tcPr>
            <w:tcW w:w="627" w:type="pct"/>
            <w:vAlign w:val="center"/>
          </w:tcPr>
          <w:p w14:paraId="3F81C3C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居民区</w:t>
            </w:r>
          </w:p>
        </w:tc>
        <w:tc>
          <w:tcPr>
            <w:tcW w:w="495" w:type="pct"/>
            <w:noWrap/>
            <w:vAlign w:val="center"/>
          </w:tcPr>
          <w:p w14:paraId="5B61798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1000</w:t>
            </w:r>
          </w:p>
        </w:tc>
      </w:tr>
      <w:tr w14:paraId="1F5A63F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2B3531A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137</w:t>
            </w:r>
          </w:p>
        </w:tc>
        <w:tc>
          <w:tcPr>
            <w:tcW w:w="507" w:type="pct"/>
            <w:vMerge w:val="continue"/>
            <w:vAlign w:val="center"/>
          </w:tcPr>
          <w:p w14:paraId="004FD40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67335F0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天宸庭苑</w:t>
            </w:r>
          </w:p>
        </w:tc>
        <w:tc>
          <w:tcPr>
            <w:tcW w:w="468" w:type="pct"/>
            <w:vAlign w:val="center"/>
          </w:tcPr>
          <w:p w14:paraId="5D1BA22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西北</w:t>
            </w:r>
          </w:p>
        </w:tc>
        <w:tc>
          <w:tcPr>
            <w:tcW w:w="535" w:type="pct"/>
            <w:vAlign w:val="center"/>
          </w:tcPr>
          <w:p w14:paraId="5A5D56B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4568</w:t>
            </w:r>
          </w:p>
        </w:tc>
        <w:tc>
          <w:tcPr>
            <w:tcW w:w="627" w:type="pct"/>
            <w:vAlign w:val="center"/>
          </w:tcPr>
          <w:p w14:paraId="4C88837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居民区</w:t>
            </w:r>
          </w:p>
        </w:tc>
        <w:tc>
          <w:tcPr>
            <w:tcW w:w="495" w:type="pct"/>
            <w:noWrap/>
            <w:vAlign w:val="center"/>
          </w:tcPr>
          <w:p w14:paraId="2B0DA63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200</w:t>
            </w:r>
          </w:p>
        </w:tc>
      </w:tr>
      <w:tr w14:paraId="1D2661D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02B6402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138</w:t>
            </w:r>
          </w:p>
        </w:tc>
        <w:tc>
          <w:tcPr>
            <w:tcW w:w="507" w:type="pct"/>
            <w:vMerge w:val="continue"/>
            <w:vAlign w:val="center"/>
          </w:tcPr>
          <w:p w14:paraId="259F035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73235F9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天启庭苑</w:t>
            </w:r>
          </w:p>
        </w:tc>
        <w:tc>
          <w:tcPr>
            <w:tcW w:w="468" w:type="pct"/>
            <w:vAlign w:val="center"/>
          </w:tcPr>
          <w:p w14:paraId="697A23C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西北</w:t>
            </w:r>
          </w:p>
        </w:tc>
        <w:tc>
          <w:tcPr>
            <w:tcW w:w="535" w:type="pct"/>
            <w:vAlign w:val="center"/>
          </w:tcPr>
          <w:p w14:paraId="72C4CA4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4712</w:t>
            </w:r>
          </w:p>
        </w:tc>
        <w:tc>
          <w:tcPr>
            <w:tcW w:w="627" w:type="pct"/>
            <w:vAlign w:val="center"/>
          </w:tcPr>
          <w:p w14:paraId="551C137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居民区</w:t>
            </w:r>
          </w:p>
        </w:tc>
        <w:tc>
          <w:tcPr>
            <w:tcW w:w="495" w:type="pct"/>
            <w:noWrap/>
            <w:vAlign w:val="center"/>
          </w:tcPr>
          <w:p w14:paraId="742E2CF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200</w:t>
            </w:r>
          </w:p>
        </w:tc>
      </w:tr>
      <w:tr w14:paraId="3A8D3EC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4B9B7EB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139</w:t>
            </w:r>
          </w:p>
        </w:tc>
        <w:tc>
          <w:tcPr>
            <w:tcW w:w="507" w:type="pct"/>
            <w:vMerge w:val="continue"/>
            <w:vAlign w:val="center"/>
          </w:tcPr>
          <w:p w14:paraId="4E6BEDC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6C255A7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海宁园</w:t>
            </w:r>
          </w:p>
        </w:tc>
        <w:tc>
          <w:tcPr>
            <w:tcW w:w="468" w:type="pct"/>
            <w:vAlign w:val="center"/>
          </w:tcPr>
          <w:p w14:paraId="4F49BCD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西北</w:t>
            </w:r>
          </w:p>
        </w:tc>
        <w:tc>
          <w:tcPr>
            <w:tcW w:w="535" w:type="pct"/>
            <w:vAlign w:val="center"/>
          </w:tcPr>
          <w:p w14:paraId="7C4A99F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4829</w:t>
            </w:r>
          </w:p>
        </w:tc>
        <w:tc>
          <w:tcPr>
            <w:tcW w:w="627" w:type="pct"/>
            <w:vAlign w:val="center"/>
          </w:tcPr>
          <w:p w14:paraId="70E54A5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居民区</w:t>
            </w:r>
          </w:p>
        </w:tc>
        <w:tc>
          <w:tcPr>
            <w:tcW w:w="495" w:type="pct"/>
            <w:noWrap/>
            <w:vAlign w:val="center"/>
          </w:tcPr>
          <w:p w14:paraId="1E27D25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1000</w:t>
            </w:r>
          </w:p>
        </w:tc>
      </w:tr>
      <w:tr w14:paraId="748C921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3D0AB8C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140</w:t>
            </w:r>
          </w:p>
        </w:tc>
        <w:tc>
          <w:tcPr>
            <w:tcW w:w="507" w:type="pct"/>
            <w:vMerge w:val="continue"/>
            <w:vAlign w:val="center"/>
          </w:tcPr>
          <w:p w14:paraId="6E5B470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64AAB30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福雅园</w:t>
            </w:r>
          </w:p>
        </w:tc>
        <w:tc>
          <w:tcPr>
            <w:tcW w:w="468" w:type="pct"/>
            <w:vAlign w:val="center"/>
          </w:tcPr>
          <w:p w14:paraId="4A34508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西北</w:t>
            </w:r>
          </w:p>
        </w:tc>
        <w:tc>
          <w:tcPr>
            <w:tcW w:w="535" w:type="pct"/>
            <w:vAlign w:val="center"/>
          </w:tcPr>
          <w:p w14:paraId="653FD73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4965</w:t>
            </w:r>
          </w:p>
        </w:tc>
        <w:tc>
          <w:tcPr>
            <w:tcW w:w="627" w:type="pct"/>
            <w:vAlign w:val="center"/>
          </w:tcPr>
          <w:p w14:paraId="6EB928C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居民区</w:t>
            </w:r>
          </w:p>
        </w:tc>
        <w:tc>
          <w:tcPr>
            <w:tcW w:w="495" w:type="pct"/>
            <w:noWrap/>
            <w:vAlign w:val="center"/>
          </w:tcPr>
          <w:p w14:paraId="35D6089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1500</w:t>
            </w:r>
          </w:p>
        </w:tc>
      </w:tr>
      <w:tr w14:paraId="6D057B7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69ABE4A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141</w:t>
            </w:r>
          </w:p>
        </w:tc>
        <w:tc>
          <w:tcPr>
            <w:tcW w:w="507" w:type="pct"/>
            <w:vMerge w:val="continue"/>
            <w:vAlign w:val="center"/>
          </w:tcPr>
          <w:p w14:paraId="2AF30E7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4BFB29A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大港十中</w:t>
            </w:r>
          </w:p>
        </w:tc>
        <w:tc>
          <w:tcPr>
            <w:tcW w:w="468" w:type="pct"/>
            <w:vAlign w:val="center"/>
          </w:tcPr>
          <w:p w14:paraId="70251E1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西北</w:t>
            </w:r>
          </w:p>
        </w:tc>
        <w:tc>
          <w:tcPr>
            <w:tcW w:w="535" w:type="pct"/>
            <w:vAlign w:val="center"/>
          </w:tcPr>
          <w:p w14:paraId="7B11D74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4847</w:t>
            </w:r>
          </w:p>
        </w:tc>
        <w:tc>
          <w:tcPr>
            <w:tcW w:w="627" w:type="pct"/>
            <w:vAlign w:val="center"/>
          </w:tcPr>
          <w:p w14:paraId="657A355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学校</w:t>
            </w:r>
          </w:p>
        </w:tc>
        <w:tc>
          <w:tcPr>
            <w:tcW w:w="495" w:type="pct"/>
            <w:noWrap/>
            <w:vAlign w:val="center"/>
          </w:tcPr>
          <w:p w14:paraId="0FB68EE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2200</w:t>
            </w:r>
          </w:p>
        </w:tc>
      </w:tr>
      <w:tr w14:paraId="61B534E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31C6A21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142</w:t>
            </w:r>
          </w:p>
        </w:tc>
        <w:tc>
          <w:tcPr>
            <w:tcW w:w="507" w:type="pct"/>
            <w:vMerge w:val="continue"/>
            <w:vAlign w:val="center"/>
          </w:tcPr>
          <w:p w14:paraId="673DB32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045A3F3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汇德园</w:t>
            </w:r>
          </w:p>
        </w:tc>
        <w:tc>
          <w:tcPr>
            <w:tcW w:w="468" w:type="pct"/>
            <w:vAlign w:val="center"/>
          </w:tcPr>
          <w:p w14:paraId="48F30FF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西北</w:t>
            </w:r>
          </w:p>
        </w:tc>
        <w:tc>
          <w:tcPr>
            <w:tcW w:w="535" w:type="pct"/>
            <w:vAlign w:val="center"/>
          </w:tcPr>
          <w:p w14:paraId="1C5A497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4642</w:t>
            </w:r>
          </w:p>
        </w:tc>
        <w:tc>
          <w:tcPr>
            <w:tcW w:w="627" w:type="pct"/>
            <w:vAlign w:val="center"/>
          </w:tcPr>
          <w:p w14:paraId="153A990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居民区</w:t>
            </w:r>
          </w:p>
        </w:tc>
        <w:tc>
          <w:tcPr>
            <w:tcW w:w="495" w:type="pct"/>
            <w:noWrap/>
            <w:vAlign w:val="center"/>
          </w:tcPr>
          <w:p w14:paraId="15B23E3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680</w:t>
            </w:r>
          </w:p>
        </w:tc>
      </w:tr>
      <w:tr w14:paraId="101482F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3F517E5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143</w:t>
            </w:r>
          </w:p>
        </w:tc>
        <w:tc>
          <w:tcPr>
            <w:tcW w:w="507" w:type="pct"/>
            <w:vMerge w:val="continue"/>
            <w:vAlign w:val="center"/>
          </w:tcPr>
          <w:p w14:paraId="007DEB4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40B00EC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天瑞庭苑</w:t>
            </w:r>
          </w:p>
        </w:tc>
        <w:tc>
          <w:tcPr>
            <w:tcW w:w="468" w:type="pct"/>
            <w:vAlign w:val="center"/>
          </w:tcPr>
          <w:p w14:paraId="3B07BFE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西北</w:t>
            </w:r>
          </w:p>
        </w:tc>
        <w:tc>
          <w:tcPr>
            <w:tcW w:w="535" w:type="pct"/>
            <w:vAlign w:val="center"/>
          </w:tcPr>
          <w:p w14:paraId="13C1E5D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4507</w:t>
            </w:r>
          </w:p>
        </w:tc>
        <w:tc>
          <w:tcPr>
            <w:tcW w:w="627" w:type="pct"/>
            <w:vAlign w:val="center"/>
          </w:tcPr>
          <w:p w14:paraId="5B9A6F9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居民区</w:t>
            </w:r>
          </w:p>
        </w:tc>
        <w:tc>
          <w:tcPr>
            <w:tcW w:w="495" w:type="pct"/>
            <w:noWrap/>
            <w:vAlign w:val="center"/>
          </w:tcPr>
          <w:p w14:paraId="506DE10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200</w:t>
            </w:r>
          </w:p>
        </w:tc>
      </w:tr>
      <w:tr w14:paraId="6EDE989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1569742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144</w:t>
            </w:r>
          </w:p>
        </w:tc>
        <w:tc>
          <w:tcPr>
            <w:tcW w:w="507" w:type="pct"/>
            <w:vMerge w:val="continue"/>
            <w:vAlign w:val="center"/>
          </w:tcPr>
          <w:p w14:paraId="7CAEB85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1599FA2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海韵园</w:t>
            </w:r>
          </w:p>
        </w:tc>
        <w:tc>
          <w:tcPr>
            <w:tcW w:w="468" w:type="pct"/>
            <w:vAlign w:val="center"/>
          </w:tcPr>
          <w:p w14:paraId="512904A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西北</w:t>
            </w:r>
          </w:p>
        </w:tc>
        <w:tc>
          <w:tcPr>
            <w:tcW w:w="535" w:type="pct"/>
            <w:vAlign w:val="center"/>
          </w:tcPr>
          <w:p w14:paraId="1C0B93B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4279</w:t>
            </w:r>
          </w:p>
        </w:tc>
        <w:tc>
          <w:tcPr>
            <w:tcW w:w="627" w:type="pct"/>
            <w:vAlign w:val="center"/>
          </w:tcPr>
          <w:p w14:paraId="672AB16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居民区</w:t>
            </w:r>
          </w:p>
        </w:tc>
        <w:tc>
          <w:tcPr>
            <w:tcW w:w="495" w:type="pct"/>
            <w:noWrap/>
            <w:vAlign w:val="center"/>
          </w:tcPr>
          <w:p w14:paraId="1524887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800</w:t>
            </w:r>
          </w:p>
        </w:tc>
      </w:tr>
      <w:tr w14:paraId="7E5C49A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4514F9D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145</w:t>
            </w:r>
          </w:p>
        </w:tc>
        <w:tc>
          <w:tcPr>
            <w:tcW w:w="507" w:type="pct"/>
            <w:vMerge w:val="continue"/>
            <w:vAlign w:val="center"/>
          </w:tcPr>
          <w:p w14:paraId="20E1D4F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1E0D170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泰达风景</w:t>
            </w:r>
          </w:p>
        </w:tc>
        <w:tc>
          <w:tcPr>
            <w:tcW w:w="468" w:type="pct"/>
            <w:vAlign w:val="center"/>
          </w:tcPr>
          <w:p w14:paraId="23127B0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西北</w:t>
            </w:r>
          </w:p>
        </w:tc>
        <w:tc>
          <w:tcPr>
            <w:tcW w:w="535" w:type="pct"/>
            <w:vAlign w:val="center"/>
          </w:tcPr>
          <w:p w14:paraId="0418744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4068</w:t>
            </w:r>
          </w:p>
        </w:tc>
        <w:tc>
          <w:tcPr>
            <w:tcW w:w="627" w:type="pct"/>
            <w:vAlign w:val="center"/>
          </w:tcPr>
          <w:p w14:paraId="7D83064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居民区</w:t>
            </w:r>
          </w:p>
        </w:tc>
        <w:tc>
          <w:tcPr>
            <w:tcW w:w="495" w:type="pct"/>
            <w:noWrap/>
            <w:vAlign w:val="center"/>
          </w:tcPr>
          <w:p w14:paraId="3883888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4000</w:t>
            </w:r>
          </w:p>
        </w:tc>
      </w:tr>
      <w:tr w14:paraId="72F2888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49F1D46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146</w:t>
            </w:r>
          </w:p>
        </w:tc>
        <w:tc>
          <w:tcPr>
            <w:tcW w:w="507" w:type="pct"/>
            <w:vMerge w:val="continue"/>
            <w:vAlign w:val="center"/>
          </w:tcPr>
          <w:p w14:paraId="3DB2205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735194C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泰达印象</w:t>
            </w:r>
          </w:p>
        </w:tc>
        <w:tc>
          <w:tcPr>
            <w:tcW w:w="468" w:type="pct"/>
            <w:vAlign w:val="center"/>
          </w:tcPr>
          <w:p w14:paraId="56BBD47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西北</w:t>
            </w:r>
          </w:p>
        </w:tc>
        <w:tc>
          <w:tcPr>
            <w:tcW w:w="535" w:type="pct"/>
            <w:vAlign w:val="center"/>
          </w:tcPr>
          <w:p w14:paraId="4FC0032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4046</w:t>
            </w:r>
          </w:p>
        </w:tc>
        <w:tc>
          <w:tcPr>
            <w:tcW w:w="627" w:type="pct"/>
            <w:vAlign w:val="center"/>
          </w:tcPr>
          <w:p w14:paraId="65C30F4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居民区</w:t>
            </w:r>
          </w:p>
        </w:tc>
        <w:tc>
          <w:tcPr>
            <w:tcW w:w="495" w:type="pct"/>
            <w:noWrap/>
            <w:vAlign w:val="center"/>
          </w:tcPr>
          <w:p w14:paraId="46188E8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600</w:t>
            </w:r>
          </w:p>
        </w:tc>
      </w:tr>
      <w:tr w14:paraId="7107385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5D02F04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147</w:t>
            </w:r>
          </w:p>
        </w:tc>
        <w:tc>
          <w:tcPr>
            <w:tcW w:w="507" w:type="pct"/>
            <w:vMerge w:val="continue"/>
            <w:vAlign w:val="center"/>
          </w:tcPr>
          <w:p w14:paraId="390C518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320F613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海信园</w:t>
            </w:r>
          </w:p>
        </w:tc>
        <w:tc>
          <w:tcPr>
            <w:tcW w:w="468" w:type="pct"/>
            <w:vAlign w:val="center"/>
          </w:tcPr>
          <w:p w14:paraId="39087FE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西北</w:t>
            </w:r>
          </w:p>
        </w:tc>
        <w:tc>
          <w:tcPr>
            <w:tcW w:w="535" w:type="pct"/>
            <w:vAlign w:val="center"/>
          </w:tcPr>
          <w:p w14:paraId="5C8D920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3844</w:t>
            </w:r>
          </w:p>
        </w:tc>
        <w:tc>
          <w:tcPr>
            <w:tcW w:w="627" w:type="pct"/>
            <w:vAlign w:val="center"/>
          </w:tcPr>
          <w:p w14:paraId="297E2CD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居民区</w:t>
            </w:r>
          </w:p>
        </w:tc>
        <w:tc>
          <w:tcPr>
            <w:tcW w:w="495" w:type="pct"/>
            <w:noWrap/>
            <w:vAlign w:val="center"/>
          </w:tcPr>
          <w:p w14:paraId="64D27D5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1000</w:t>
            </w:r>
          </w:p>
        </w:tc>
      </w:tr>
      <w:tr w14:paraId="45CBDAD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3FBB64D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148</w:t>
            </w:r>
          </w:p>
        </w:tc>
        <w:tc>
          <w:tcPr>
            <w:tcW w:w="507" w:type="pct"/>
            <w:vMerge w:val="continue"/>
            <w:vAlign w:val="center"/>
          </w:tcPr>
          <w:p w14:paraId="7BCFB55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32614B8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海诚园</w:t>
            </w:r>
          </w:p>
        </w:tc>
        <w:tc>
          <w:tcPr>
            <w:tcW w:w="468" w:type="pct"/>
            <w:vAlign w:val="center"/>
          </w:tcPr>
          <w:p w14:paraId="13ABB08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西北</w:t>
            </w:r>
          </w:p>
        </w:tc>
        <w:tc>
          <w:tcPr>
            <w:tcW w:w="535" w:type="pct"/>
            <w:vAlign w:val="center"/>
          </w:tcPr>
          <w:p w14:paraId="60092DE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3691</w:t>
            </w:r>
          </w:p>
        </w:tc>
        <w:tc>
          <w:tcPr>
            <w:tcW w:w="627" w:type="pct"/>
            <w:vAlign w:val="center"/>
          </w:tcPr>
          <w:p w14:paraId="243F3C0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居民区</w:t>
            </w:r>
          </w:p>
        </w:tc>
        <w:tc>
          <w:tcPr>
            <w:tcW w:w="495" w:type="pct"/>
            <w:noWrap/>
            <w:vAlign w:val="center"/>
          </w:tcPr>
          <w:p w14:paraId="61AFA90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50</w:t>
            </w:r>
          </w:p>
        </w:tc>
      </w:tr>
      <w:tr w14:paraId="1D95DBF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09823C5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149</w:t>
            </w:r>
          </w:p>
        </w:tc>
        <w:tc>
          <w:tcPr>
            <w:tcW w:w="507" w:type="pct"/>
            <w:vMerge w:val="continue"/>
            <w:vAlign w:val="center"/>
          </w:tcPr>
          <w:p w14:paraId="13F4819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1191A79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房信海景郦都</w:t>
            </w:r>
          </w:p>
        </w:tc>
        <w:tc>
          <w:tcPr>
            <w:tcW w:w="468" w:type="pct"/>
            <w:vAlign w:val="center"/>
          </w:tcPr>
          <w:p w14:paraId="3CF5B12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西北</w:t>
            </w:r>
          </w:p>
        </w:tc>
        <w:tc>
          <w:tcPr>
            <w:tcW w:w="535" w:type="pct"/>
            <w:vAlign w:val="center"/>
          </w:tcPr>
          <w:p w14:paraId="74D0ECC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4069</w:t>
            </w:r>
          </w:p>
        </w:tc>
        <w:tc>
          <w:tcPr>
            <w:tcW w:w="627" w:type="pct"/>
            <w:vAlign w:val="center"/>
          </w:tcPr>
          <w:p w14:paraId="79C6B1D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居民区</w:t>
            </w:r>
          </w:p>
        </w:tc>
        <w:tc>
          <w:tcPr>
            <w:tcW w:w="495" w:type="pct"/>
            <w:noWrap/>
            <w:vAlign w:val="center"/>
          </w:tcPr>
          <w:p w14:paraId="009E257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3000</w:t>
            </w:r>
          </w:p>
        </w:tc>
      </w:tr>
      <w:tr w14:paraId="2B15023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0459685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150</w:t>
            </w:r>
          </w:p>
        </w:tc>
        <w:tc>
          <w:tcPr>
            <w:tcW w:w="507" w:type="pct"/>
            <w:vMerge w:val="continue"/>
            <w:vAlign w:val="center"/>
          </w:tcPr>
          <w:p w14:paraId="6FB63B7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43AD1E9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房信海景园</w:t>
            </w:r>
          </w:p>
        </w:tc>
        <w:tc>
          <w:tcPr>
            <w:tcW w:w="468" w:type="pct"/>
            <w:vAlign w:val="center"/>
          </w:tcPr>
          <w:p w14:paraId="1983D7D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西北</w:t>
            </w:r>
          </w:p>
        </w:tc>
        <w:tc>
          <w:tcPr>
            <w:tcW w:w="535" w:type="pct"/>
            <w:vAlign w:val="center"/>
          </w:tcPr>
          <w:p w14:paraId="61D81C6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3973</w:t>
            </w:r>
          </w:p>
        </w:tc>
        <w:tc>
          <w:tcPr>
            <w:tcW w:w="627" w:type="pct"/>
            <w:vAlign w:val="center"/>
          </w:tcPr>
          <w:p w14:paraId="5586314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居民区</w:t>
            </w:r>
          </w:p>
        </w:tc>
        <w:tc>
          <w:tcPr>
            <w:tcW w:w="495" w:type="pct"/>
            <w:noWrap/>
            <w:vAlign w:val="center"/>
          </w:tcPr>
          <w:p w14:paraId="2205F57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1500</w:t>
            </w:r>
          </w:p>
        </w:tc>
      </w:tr>
      <w:tr w14:paraId="4DCD67F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78F2E8D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151</w:t>
            </w:r>
          </w:p>
        </w:tc>
        <w:tc>
          <w:tcPr>
            <w:tcW w:w="507" w:type="pct"/>
            <w:vMerge w:val="continue"/>
            <w:vAlign w:val="center"/>
          </w:tcPr>
          <w:p w14:paraId="34F838F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6EB1E08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心港东城名都汇丰园</w:t>
            </w:r>
          </w:p>
        </w:tc>
        <w:tc>
          <w:tcPr>
            <w:tcW w:w="468" w:type="pct"/>
            <w:vAlign w:val="center"/>
          </w:tcPr>
          <w:p w14:paraId="7672DA6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西北</w:t>
            </w:r>
          </w:p>
        </w:tc>
        <w:tc>
          <w:tcPr>
            <w:tcW w:w="535" w:type="pct"/>
            <w:vAlign w:val="center"/>
          </w:tcPr>
          <w:p w14:paraId="10BB96D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4211</w:t>
            </w:r>
          </w:p>
        </w:tc>
        <w:tc>
          <w:tcPr>
            <w:tcW w:w="627" w:type="pct"/>
            <w:vAlign w:val="center"/>
          </w:tcPr>
          <w:p w14:paraId="66C63CD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居民区</w:t>
            </w:r>
          </w:p>
        </w:tc>
        <w:tc>
          <w:tcPr>
            <w:tcW w:w="495" w:type="pct"/>
            <w:noWrap/>
            <w:vAlign w:val="center"/>
          </w:tcPr>
          <w:p w14:paraId="0D0166D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2000</w:t>
            </w:r>
          </w:p>
        </w:tc>
      </w:tr>
      <w:tr w14:paraId="6E4BECD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289FFA5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152</w:t>
            </w:r>
          </w:p>
        </w:tc>
        <w:tc>
          <w:tcPr>
            <w:tcW w:w="507" w:type="pct"/>
            <w:vMerge w:val="continue"/>
            <w:vAlign w:val="center"/>
          </w:tcPr>
          <w:p w14:paraId="2CD9BA8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75E6970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心港东城名都汇康园</w:t>
            </w:r>
          </w:p>
        </w:tc>
        <w:tc>
          <w:tcPr>
            <w:tcW w:w="468" w:type="pct"/>
            <w:vAlign w:val="center"/>
          </w:tcPr>
          <w:p w14:paraId="43035B4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西北</w:t>
            </w:r>
          </w:p>
        </w:tc>
        <w:tc>
          <w:tcPr>
            <w:tcW w:w="535" w:type="pct"/>
            <w:vAlign w:val="center"/>
          </w:tcPr>
          <w:p w14:paraId="5214C8B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4378</w:t>
            </w:r>
          </w:p>
        </w:tc>
        <w:tc>
          <w:tcPr>
            <w:tcW w:w="627" w:type="pct"/>
            <w:vAlign w:val="center"/>
          </w:tcPr>
          <w:p w14:paraId="71D0937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居民区</w:t>
            </w:r>
          </w:p>
        </w:tc>
        <w:tc>
          <w:tcPr>
            <w:tcW w:w="495" w:type="pct"/>
            <w:noWrap/>
            <w:vAlign w:val="center"/>
          </w:tcPr>
          <w:p w14:paraId="1AB9958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3000</w:t>
            </w:r>
          </w:p>
        </w:tc>
      </w:tr>
      <w:tr w14:paraId="0E08E31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6981655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153</w:t>
            </w:r>
          </w:p>
        </w:tc>
        <w:tc>
          <w:tcPr>
            <w:tcW w:w="507" w:type="pct"/>
            <w:vMerge w:val="continue"/>
            <w:vAlign w:val="center"/>
          </w:tcPr>
          <w:p w14:paraId="7D0DBC8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4AA290D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福芳园</w:t>
            </w:r>
          </w:p>
        </w:tc>
        <w:tc>
          <w:tcPr>
            <w:tcW w:w="468" w:type="pct"/>
            <w:vAlign w:val="center"/>
          </w:tcPr>
          <w:p w14:paraId="2D5838F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西北</w:t>
            </w:r>
          </w:p>
        </w:tc>
        <w:tc>
          <w:tcPr>
            <w:tcW w:w="535" w:type="pct"/>
            <w:vAlign w:val="center"/>
          </w:tcPr>
          <w:p w14:paraId="0029E63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4648</w:t>
            </w:r>
          </w:p>
        </w:tc>
        <w:tc>
          <w:tcPr>
            <w:tcW w:w="627" w:type="pct"/>
            <w:vAlign w:val="center"/>
          </w:tcPr>
          <w:p w14:paraId="4278225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居民区</w:t>
            </w:r>
          </w:p>
        </w:tc>
        <w:tc>
          <w:tcPr>
            <w:tcW w:w="495" w:type="pct"/>
            <w:noWrap/>
            <w:vAlign w:val="center"/>
          </w:tcPr>
          <w:p w14:paraId="7178F2E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3000</w:t>
            </w:r>
          </w:p>
        </w:tc>
      </w:tr>
      <w:tr w14:paraId="1145C69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57C1089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154</w:t>
            </w:r>
          </w:p>
        </w:tc>
        <w:tc>
          <w:tcPr>
            <w:tcW w:w="507" w:type="pct"/>
            <w:vMerge w:val="continue"/>
            <w:vAlign w:val="center"/>
          </w:tcPr>
          <w:p w14:paraId="7F3DAC9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45DCF15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福欣园</w:t>
            </w:r>
          </w:p>
        </w:tc>
        <w:tc>
          <w:tcPr>
            <w:tcW w:w="468" w:type="pct"/>
            <w:vAlign w:val="center"/>
          </w:tcPr>
          <w:p w14:paraId="0913D36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西北</w:t>
            </w:r>
          </w:p>
        </w:tc>
        <w:tc>
          <w:tcPr>
            <w:tcW w:w="535" w:type="pct"/>
            <w:vAlign w:val="center"/>
          </w:tcPr>
          <w:p w14:paraId="023260A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4852</w:t>
            </w:r>
          </w:p>
        </w:tc>
        <w:tc>
          <w:tcPr>
            <w:tcW w:w="627" w:type="pct"/>
            <w:vAlign w:val="center"/>
          </w:tcPr>
          <w:p w14:paraId="37E390E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居民区</w:t>
            </w:r>
          </w:p>
        </w:tc>
        <w:tc>
          <w:tcPr>
            <w:tcW w:w="495" w:type="pct"/>
            <w:noWrap/>
            <w:vAlign w:val="center"/>
          </w:tcPr>
          <w:p w14:paraId="70B987F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2500</w:t>
            </w:r>
          </w:p>
        </w:tc>
      </w:tr>
      <w:tr w14:paraId="72BD4FF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562223F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155</w:t>
            </w:r>
          </w:p>
        </w:tc>
        <w:tc>
          <w:tcPr>
            <w:tcW w:w="507" w:type="pct"/>
            <w:vMerge w:val="continue"/>
            <w:vAlign w:val="center"/>
          </w:tcPr>
          <w:p w14:paraId="1A0B732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553E33F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务实幼教集团第四幼儿园</w:t>
            </w:r>
          </w:p>
        </w:tc>
        <w:tc>
          <w:tcPr>
            <w:tcW w:w="468" w:type="pct"/>
            <w:vAlign w:val="center"/>
          </w:tcPr>
          <w:p w14:paraId="530C3FC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西北</w:t>
            </w:r>
          </w:p>
        </w:tc>
        <w:tc>
          <w:tcPr>
            <w:tcW w:w="535" w:type="pct"/>
            <w:vAlign w:val="center"/>
          </w:tcPr>
          <w:p w14:paraId="4FAC196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4565</w:t>
            </w:r>
          </w:p>
        </w:tc>
        <w:tc>
          <w:tcPr>
            <w:tcW w:w="627" w:type="pct"/>
            <w:vAlign w:val="center"/>
          </w:tcPr>
          <w:p w14:paraId="6BE6B4C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学校</w:t>
            </w:r>
          </w:p>
        </w:tc>
        <w:tc>
          <w:tcPr>
            <w:tcW w:w="495" w:type="pct"/>
            <w:noWrap/>
            <w:vAlign w:val="center"/>
          </w:tcPr>
          <w:p w14:paraId="47DEAE1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200</w:t>
            </w:r>
          </w:p>
        </w:tc>
      </w:tr>
      <w:tr w14:paraId="3DF1BBD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2441C70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156</w:t>
            </w:r>
          </w:p>
        </w:tc>
        <w:tc>
          <w:tcPr>
            <w:tcW w:w="507" w:type="pct"/>
            <w:vMerge w:val="continue"/>
            <w:vAlign w:val="center"/>
          </w:tcPr>
          <w:p w14:paraId="2504E20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0C8997E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大港福源小学</w:t>
            </w:r>
          </w:p>
        </w:tc>
        <w:tc>
          <w:tcPr>
            <w:tcW w:w="468" w:type="pct"/>
            <w:vAlign w:val="center"/>
          </w:tcPr>
          <w:p w14:paraId="13D0775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西北</w:t>
            </w:r>
          </w:p>
        </w:tc>
        <w:tc>
          <w:tcPr>
            <w:tcW w:w="535" w:type="pct"/>
            <w:vAlign w:val="center"/>
          </w:tcPr>
          <w:p w14:paraId="3BDD8D1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4598</w:t>
            </w:r>
          </w:p>
        </w:tc>
        <w:tc>
          <w:tcPr>
            <w:tcW w:w="627" w:type="pct"/>
            <w:vAlign w:val="center"/>
          </w:tcPr>
          <w:p w14:paraId="492DAB4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学校</w:t>
            </w:r>
          </w:p>
        </w:tc>
        <w:tc>
          <w:tcPr>
            <w:tcW w:w="495" w:type="pct"/>
            <w:noWrap/>
            <w:vAlign w:val="center"/>
          </w:tcPr>
          <w:p w14:paraId="7C53B95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800</w:t>
            </w:r>
          </w:p>
        </w:tc>
      </w:tr>
      <w:tr w14:paraId="09421CA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39725CA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157</w:t>
            </w:r>
          </w:p>
        </w:tc>
        <w:tc>
          <w:tcPr>
            <w:tcW w:w="507" w:type="pct"/>
            <w:vMerge w:val="continue"/>
            <w:vAlign w:val="center"/>
          </w:tcPr>
          <w:p w14:paraId="10784FD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760F6CF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福满园</w:t>
            </w:r>
          </w:p>
        </w:tc>
        <w:tc>
          <w:tcPr>
            <w:tcW w:w="468" w:type="pct"/>
            <w:vAlign w:val="center"/>
          </w:tcPr>
          <w:p w14:paraId="143967C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西北</w:t>
            </w:r>
          </w:p>
        </w:tc>
        <w:tc>
          <w:tcPr>
            <w:tcW w:w="535" w:type="pct"/>
            <w:vAlign w:val="center"/>
          </w:tcPr>
          <w:p w14:paraId="2FACD34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4901</w:t>
            </w:r>
          </w:p>
        </w:tc>
        <w:tc>
          <w:tcPr>
            <w:tcW w:w="627" w:type="pct"/>
            <w:vAlign w:val="center"/>
          </w:tcPr>
          <w:p w14:paraId="530C50C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居民区</w:t>
            </w:r>
          </w:p>
        </w:tc>
        <w:tc>
          <w:tcPr>
            <w:tcW w:w="495" w:type="pct"/>
            <w:noWrap/>
            <w:vAlign w:val="center"/>
          </w:tcPr>
          <w:p w14:paraId="78A1180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3000</w:t>
            </w:r>
          </w:p>
        </w:tc>
      </w:tr>
      <w:tr w14:paraId="13C41E5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2223DCE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158</w:t>
            </w:r>
          </w:p>
        </w:tc>
        <w:tc>
          <w:tcPr>
            <w:tcW w:w="507" w:type="pct"/>
            <w:vMerge w:val="continue"/>
            <w:vAlign w:val="center"/>
          </w:tcPr>
          <w:p w14:paraId="6062FD1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0624698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福润园</w:t>
            </w:r>
          </w:p>
        </w:tc>
        <w:tc>
          <w:tcPr>
            <w:tcW w:w="468" w:type="pct"/>
            <w:vAlign w:val="center"/>
          </w:tcPr>
          <w:p w14:paraId="1103F2F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西北</w:t>
            </w:r>
          </w:p>
        </w:tc>
        <w:tc>
          <w:tcPr>
            <w:tcW w:w="535" w:type="pct"/>
            <w:vAlign w:val="center"/>
          </w:tcPr>
          <w:p w14:paraId="1C05D85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4920</w:t>
            </w:r>
          </w:p>
        </w:tc>
        <w:tc>
          <w:tcPr>
            <w:tcW w:w="627" w:type="pct"/>
            <w:vAlign w:val="center"/>
          </w:tcPr>
          <w:p w14:paraId="6567C00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居民区</w:t>
            </w:r>
          </w:p>
        </w:tc>
        <w:tc>
          <w:tcPr>
            <w:tcW w:w="495" w:type="pct"/>
            <w:noWrap/>
            <w:vAlign w:val="center"/>
          </w:tcPr>
          <w:p w14:paraId="1BD7947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1200</w:t>
            </w:r>
          </w:p>
        </w:tc>
      </w:tr>
      <w:tr w14:paraId="419FBBC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7DCA08C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159</w:t>
            </w:r>
          </w:p>
        </w:tc>
        <w:tc>
          <w:tcPr>
            <w:tcW w:w="507" w:type="pct"/>
            <w:vMerge w:val="continue"/>
            <w:vAlign w:val="center"/>
          </w:tcPr>
          <w:p w14:paraId="501D071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337974C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福港园</w:t>
            </w:r>
          </w:p>
        </w:tc>
        <w:tc>
          <w:tcPr>
            <w:tcW w:w="468" w:type="pct"/>
            <w:vAlign w:val="center"/>
          </w:tcPr>
          <w:p w14:paraId="31F71A0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西北</w:t>
            </w:r>
          </w:p>
        </w:tc>
        <w:tc>
          <w:tcPr>
            <w:tcW w:w="535" w:type="pct"/>
            <w:vAlign w:val="center"/>
          </w:tcPr>
          <w:p w14:paraId="072D741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4813</w:t>
            </w:r>
          </w:p>
        </w:tc>
        <w:tc>
          <w:tcPr>
            <w:tcW w:w="627" w:type="pct"/>
            <w:vAlign w:val="center"/>
          </w:tcPr>
          <w:p w14:paraId="72AC1D6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居民区</w:t>
            </w:r>
          </w:p>
        </w:tc>
        <w:tc>
          <w:tcPr>
            <w:tcW w:w="495" w:type="pct"/>
            <w:noWrap/>
            <w:vAlign w:val="center"/>
          </w:tcPr>
          <w:p w14:paraId="4A48423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2400</w:t>
            </w:r>
          </w:p>
        </w:tc>
      </w:tr>
      <w:tr w14:paraId="2C8E1BB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72A9C5E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160</w:t>
            </w:r>
          </w:p>
        </w:tc>
        <w:tc>
          <w:tcPr>
            <w:tcW w:w="507" w:type="pct"/>
            <w:vMerge w:val="continue"/>
            <w:vAlign w:val="center"/>
          </w:tcPr>
          <w:p w14:paraId="0016714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67BFF3A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福泽园</w:t>
            </w:r>
          </w:p>
        </w:tc>
        <w:tc>
          <w:tcPr>
            <w:tcW w:w="468" w:type="pct"/>
            <w:vAlign w:val="center"/>
          </w:tcPr>
          <w:p w14:paraId="6285C03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西北</w:t>
            </w:r>
          </w:p>
        </w:tc>
        <w:tc>
          <w:tcPr>
            <w:tcW w:w="535" w:type="pct"/>
            <w:vAlign w:val="center"/>
          </w:tcPr>
          <w:p w14:paraId="479BE98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4953</w:t>
            </w:r>
          </w:p>
        </w:tc>
        <w:tc>
          <w:tcPr>
            <w:tcW w:w="627" w:type="pct"/>
            <w:vAlign w:val="center"/>
          </w:tcPr>
          <w:p w14:paraId="39E7BE0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居民区</w:t>
            </w:r>
          </w:p>
        </w:tc>
        <w:tc>
          <w:tcPr>
            <w:tcW w:w="495" w:type="pct"/>
            <w:noWrap/>
            <w:vAlign w:val="center"/>
          </w:tcPr>
          <w:p w14:paraId="1AC6788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3600</w:t>
            </w:r>
          </w:p>
        </w:tc>
      </w:tr>
      <w:tr w14:paraId="79BFD82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180B826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161</w:t>
            </w:r>
          </w:p>
        </w:tc>
        <w:tc>
          <w:tcPr>
            <w:tcW w:w="507" w:type="pct"/>
            <w:vMerge w:val="continue"/>
            <w:vAlign w:val="center"/>
          </w:tcPr>
          <w:p w14:paraId="521025D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50F4791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福津园</w:t>
            </w:r>
          </w:p>
        </w:tc>
        <w:tc>
          <w:tcPr>
            <w:tcW w:w="468" w:type="pct"/>
            <w:vAlign w:val="center"/>
          </w:tcPr>
          <w:p w14:paraId="32C0057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西北</w:t>
            </w:r>
          </w:p>
        </w:tc>
        <w:tc>
          <w:tcPr>
            <w:tcW w:w="535" w:type="pct"/>
            <w:vAlign w:val="center"/>
          </w:tcPr>
          <w:p w14:paraId="32D82DC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4447</w:t>
            </w:r>
          </w:p>
        </w:tc>
        <w:tc>
          <w:tcPr>
            <w:tcW w:w="627" w:type="pct"/>
            <w:vAlign w:val="center"/>
          </w:tcPr>
          <w:p w14:paraId="46C0F65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居民区</w:t>
            </w:r>
          </w:p>
        </w:tc>
        <w:tc>
          <w:tcPr>
            <w:tcW w:w="495" w:type="pct"/>
            <w:noWrap/>
            <w:vAlign w:val="center"/>
          </w:tcPr>
          <w:p w14:paraId="0E2AE24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3000</w:t>
            </w:r>
          </w:p>
        </w:tc>
      </w:tr>
      <w:tr w14:paraId="7CF53D3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05EDAE5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162</w:t>
            </w:r>
          </w:p>
        </w:tc>
        <w:tc>
          <w:tcPr>
            <w:tcW w:w="507" w:type="pct"/>
            <w:vMerge w:val="continue"/>
            <w:vAlign w:val="center"/>
          </w:tcPr>
          <w:p w14:paraId="4D5CBD7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2AE3E06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福渔园西区</w:t>
            </w:r>
          </w:p>
        </w:tc>
        <w:tc>
          <w:tcPr>
            <w:tcW w:w="468" w:type="pct"/>
            <w:vAlign w:val="center"/>
          </w:tcPr>
          <w:p w14:paraId="0800BA6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西北</w:t>
            </w:r>
          </w:p>
        </w:tc>
        <w:tc>
          <w:tcPr>
            <w:tcW w:w="535" w:type="pct"/>
            <w:vAlign w:val="center"/>
          </w:tcPr>
          <w:p w14:paraId="58C1814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4410</w:t>
            </w:r>
          </w:p>
        </w:tc>
        <w:tc>
          <w:tcPr>
            <w:tcW w:w="627" w:type="pct"/>
            <w:vAlign w:val="center"/>
          </w:tcPr>
          <w:p w14:paraId="79AF1F8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居民区</w:t>
            </w:r>
          </w:p>
        </w:tc>
        <w:tc>
          <w:tcPr>
            <w:tcW w:w="495" w:type="pct"/>
            <w:noWrap/>
            <w:vAlign w:val="center"/>
          </w:tcPr>
          <w:p w14:paraId="3A0D635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1200</w:t>
            </w:r>
          </w:p>
        </w:tc>
      </w:tr>
      <w:tr w14:paraId="715EE78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51AFDC3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163</w:t>
            </w:r>
          </w:p>
        </w:tc>
        <w:tc>
          <w:tcPr>
            <w:tcW w:w="507" w:type="pct"/>
            <w:vMerge w:val="continue"/>
            <w:vAlign w:val="center"/>
          </w:tcPr>
          <w:p w14:paraId="56D29CA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09CFE43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枫尚河院</w:t>
            </w:r>
          </w:p>
        </w:tc>
        <w:tc>
          <w:tcPr>
            <w:tcW w:w="468" w:type="pct"/>
            <w:vAlign w:val="center"/>
          </w:tcPr>
          <w:p w14:paraId="754977F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西北</w:t>
            </w:r>
          </w:p>
        </w:tc>
        <w:tc>
          <w:tcPr>
            <w:tcW w:w="535" w:type="pct"/>
            <w:vAlign w:val="center"/>
          </w:tcPr>
          <w:p w14:paraId="7F4A5B3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4298</w:t>
            </w:r>
          </w:p>
        </w:tc>
        <w:tc>
          <w:tcPr>
            <w:tcW w:w="627" w:type="pct"/>
            <w:vAlign w:val="center"/>
          </w:tcPr>
          <w:p w14:paraId="17B6429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居民区</w:t>
            </w:r>
          </w:p>
        </w:tc>
        <w:tc>
          <w:tcPr>
            <w:tcW w:w="495" w:type="pct"/>
            <w:noWrap/>
            <w:vAlign w:val="center"/>
          </w:tcPr>
          <w:p w14:paraId="79C92F3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1500</w:t>
            </w:r>
          </w:p>
        </w:tc>
      </w:tr>
      <w:tr w14:paraId="5289FA5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24E6911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164</w:t>
            </w:r>
          </w:p>
        </w:tc>
        <w:tc>
          <w:tcPr>
            <w:tcW w:w="507" w:type="pct"/>
            <w:vMerge w:val="continue"/>
            <w:vAlign w:val="center"/>
          </w:tcPr>
          <w:p w14:paraId="399A911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30EF3BE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福渔园</w:t>
            </w:r>
          </w:p>
        </w:tc>
        <w:tc>
          <w:tcPr>
            <w:tcW w:w="468" w:type="pct"/>
            <w:vAlign w:val="center"/>
          </w:tcPr>
          <w:p w14:paraId="48D0D42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西北</w:t>
            </w:r>
          </w:p>
        </w:tc>
        <w:tc>
          <w:tcPr>
            <w:tcW w:w="535" w:type="pct"/>
            <w:vAlign w:val="center"/>
          </w:tcPr>
          <w:p w14:paraId="2B94BB9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4308</w:t>
            </w:r>
          </w:p>
        </w:tc>
        <w:tc>
          <w:tcPr>
            <w:tcW w:w="627" w:type="pct"/>
            <w:vAlign w:val="center"/>
          </w:tcPr>
          <w:p w14:paraId="4BA9C4F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居民区</w:t>
            </w:r>
          </w:p>
        </w:tc>
        <w:tc>
          <w:tcPr>
            <w:tcW w:w="495" w:type="pct"/>
            <w:noWrap/>
            <w:vAlign w:val="center"/>
          </w:tcPr>
          <w:p w14:paraId="2942C6E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5400</w:t>
            </w:r>
          </w:p>
        </w:tc>
      </w:tr>
      <w:tr w14:paraId="5BD0450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01AFFCA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165</w:t>
            </w:r>
          </w:p>
        </w:tc>
        <w:tc>
          <w:tcPr>
            <w:tcW w:w="507" w:type="pct"/>
            <w:vMerge w:val="continue"/>
            <w:vAlign w:val="center"/>
          </w:tcPr>
          <w:p w14:paraId="250A749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0388326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大港一中</w:t>
            </w:r>
          </w:p>
        </w:tc>
        <w:tc>
          <w:tcPr>
            <w:tcW w:w="468" w:type="pct"/>
            <w:vAlign w:val="center"/>
          </w:tcPr>
          <w:p w14:paraId="57440FE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西北</w:t>
            </w:r>
          </w:p>
        </w:tc>
        <w:tc>
          <w:tcPr>
            <w:tcW w:w="535" w:type="pct"/>
            <w:vAlign w:val="center"/>
          </w:tcPr>
          <w:p w14:paraId="13C6216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4681</w:t>
            </w:r>
          </w:p>
        </w:tc>
        <w:tc>
          <w:tcPr>
            <w:tcW w:w="627" w:type="pct"/>
            <w:vAlign w:val="center"/>
          </w:tcPr>
          <w:p w14:paraId="6F72F19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居民区</w:t>
            </w:r>
          </w:p>
        </w:tc>
        <w:tc>
          <w:tcPr>
            <w:tcW w:w="495" w:type="pct"/>
            <w:noWrap/>
            <w:vAlign w:val="center"/>
          </w:tcPr>
          <w:p w14:paraId="58F90E6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1600</w:t>
            </w:r>
          </w:p>
        </w:tc>
      </w:tr>
      <w:tr w14:paraId="0667739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42731ED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166</w:t>
            </w:r>
          </w:p>
        </w:tc>
        <w:tc>
          <w:tcPr>
            <w:tcW w:w="507" w:type="pct"/>
            <w:vMerge w:val="continue"/>
            <w:vAlign w:val="center"/>
          </w:tcPr>
          <w:p w14:paraId="5EEC872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626981E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保利海上五月花</w:t>
            </w:r>
          </w:p>
        </w:tc>
        <w:tc>
          <w:tcPr>
            <w:tcW w:w="468" w:type="pct"/>
            <w:vAlign w:val="center"/>
          </w:tcPr>
          <w:p w14:paraId="49D37A5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西北</w:t>
            </w:r>
          </w:p>
        </w:tc>
        <w:tc>
          <w:tcPr>
            <w:tcW w:w="535" w:type="pct"/>
            <w:vAlign w:val="center"/>
          </w:tcPr>
          <w:p w14:paraId="0881802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4068</w:t>
            </w:r>
          </w:p>
        </w:tc>
        <w:tc>
          <w:tcPr>
            <w:tcW w:w="627" w:type="pct"/>
            <w:vAlign w:val="center"/>
          </w:tcPr>
          <w:p w14:paraId="3907CD8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居民区</w:t>
            </w:r>
          </w:p>
        </w:tc>
        <w:tc>
          <w:tcPr>
            <w:tcW w:w="495" w:type="pct"/>
            <w:noWrap/>
            <w:vAlign w:val="center"/>
          </w:tcPr>
          <w:p w14:paraId="11D5D1A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1000</w:t>
            </w:r>
          </w:p>
        </w:tc>
      </w:tr>
      <w:tr w14:paraId="79FB4E0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6B5EA6A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167</w:t>
            </w:r>
          </w:p>
        </w:tc>
        <w:tc>
          <w:tcPr>
            <w:tcW w:w="507" w:type="pct"/>
            <w:vMerge w:val="continue"/>
            <w:vAlign w:val="center"/>
          </w:tcPr>
          <w:p w14:paraId="481E992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35C938D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海保园</w:t>
            </w:r>
          </w:p>
        </w:tc>
        <w:tc>
          <w:tcPr>
            <w:tcW w:w="468" w:type="pct"/>
            <w:vAlign w:val="center"/>
          </w:tcPr>
          <w:p w14:paraId="17A6B8B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西北</w:t>
            </w:r>
          </w:p>
        </w:tc>
        <w:tc>
          <w:tcPr>
            <w:tcW w:w="535" w:type="pct"/>
            <w:vAlign w:val="center"/>
          </w:tcPr>
          <w:p w14:paraId="2A5474D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3869</w:t>
            </w:r>
          </w:p>
        </w:tc>
        <w:tc>
          <w:tcPr>
            <w:tcW w:w="627" w:type="pct"/>
            <w:vAlign w:val="center"/>
          </w:tcPr>
          <w:p w14:paraId="54965FE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居民区</w:t>
            </w:r>
          </w:p>
        </w:tc>
        <w:tc>
          <w:tcPr>
            <w:tcW w:w="495" w:type="pct"/>
            <w:noWrap/>
            <w:vAlign w:val="center"/>
          </w:tcPr>
          <w:p w14:paraId="00AB9D8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1200</w:t>
            </w:r>
          </w:p>
        </w:tc>
      </w:tr>
      <w:tr w14:paraId="1AEE63D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52F6728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168</w:t>
            </w:r>
          </w:p>
        </w:tc>
        <w:tc>
          <w:tcPr>
            <w:tcW w:w="507" w:type="pct"/>
            <w:vMerge w:val="continue"/>
            <w:vAlign w:val="center"/>
          </w:tcPr>
          <w:p w14:paraId="41B9532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310AD3E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山川如院</w:t>
            </w:r>
          </w:p>
        </w:tc>
        <w:tc>
          <w:tcPr>
            <w:tcW w:w="468" w:type="pct"/>
            <w:vAlign w:val="center"/>
          </w:tcPr>
          <w:p w14:paraId="694A1783">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西北</w:t>
            </w:r>
          </w:p>
        </w:tc>
        <w:tc>
          <w:tcPr>
            <w:tcW w:w="535" w:type="pct"/>
            <w:vAlign w:val="center"/>
          </w:tcPr>
          <w:p w14:paraId="02D3C6D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3590</w:t>
            </w:r>
          </w:p>
        </w:tc>
        <w:tc>
          <w:tcPr>
            <w:tcW w:w="627" w:type="pct"/>
            <w:vAlign w:val="center"/>
          </w:tcPr>
          <w:p w14:paraId="641FC38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居民区</w:t>
            </w:r>
          </w:p>
        </w:tc>
        <w:tc>
          <w:tcPr>
            <w:tcW w:w="495" w:type="pct"/>
            <w:noWrap/>
            <w:vAlign w:val="center"/>
          </w:tcPr>
          <w:p w14:paraId="6D2ABBC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300</w:t>
            </w:r>
          </w:p>
        </w:tc>
      </w:tr>
      <w:tr w14:paraId="3F9E2CD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5E3EED9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169</w:t>
            </w:r>
          </w:p>
        </w:tc>
        <w:tc>
          <w:tcPr>
            <w:tcW w:w="507" w:type="pct"/>
            <w:vMerge w:val="continue"/>
            <w:vAlign w:val="center"/>
          </w:tcPr>
          <w:p w14:paraId="5DB2CA4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6C75841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大港区人民法院</w:t>
            </w:r>
          </w:p>
        </w:tc>
        <w:tc>
          <w:tcPr>
            <w:tcW w:w="468" w:type="pct"/>
            <w:vAlign w:val="center"/>
          </w:tcPr>
          <w:p w14:paraId="6D68887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西北</w:t>
            </w:r>
          </w:p>
        </w:tc>
        <w:tc>
          <w:tcPr>
            <w:tcW w:w="535" w:type="pct"/>
            <w:vAlign w:val="center"/>
          </w:tcPr>
          <w:p w14:paraId="6C1393B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3882</w:t>
            </w:r>
          </w:p>
        </w:tc>
        <w:tc>
          <w:tcPr>
            <w:tcW w:w="627" w:type="pct"/>
            <w:vAlign w:val="center"/>
          </w:tcPr>
          <w:p w14:paraId="4068322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行政单位</w:t>
            </w:r>
          </w:p>
        </w:tc>
        <w:tc>
          <w:tcPr>
            <w:tcW w:w="495" w:type="pct"/>
            <w:noWrap/>
            <w:vAlign w:val="center"/>
          </w:tcPr>
          <w:p w14:paraId="74C74DD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15</w:t>
            </w:r>
          </w:p>
        </w:tc>
      </w:tr>
      <w:tr w14:paraId="19E69CD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4187F0E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170</w:t>
            </w:r>
          </w:p>
        </w:tc>
        <w:tc>
          <w:tcPr>
            <w:tcW w:w="507" w:type="pct"/>
            <w:vMerge w:val="continue"/>
            <w:vAlign w:val="center"/>
          </w:tcPr>
          <w:p w14:paraId="44D4B50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474C24C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海川园</w:t>
            </w:r>
          </w:p>
        </w:tc>
        <w:tc>
          <w:tcPr>
            <w:tcW w:w="468" w:type="pct"/>
            <w:vAlign w:val="center"/>
          </w:tcPr>
          <w:p w14:paraId="6C9FFAC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西北</w:t>
            </w:r>
          </w:p>
        </w:tc>
        <w:tc>
          <w:tcPr>
            <w:tcW w:w="535" w:type="pct"/>
            <w:vAlign w:val="center"/>
          </w:tcPr>
          <w:p w14:paraId="11C4181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3374</w:t>
            </w:r>
          </w:p>
        </w:tc>
        <w:tc>
          <w:tcPr>
            <w:tcW w:w="627" w:type="pct"/>
            <w:vAlign w:val="center"/>
          </w:tcPr>
          <w:p w14:paraId="5C5EFEA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居民区</w:t>
            </w:r>
          </w:p>
        </w:tc>
        <w:tc>
          <w:tcPr>
            <w:tcW w:w="495" w:type="pct"/>
            <w:noWrap/>
            <w:vAlign w:val="center"/>
          </w:tcPr>
          <w:p w14:paraId="0A25597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3300</w:t>
            </w:r>
          </w:p>
        </w:tc>
      </w:tr>
      <w:tr w14:paraId="61F8C49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70C7A8A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171</w:t>
            </w:r>
          </w:p>
        </w:tc>
        <w:tc>
          <w:tcPr>
            <w:tcW w:w="507" w:type="pct"/>
            <w:vMerge w:val="continue"/>
            <w:vAlign w:val="center"/>
          </w:tcPr>
          <w:p w14:paraId="5D2F5BC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183EFCB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天津云露翻译有限公司</w:t>
            </w:r>
          </w:p>
        </w:tc>
        <w:tc>
          <w:tcPr>
            <w:tcW w:w="468" w:type="pct"/>
            <w:vAlign w:val="center"/>
          </w:tcPr>
          <w:p w14:paraId="030271A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西北</w:t>
            </w:r>
          </w:p>
        </w:tc>
        <w:tc>
          <w:tcPr>
            <w:tcW w:w="535" w:type="pct"/>
            <w:vAlign w:val="center"/>
          </w:tcPr>
          <w:p w14:paraId="31F52D5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3713</w:t>
            </w:r>
          </w:p>
        </w:tc>
        <w:tc>
          <w:tcPr>
            <w:tcW w:w="627" w:type="pct"/>
            <w:vAlign w:val="center"/>
          </w:tcPr>
          <w:p w14:paraId="7ABB9BE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区域</w:t>
            </w:r>
          </w:p>
        </w:tc>
        <w:tc>
          <w:tcPr>
            <w:tcW w:w="495" w:type="pct"/>
            <w:noWrap/>
            <w:vAlign w:val="center"/>
          </w:tcPr>
          <w:p w14:paraId="1300D12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15</w:t>
            </w:r>
          </w:p>
        </w:tc>
      </w:tr>
      <w:tr w14:paraId="49A6CC5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5165A09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172</w:t>
            </w:r>
          </w:p>
        </w:tc>
        <w:tc>
          <w:tcPr>
            <w:tcW w:w="507" w:type="pct"/>
            <w:vMerge w:val="continue"/>
            <w:vAlign w:val="center"/>
          </w:tcPr>
          <w:p w14:paraId="7465F03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661F13A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天津市滨海新区第三公路管理所</w:t>
            </w:r>
          </w:p>
        </w:tc>
        <w:tc>
          <w:tcPr>
            <w:tcW w:w="468" w:type="pct"/>
            <w:vAlign w:val="center"/>
          </w:tcPr>
          <w:p w14:paraId="091E4F1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西北</w:t>
            </w:r>
          </w:p>
        </w:tc>
        <w:tc>
          <w:tcPr>
            <w:tcW w:w="535" w:type="pct"/>
            <w:vAlign w:val="center"/>
          </w:tcPr>
          <w:p w14:paraId="0EC5D920">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3485</w:t>
            </w:r>
          </w:p>
        </w:tc>
        <w:tc>
          <w:tcPr>
            <w:tcW w:w="627" w:type="pct"/>
            <w:vAlign w:val="center"/>
          </w:tcPr>
          <w:p w14:paraId="5865C0D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行政机关</w:t>
            </w:r>
          </w:p>
        </w:tc>
        <w:tc>
          <w:tcPr>
            <w:tcW w:w="495" w:type="pct"/>
            <w:noWrap/>
            <w:vAlign w:val="center"/>
          </w:tcPr>
          <w:p w14:paraId="5518C7D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15</w:t>
            </w:r>
          </w:p>
        </w:tc>
      </w:tr>
      <w:tr w14:paraId="67D48FF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4719896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173</w:t>
            </w:r>
          </w:p>
        </w:tc>
        <w:tc>
          <w:tcPr>
            <w:tcW w:w="507" w:type="pct"/>
            <w:vMerge w:val="continue"/>
            <w:vAlign w:val="center"/>
          </w:tcPr>
          <w:p w14:paraId="38E5949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63C17FC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天津市高盛建筑工程有限公司</w:t>
            </w:r>
          </w:p>
        </w:tc>
        <w:tc>
          <w:tcPr>
            <w:tcW w:w="468" w:type="pct"/>
            <w:vAlign w:val="center"/>
          </w:tcPr>
          <w:p w14:paraId="1AEB8F0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西北</w:t>
            </w:r>
          </w:p>
        </w:tc>
        <w:tc>
          <w:tcPr>
            <w:tcW w:w="535" w:type="pct"/>
            <w:vAlign w:val="center"/>
          </w:tcPr>
          <w:p w14:paraId="7F8BC84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2973</w:t>
            </w:r>
          </w:p>
        </w:tc>
        <w:tc>
          <w:tcPr>
            <w:tcW w:w="627" w:type="pct"/>
            <w:vAlign w:val="center"/>
          </w:tcPr>
          <w:p w14:paraId="6436992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6CA56DD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20</w:t>
            </w:r>
          </w:p>
        </w:tc>
      </w:tr>
      <w:tr w14:paraId="7E23379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2830DE76">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174</w:t>
            </w:r>
          </w:p>
        </w:tc>
        <w:tc>
          <w:tcPr>
            <w:tcW w:w="507" w:type="pct"/>
            <w:vMerge w:val="continue"/>
            <w:vAlign w:val="center"/>
          </w:tcPr>
          <w:p w14:paraId="60BF119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5968CF2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福顺养殖场</w:t>
            </w:r>
          </w:p>
        </w:tc>
        <w:tc>
          <w:tcPr>
            <w:tcW w:w="468" w:type="pct"/>
            <w:vAlign w:val="center"/>
          </w:tcPr>
          <w:p w14:paraId="476C0D7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西北</w:t>
            </w:r>
          </w:p>
        </w:tc>
        <w:tc>
          <w:tcPr>
            <w:tcW w:w="535" w:type="pct"/>
            <w:vAlign w:val="center"/>
          </w:tcPr>
          <w:p w14:paraId="2E26D76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2968</w:t>
            </w:r>
          </w:p>
        </w:tc>
        <w:tc>
          <w:tcPr>
            <w:tcW w:w="627" w:type="pct"/>
            <w:vAlign w:val="center"/>
          </w:tcPr>
          <w:p w14:paraId="00C0A76A">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企业</w:t>
            </w:r>
          </w:p>
        </w:tc>
        <w:tc>
          <w:tcPr>
            <w:tcW w:w="495" w:type="pct"/>
            <w:noWrap/>
            <w:vAlign w:val="center"/>
          </w:tcPr>
          <w:p w14:paraId="0C32CCD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10</w:t>
            </w:r>
          </w:p>
        </w:tc>
      </w:tr>
      <w:tr w14:paraId="2C7D4FC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468E21D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175</w:t>
            </w:r>
          </w:p>
        </w:tc>
        <w:tc>
          <w:tcPr>
            <w:tcW w:w="507" w:type="pct"/>
            <w:vMerge w:val="continue"/>
            <w:vAlign w:val="center"/>
          </w:tcPr>
          <w:p w14:paraId="1E8A634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47B5D2B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天津市滨海新区大港第七幼儿园</w:t>
            </w:r>
          </w:p>
        </w:tc>
        <w:tc>
          <w:tcPr>
            <w:tcW w:w="468" w:type="pct"/>
            <w:vAlign w:val="center"/>
          </w:tcPr>
          <w:p w14:paraId="4EB30DF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西北</w:t>
            </w:r>
          </w:p>
        </w:tc>
        <w:tc>
          <w:tcPr>
            <w:tcW w:w="535" w:type="pct"/>
            <w:vAlign w:val="center"/>
          </w:tcPr>
          <w:p w14:paraId="7ADC722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4215</w:t>
            </w:r>
          </w:p>
        </w:tc>
        <w:tc>
          <w:tcPr>
            <w:tcW w:w="627" w:type="pct"/>
            <w:vAlign w:val="center"/>
          </w:tcPr>
          <w:p w14:paraId="2B7BCBA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学校</w:t>
            </w:r>
          </w:p>
        </w:tc>
        <w:tc>
          <w:tcPr>
            <w:tcW w:w="495" w:type="pct"/>
            <w:noWrap/>
            <w:vAlign w:val="center"/>
          </w:tcPr>
          <w:p w14:paraId="4AC248A4">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400</w:t>
            </w:r>
          </w:p>
        </w:tc>
      </w:tr>
      <w:tr w14:paraId="62EE985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773A9BC5">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176</w:t>
            </w:r>
          </w:p>
        </w:tc>
        <w:tc>
          <w:tcPr>
            <w:tcW w:w="507" w:type="pct"/>
            <w:vMerge w:val="continue"/>
            <w:vAlign w:val="center"/>
          </w:tcPr>
          <w:p w14:paraId="398EA97B">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2058FC92">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蔚蓝城幼儿园</w:t>
            </w:r>
          </w:p>
        </w:tc>
        <w:tc>
          <w:tcPr>
            <w:tcW w:w="468" w:type="pct"/>
            <w:vAlign w:val="center"/>
          </w:tcPr>
          <w:p w14:paraId="78215A3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西北</w:t>
            </w:r>
          </w:p>
        </w:tc>
        <w:tc>
          <w:tcPr>
            <w:tcW w:w="535" w:type="pct"/>
            <w:vAlign w:val="center"/>
          </w:tcPr>
          <w:p w14:paraId="1CAC76F8">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4603</w:t>
            </w:r>
          </w:p>
        </w:tc>
        <w:tc>
          <w:tcPr>
            <w:tcW w:w="627" w:type="pct"/>
            <w:vAlign w:val="center"/>
          </w:tcPr>
          <w:p w14:paraId="5D35E40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学校</w:t>
            </w:r>
          </w:p>
        </w:tc>
        <w:tc>
          <w:tcPr>
            <w:tcW w:w="495" w:type="pct"/>
            <w:noWrap/>
            <w:vAlign w:val="center"/>
          </w:tcPr>
          <w:p w14:paraId="5801908D">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200</w:t>
            </w:r>
          </w:p>
        </w:tc>
      </w:tr>
      <w:tr w14:paraId="3FB7F0C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293" w:type="pct"/>
            <w:noWrap/>
            <w:vAlign w:val="center"/>
          </w:tcPr>
          <w:p w14:paraId="3689C6F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177</w:t>
            </w:r>
          </w:p>
        </w:tc>
        <w:tc>
          <w:tcPr>
            <w:tcW w:w="507" w:type="pct"/>
            <w:vMerge w:val="continue"/>
            <w:vAlign w:val="center"/>
          </w:tcPr>
          <w:p w14:paraId="7F984C3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p>
        </w:tc>
        <w:tc>
          <w:tcPr>
            <w:tcW w:w="2071" w:type="pct"/>
            <w:vAlign w:val="center"/>
          </w:tcPr>
          <w:p w14:paraId="2B1CFF77">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滨海新区大港东城小学</w:t>
            </w:r>
          </w:p>
        </w:tc>
        <w:tc>
          <w:tcPr>
            <w:tcW w:w="468" w:type="pct"/>
            <w:vAlign w:val="center"/>
          </w:tcPr>
          <w:p w14:paraId="067338C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西北</w:t>
            </w:r>
          </w:p>
        </w:tc>
        <w:tc>
          <w:tcPr>
            <w:tcW w:w="535" w:type="pct"/>
            <w:vAlign w:val="center"/>
          </w:tcPr>
          <w:p w14:paraId="3293EDF9">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4527</w:t>
            </w:r>
          </w:p>
        </w:tc>
        <w:tc>
          <w:tcPr>
            <w:tcW w:w="627" w:type="pct"/>
            <w:vAlign w:val="center"/>
          </w:tcPr>
          <w:p w14:paraId="12705A5E">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学校</w:t>
            </w:r>
          </w:p>
        </w:tc>
        <w:tc>
          <w:tcPr>
            <w:tcW w:w="495" w:type="pct"/>
            <w:noWrap/>
            <w:vAlign w:val="center"/>
          </w:tcPr>
          <w:p w14:paraId="0385534F">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9000</w:t>
            </w:r>
          </w:p>
        </w:tc>
      </w:tr>
      <w:tr w14:paraId="3FFFD1B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trPr>
        <w:tc>
          <w:tcPr>
            <w:tcW w:w="4504" w:type="pct"/>
            <w:gridSpan w:val="6"/>
            <w:noWrap/>
            <w:vAlign w:val="center"/>
          </w:tcPr>
          <w:p w14:paraId="3237B56C">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合计</w:t>
            </w:r>
          </w:p>
        </w:tc>
        <w:tc>
          <w:tcPr>
            <w:tcW w:w="495" w:type="pct"/>
            <w:noWrap/>
            <w:vAlign w:val="center"/>
          </w:tcPr>
          <w:p w14:paraId="3F971151">
            <w:pPr>
              <w:adjustRightInd w:val="0"/>
              <w:spacing w:after="0" w:line="240" w:lineRule="auto"/>
              <w:ind w:firstLine="0"/>
              <w:jc w:val="center"/>
              <w:textAlignment w:val="baseline"/>
              <w:rPr>
                <w:rFonts w:hint="default" w:ascii="Times New Roman" w:hAnsi="Times New Roman" w:eastAsia="仿宋" w:cs="Times New Roman"/>
                <w:sz w:val="24"/>
                <w:szCs w:val="24"/>
                <w14:ligatures w14:val="standardContextual"/>
              </w:rPr>
            </w:pPr>
            <w:r>
              <w:rPr>
                <w:rFonts w:hint="default" w:ascii="Times New Roman" w:hAnsi="Times New Roman" w:eastAsia="仿宋" w:cs="Times New Roman"/>
                <w:sz w:val="24"/>
                <w:szCs w:val="24"/>
                <w14:ligatures w14:val="standardContextual"/>
              </w:rPr>
              <w:t>131989</w:t>
            </w:r>
          </w:p>
        </w:tc>
      </w:tr>
    </w:tbl>
    <w:p w14:paraId="384AF8B7">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通过调查可知，500米范围内大气环境风险受体人数约112人，5公里范围内大气环境风险受体人数约131989人。</w:t>
      </w:r>
    </w:p>
    <w:p w14:paraId="2F345840">
      <w:pPr>
        <w:rPr>
          <w:rFonts w:hint="default" w:ascii="Times New Roman" w:hAnsi="Times New Roman" w:eastAsia="仿宋" w:cs="Times New Roman"/>
          <w:b/>
          <w:bCs/>
          <w:szCs w:val="28"/>
        </w:rPr>
      </w:pPr>
      <w:r>
        <w:rPr>
          <w:rFonts w:hint="default" w:ascii="Times New Roman" w:hAnsi="Times New Roman" w:eastAsia="仿宋" w:cs="Times New Roman"/>
          <w:b/>
          <w:bCs/>
          <w:szCs w:val="28"/>
        </w:rPr>
        <w:t>2.5.2水环境风险受体</w:t>
      </w:r>
    </w:p>
    <w:p w14:paraId="0058933A">
      <w:pPr>
        <w:ind w:firstLine="560" w:firstLineChars="200"/>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厂区内共设置1个污水总排口、1个雨水总排口。</w:t>
      </w:r>
    </w:p>
    <w:p w14:paraId="733A8637">
      <w:pPr>
        <w:ind w:firstLine="560" w:firstLineChars="20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生产废水进入厂区污水处理站处理，处理达标后与经化粪池沉淀的生活污水、经隔油池处理的食堂废水汇合，由厂区污水总排口经市政管网至轻纺工业园污水处理厂处理，轻纺工业园污水处理厂出水排入荒地排水河。</w:t>
      </w:r>
    </w:p>
    <w:p w14:paraId="4B288172">
      <w:pPr>
        <w:ind w:firstLine="560" w:firstLineChars="20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雨水通过雨水总排口进入园区雨水管网，向南至轻五街，再向东流，最终经轻六街北侧雨水泵站提升排入东干渠，最终排入荒地排水河，流经距离约6.5km。雨水进入荒地排水河后，向东流约2.5km入海，荒地排水河设挡潮闸。荒地排水河位于独流减河以北，起自石化泵站（乙烯泵站），沿独流减河左堤北侧，经大港发电厂，穿津歧公路，在大港发电厂循环河北侧，东至挡潮闸入海，负责独流减河以北、北环路及上高路以南、八米河以东、海滨大道以西范围内的排水。河道总长度15.2km，横断面上口30～110m，横断面下口10～60m，设计流量21～50m</w:t>
      </w:r>
      <w:r>
        <w:rPr>
          <w:rFonts w:hint="default" w:ascii="Times New Roman" w:hAnsi="Times New Roman" w:eastAsia="仿宋" w:cs="Times New Roman"/>
          <w:sz w:val="28"/>
          <w:szCs w:val="28"/>
          <w:vertAlign w:val="superscript"/>
          <w:lang w:val="en-US" w:eastAsia="zh-CN"/>
        </w:rPr>
        <w:t>3</w:t>
      </w:r>
      <w:r>
        <w:rPr>
          <w:rFonts w:hint="default" w:ascii="Times New Roman" w:hAnsi="Times New Roman" w:eastAsia="仿宋" w:cs="Times New Roman"/>
          <w:sz w:val="28"/>
          <w:szCs w:val="28"/>
          <w:lang w:val="en-US" w:eastAsia="zh-CN"/>
        </w:rPr>
        <w:t>/s。</w:t>
      </w:r>
    </w:p>
    <w:p w14:paraId="3FD0D118">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综上，雨水总排口下游10km流经范围内水环境风险受体包括东干渠、荒地排水河、渤海。渤海海域涉及辽东湾渤海湾莱州湾水产种质资源保护区。水环境风险受体信息见下表。</w:t>
      </w:r>
    </w:p>
    <w:p w14:paraId="059D2E3B">
      <w:pPr>
        <w:pStyle w:val="15"/>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eastAsia="仿宋" w:cs="Times New Roman"/>
          <w:b/>
          <w:bCs/>
          <w:color w:val="000000"/>
          <w:sz w:val="28"/>
          <w:szCs w:val="28"/>
        </w:rPr>
      </w:pPr>
      <w:r>
        <w:rPr>
          <w:rFonts w:hint="default" w:ascii="Times New Roman" w:hAnsi="Times New Roman" w:eastAsia="仿宋" w:cs="Times New Roman"/>
          <w:b/>
          <w:bCs/>
          <w:color w:val="000000"/>
          <w:sz w:val="28"/>
          <w:szCs w:val="28"/>
        </w:rPr>
        <w:t>表</w:t>
      </w:r>
      <w:r>
        <w:rPr>
          <w:rFonts w:hint="eastAsia" w:ascii="Times New Roman" w:hAnsi="Times New Roman" w:cs="Times New Roman"/>
          <w:b/>
          <w:bCs/>
          <w:color w:val="000000"/>
          <w:sz w:val="28"/>
          <w:szCs w:val="28"/>
          <w:lang w:val="en-US" w:eastAsia="zh-CN"/>
        </w:rPr>
        <w:t>2.5</w:t>
      </w:r>
      <w:r>
        <w:rPr>
          <w:rFonts w:hint="default" w:ascii="Times New Roman" w:hAnsi="Times New Roman" w:eastAsia="仿宋" w:cs="Times New Roman"/>
          <w:b/>
          <w:bCs/>
          <w:color w:val="000000"/>
          <w:sz w:val="28"/>
          <w:szCs w:val="28"/>
        </w:rPr>
        <w:t>-</w:t>
      </w:r>
      <w:r>
        <w:rPr>
          <w:rFonts w:hint="eastAsia" w:ascii="Times New Roman" w:hAnsi="Times New Roman" w:cs="Times New Roman"/>
          <w:b/>
          <w:bCs/>
          <w:color w:val="000000"/>
          <w:sz w:val="28"/>
          <w:szCs w:val="28"/>
          <w:lang w:val="en-US" w:eastAsia="zh-CN"/>
        </w:rPr>
        <w:t>3</w:t>
      </w:r>
      <w:r>
        <w:rPr>
          <w:rFonts w:hint="default" w:ascii="Times New Roman" w:hAnsi="Times New Roman" w:eastAsia="仿宋" w:cs="Times New Roman"/>
          <w:b/>
          <w:bCs/>
          <w:color w:val="000000"/>
          <w:sz w:val="28"/>
          <w:szCs w:val="28"/>
        </w:rPr>
        <w:t xml:space="preserve">  10km流经范围内水环境风险受体一览表</w:t>
      </w:r>
    </w:p>
    <w:tbl>
      <w:tblPr>
        <w:tblStyle w:val="44"/>
        <w:tblW w:w="473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2689"/>
        <w:gridCol w:w="3268"/>
        <w:gridCol w:w="1285"/>
        <w:gridCol w:w="1264"/>
      </w:tblGrid>
      <w:tr w14:paraId="79062F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490" w:type="pct"/>
            <w:noWrap w:val="0"/>
            <w:vAlign w:val="center"/>
          </w:tcPr>
          <w:p w14:paraId="29D174B4">
            <w:pPr>
              <w:pStyle w:val="53"/>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sz w:val="24"/>
                <w:szCs w:val="24"/>
              </w:rPr>
              <w:t>序号</w:t>
            </w:r>
          </w:p>
        </w:tc>
        <w:tc>
          <w:tcPr>
            <w:tcW w:w="1425" w:type="pct"/>
            <w:noWrap w:val="0"/>
            <w:vAlign w:val="center"/>
          </w:tcPr>
          <w:p w14:paraId="18058CE1">
            <w:pPr>
              <w:pStyle w:val="53"/>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sz w:val="24"/>
                <w:szCs w:val="24"/>
              </w:rPr>
              <w:t>水环境风险受体</w:t>
            </w:r>
          </w:p>
        </w:tc>
        <w:tc>
          <w:tcPr>
            <w:tcW w:w="1732" w:type="pct"/>
            <w:noWrap w:val="0"/>
            <w:vAlign w:val="center"/>
          </w:tcPr>
          <w:p w14:paraId="5525EBD9">
            <w:pPr>
              <w:pStyle w:val="53"/>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sz w:val="24"/>
                <w:szCs w:val="24"/>
              </w:rPr>
              <w:t>水质目标</w:t>
            </w:r>
          </w:p>
        </w:tc>
        <w:tc>
          <w:tcPr>
            <w:tcW w:w="681" w:type="pct"/>
            <w:noWrap w:val="0"/>
            <w:vAlign w:val="center"/>
          </w:tcPr>
          <w:p w14:paraId="67E80DB2">
            <w:pPr>
              <w:pStyle w:val="53"/>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sz w:val="24"/>
                <w:szCs w:val="24"/>
              </w:rPr>
              <w:t>方位</w:t>
            </w:r>
          </w:p>
        </w:tc>
        <w:tc>
          <w:tcPr>
            <w:tcW w:w="670" w:type="pct"/>
            <w:noWrap w:val="0"/>
            <w:vAlign w:val="center"/>
          </w:tcPr>
          <w:p w14:paraId="45A0AE97">
            <w:pPr>
              <w:pStyle w:val="53"/>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sz w:val="24"/>
                <w:szCs w:val="24"/>
              </w:rPr>
              <w:t>距离/</w:t>
            </w:r>
            <w:r>
              <w:rPr>
                <w:rFonts w:hint="default" w:ascii="Times New Roman" w:hAnsi="Times New Roman" w:eastAsia="仿宋" w:cs="Times New Roman"/>
                <w:b/>
                <w:bCs/>
                <w:color w:val="000000"/>
                <w:sz w:val="24"/>
                <w:szCs w:val="24"/>
                <w:lang w:val="en-US" w:eastAsia="zh-CN"/>
              </w:rPr>
              <w:t>k</w:t>
            </w:r>
            <w:r>
              <w:rPr>
                <w:rFonts w:hint="default" w:ascii="Times New Roman" w:hAnsi="Times New Roman" w:eastAsia="仿宋" w:cs="Times New Roman"/>
                <w:b/>
                <w:bCs/>
                <w:color w:val="000000"/>
                <w:sz w:val="24"/>
                <w:szCs w:val="24"/>
              </w:rPr>
              <w:t>m</w:t>
            </w:r>
          </w:p>
        </w:tc>
      </w:tr>
      <w:tr w14:paraId="075AB1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490" w:type="pct"/>
            <w:noWrap w:val="0"/>
            <w:vAlign w:val="center"/>
          </w:tcPr>
          <w:p w14:paraId="15E2D94F">
            <w:pPr>
              <w:pStyle w:val="53"/>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1</w:t>
            </w:r>
          </w:p>
        </w:tc>
        <w:tc>
          <w:tcPr>
            <w:tcW w:w="1425" w:type="pct"/>
            <w:noWrap w:val="0"/>
            <w:vAlign w:val="center"/>
          </w:tcPr>
          <w:p w14:paraId="5EBAA737">
            <w:pPr>
              <w:pStyle w:val="53"/>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东干渠</w:t>
            </w:r>
          </w:p>
        </w:tc>
        <w:tc>
          <w:tcPr>
            <w:tcW w:w="1732" w:type="pct"/>
            <w:noWrap w:val="0"/>
            <w:vAlign w:val="center"/>
          </w:tcPr>
          <w:p w14:paraId="6DB7C03A">
            <w:pPr>
              <w:pStyle w:val="53"/>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《地表水环境质量标准》（GB3838-2002）V类</w:t>
            </w:r>
          </w:p>
        </w:tc>
        <w:tc>
          <w:tcPr>
            <w:tcW w:w="681" w:type="pct"/>
            <w:noWrap w:val="0"/>
            <w:vAlign w:val="center"/>
          </w:tcPr>
          <w:p w14:paraId="0E70E409">
            <w:pPr>
              <w:pStyle w:val="53"/>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东</w:t>
            </w:r>
          </w:p>
        </w:tc>
        <w:tc>
          <w:tcPr>
            <w:tcW w:w="670" w:type="pct"/>
            <w:noWrap w:val="0"/>
            <w:vAlign w:val="center"/>
          </w:tcPr>
          <w:p w14:paraId="5C4E2B86">
            <w:pPr>
              <w:pStyle w:val="53"/>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2.1</w:t>
            </w:r>
          </w:p>
        </w:tc>
      </w:tr>
      <w:tr w14:paraId="2B4910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490" w:type="pct"/>
            <w:noWrap w:val="0"/>
            <w:vAlign w:val="center"/>
          </w:tcPr>
          <w:p w14:paraId="165B6E4D">
            <w:pPr>
              <w:pStyle w:val="53"/>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仿宋" w:cs="Times New Roman"/>
                <w:color w:val="000000"/>
                <w:sz w:val="24"/>
                <w:szCs w:val="24"/>
                <w:lang w:eastAsia="zh-CN"/>
              </w:rPr>
            </w:pPr>
            <w:r>
              <w:rPr>
                <w:rFonts w:hint="default" w:ascii="Times New Roman" w:hAnsi="Times New Roman" w:eastAsia="仿宋" w:cs="Times New Roman"/>
                <w:color w:val="000000"/>
                <w:sz w:val="24"/>
                <w:szCs w:val="24"/>
                <w:lang w:val="en-US" w:eastAsia="zh-CN"/>
              </w:rPr>
              <w:t>2</w:t>
            </w:r>
          </w:p>
        </w:tc>
        <w:tc>
          <w:tcPr>
            <w:tcW w:w="1425" w:type="pct"/>
            <w:noWrap w:val="0"/>
            <w:vAlign w:val="center"/>
          </w:tcPr>
          <w:p w14:paraId="1D960B61">
            <w:pPr>
              <w:pStyle w:val="53"/>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荒地排水河</w:t>
            </w:r>
          </w:p>
        </w:tc>
        <w:tc>
          <w:tcPr>
            <w:tcW w:w="1732" w:type="pct"/>
            <w:noWrap w:val="0"/>
            <w:vAlign w:val="center"/>
          </w:tcPr>
          <w:p w14:paraId="5AAF053C">
            <w:pPr>
              <w:pStyle w:val="53"/>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《地表水环境质量标准》（GB3838-2002）V类</w:t>
            </w:r>
          </w:p>
        </w:tc>
        <w:tc>
          <w:tcPr>
            <w:tcW w:w="681" w:type="pct"/>
            <w:noWrap w:val="0"/>
            <w:vAlign w:val="center"/>
          </w:tcPr>
          <w:p w14:paraId="7F1629F1">
            <w:pPr>
              <w:pStyle w:val="53"/>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南</w:t>
            </w:r>
          </w:p>
        </w:tc>
        <w:tc>
          <w:tcPr>
            <w:tcW w:w="670" w:type="pct"/>
            <w:noWrap w:val="0"/>
            <w:vAlign w:val="center"/>
          </w:tcPr>
          <w:p w14:paraId="5B74F24D">
            <w:pPr>
              <w:pStyle w:val="53"/>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4.8</w:t>
            </w:r>
          </w:p>
        </w:tc>
      </w:tr>
      <w:tr w14:paraId="30C350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490" w:type="pct"/>
            <w:noWrap w:val="0"/>
            <w:vAlign w:val="center"/>
          </w:tcPr>
          <w:p w14:paraId="3290136F">
            <w:pPr>
              <w:pStyle w:val="53"/>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3</w:t>
            </w:r>
          </w:p>
        </w:tc>
        <w:tc>
          <w:tcPr>
            <w:tcW w:w="1425" w:type="pct"/>
            <w:noWrap w:val="0"/>
            <w:vAlign w:val="center"/>
          </w:tcPr>
          <w:p w14:paraId="00FBBB0C">
            <w:pPr>
              <w:pStyle w:val="53"/>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渤海</w:t>
            </w:r>
          </w:p>
        </w:tc>
        <w:tc>
          <w:tcPr>
            <w:tcW w:w="1732" w:type="pct"/>
            <w:noWrap w:val="0"/>
            <w:vAlign w:val="center"/>
          </w:tcPr>
          <w:p w14:paraId="09D56C3C">
            <w:pPr>
              <w:pStyle w:val="53"/>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海水三类</w:t>
            </w:r>
          </w:p>
        </w:tc>
        <w:tc>
          <w:tcPr>
            <w:tcW w:w="681" w:type="pct"/>
            <w:noWrap w:val="0"/>
            <w:vAlign w:val="center"/>
          </w:tcPr>
          <w:p w14:paraId="1CB96550">
            <w:pPr>
              <w:pStyle w:val="53"/>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东南</w:t>
            </w:r>
          </w:p>
        </w:tc>
        <w:tc>
          <w:tcPr>
            <w:tcW w:w="670" w:type="pct"/>
            <w:noWrap w:val="0"/>
            <w:vAlign w:val="center"/>
          </w:tcPr>
          <w:p w14:paraId="0245462E">
            <w:pPr>
              <w:pStyle w:val="53"/>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5.6</w:t>
            </w:r>
          </w:p>
        </w:tc>
      </w:tr>
    </w:tbl>
    <w:p w14:paraId="1A8D827E">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default" w:ascii="Times New Roman" w:hAnsi="Times New Roman" w:eastAsia="仿宋" w:cs="Times New Roman"/>
          <w:color w:val="000000"/>
          <w:sz w:val="28"/>
          <w:szCs w:val="28"/>
          <w:lang w:val="en-US" w:eastAsia="zh-CN"/>
        </w:rPr>
      </w:pPr>
      <w:r>
        <w:rPr>
          <w:rFonts w:hint="default" w:ascii="Times New Roman" w:hAnsi="Times New Roman" w:eastAsia="仿宋" w:cs="Times New Roman"/>
          <w:color w:val="000000"/>
          <w:sz w:val="28"/>
          <w:szCs w:val="28"/>
          <w:lang w:val="en-US" w:eastAsia="zh-CN"/>
        </w:rPr>
        <w:t>敏感目标见下表。</w:t>
      </w:r>
    </w:p>
    <w:p w14:paraId="3914C8A9">
      <w:pPr>
        <w:widowControl w:val="0"/>
        <w:spacing w:line="360" w:lineRule="auto"/>
        <w:jc w:val="center"/>
        <w:rPr>
          <w:rFonts w:hint="default" w:ascii="Times New Roman" w:hAnsi="Times New Roman" w:eastAsia="仿宋" w:cs="Times New Roman"/>
          <w:b/>
          <w:bCs/>
          <w:color w:val="000000"/>
          <w:kern w:val="2"/>
          <w:sz w:val="28"/>
          <w:szCs w:val="28"/>
          <w:lang w:val="en-US" w:eastAsia="zh-CN" w:bidi="ar-SA"/>
        </w:rPr>
      </w:pPr>
      <w:r>
        <w:rPr>
          <w:rFonts w:hint="default" w:ascii="Times New Roman" w:hAnsi="Times New Roman" w:eastAsia="仿宋" w:cs="Times New Roman"/>
          <w:b/>
          <w:bCs/>
          <w:color w:val="000000"/>
          <w:kern w:val="2"/>
          <w:sz w:val="28"/>
          <w:szCs w:val="28"/>
          <w:lang w:val="en-US" w:eastAsia="zh-CN" w:bidi="ar-SA"/>
        </w:rPr>
        <w:t>表</w:t>
      </w:r>
      <w:r>
        <w:rPr>
          <w:rFonts w:hint="eastAsia" w:ascii="Times New Roman" w:hAnsi="Times New Roman" w:cs="Times New Roman"/>
          <w:b/>
          <w:bCs/>
          <w:color w:val="000000"/>
          <w:kern w:val="2"/>
          <w:sz w:val="28"/>
          <w:szCs w:val="28"/>
          <w:lang w:val="en-US" w:eastAsia="zh-CN" w:bidi="ar-SA"/>
        </w:rPr>
        <w:t>2.5</w:t>
      </w:r>
      <w:r>
        <w:rPr>
          <w:rFonts w:hint="default" w:ascii="Times New Roman" w:hAnsi="Times New Roman" w:eastAsia="仿宋" w:cs="Times New Roman"/>
          <w:b/>
          <w:bCs/>
          <w:color w:val="000000"/>
          <w:kern w:val="2"/>
          <w:sz w:val="28"/>
          <w:szCs w:val="28"/>
          <w:lang w:val="en-US" w:eastAsia="zh-CN" w:bidi="ar-SA"/>
        </w:rPr>
        <w:t>-</w:t>
      </w:r>
      <w:r>
        <w:rPr>
          <w:rFonts w:hint="eastAsia" w:ascii="Times New Roman" w:hAnsi="Times New Roman" w:cs="Times New Roman"/>
          <w:b/>
          <w:bCs/>
          <w:color w:val="000000"/>
          <w:kern w:val="2"/>
          <w:sz w:val="28"/>
          <w:szCs w:val="28"/>
          <w:lang w:val="en-US" w:eastAsia="zh-CN" w:bidi="ar-SA"/>
        </w:rPr>
        <w:t>4</w:t>
      </w:r>
      <w:r>
        <w:rPr>
          <w:rFonts w:hint="default" w:ascii="Times New Roman" w:hAnsi="Times New Roman" w:eastAsia="仿宋" w:cs="Times New Roman"/>
          <w:b/>
          <w:bCs/>
          <w:color w:val="000000"/>
          <w:kern w:val="2"/>
          <w:sz w:val="28"/>
          <w:szCs w:val="28"/>
          <w:lang w:val="en-US" w:eastAsia="zh-CN" w:bidi="ar-SA"/>
        </w:rPr>
        <w:t xml:space="preserve">  水环境敏感目标信息表</w:t>
      </w:r>
    </w:p>
    <w:tbl>
      <w:tblPr>
        <w:tblStyle w:val="44"/>
        <w:tblW w:w="482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4579"/>
        <w:gridCol w:w="3198"/>
        <w:gridCol w:w="1110"/>
      </w:tblGrid>
      <w:tr w14:paraId="0150F3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370" w:type="pct"/>
            <w:noWrap w:val="0"/>
            <w:vAlign w:val="center"/>
          </w:tcPr>
          <w:p w14:paraId="02D1BD64">
            <w:pPr>
              <w:keepNext w:val="0"/>
              <w:keepLines w:val="0"/>
              <w:pageBreakBefore w:val="0"/>
              <w:widowControl w:val="0"/>
              <w:kinsoku/>
              <w:wordWrap/>
              <w:overflowPunct/>
              <w:topLinePunct w:val="0"/>
              <w:autoSpaceDE/>
              <w:autoSpaceDN/>
              <w:bidi w:val="0"/>
              <w:adjustRightInd w:val="0"/>
              <w:spacing w:line="240" w:lineRule="auto"/>
              <w:ind w:left="0" w:leftChars="0" w:firstLine="0" w:firstLineChars="0"/>
              <w:jc w:val="both"/>
              <w:textAlignment w:val="baseline"/>
              <w:rPr>
                <w:rFonts w:hint="default" w:ascii="Times New Roman" w:hAnsi="Times New Roman" w:eastAsia="仿宋" w:cs="Times New Roman"/>
                <w:b/>
                <w:bCs/>
                <w:color w:val="000000"/>
                <w:kern w:val="2"/>
                <w:sz w:val="24"/>
                <w:szCs w:val="24"/>
                <w:lang w:val="en-US" w:eastAsia="zh-CN" w:bidi="ar-SA"/>
              </w:rPr>
            </w:pPr>
            <w:r>
              <w:rPr>
                <w:rFonts w:hint="default" w:ascii="Times New Roman" w:hAnsi="Times New Roman" w:eastAsia="仿宋" w:cs="Times New Roman"/>
                <w:b/>
                <w:bCs/>
                <w:color w:val="000000"/>
                <w:kern w:val="2"/>
                <w:sz w:val="24"/>
                <w:szCs w:val="24"/>
                <w:lang w:val="en-US" w:eastAsia="zh-CN" w:bidi="ar-SA"/>
              </w:rPr>
              <w:t>序号</w:t>
            </w:r>
          </w:p>
        </w:tc>
        <w:tc>
          <w:tcPr>
            <w:tcW w:w="2384" w:type="pct"/>
            <w:noWrap w:val="0"/>
            <w:vAlign w:val="center"/>
          </w:tcPr>
          <w:p w14:paraId="7DC9E998">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hint="default" w:ascii="Times New Roman" w:hAnsi="Times New Roman" w:eastAsia="仿宋" w:cs="Times New Roman"/>
                <w:b/>
                <w:bCs/>
                <w:color w:val="000000"/>
                <w:kern w:val="2"/>
                <w:sz w:val="24"/>
                <w:szCs w:val="24"/>
                <w:lang w:val="en-US" w:eastAsia="zh-CN" w:bidi="ar-SA"/>
              </w:rPr>
            </w:pPr>
            <w:r>
              <w:rPr>
                <w:rFonts w:hint="default" w:ascii="Times New Roman" w:hAnsi="Times New Roman" w:eastAsia="仿宋" w:cs="Times New Roman"/>
                <w:b/>
                <w:bCs/>
                <w:color w:val="000000"/>
                <w:kern w:val="2"/>
                <w:sz w:val="24"/>
                <w:szCs w:val="24"/>
                <w:lang w:val="en-US" w:eastAsia="zh-CN" w:bidi="ar-SA"/>
              </w:rPr>
              <w:t>水环境敏感目标</w:t>
            </w:r>
          </w:p>
        </w:tc>
        <w:tc>
          <w:tcPr>
            <w:tcW w:w="1665" w:type="pct"/>
            <w:noWrap w:val="0"/>
            <w:vAlign w:val="center"/>
          </w:tcPr>
          <w:p w14:paraId="684F45AC">
            <w:pPr>
              <w:keepNext w:val="0"/>
              <w:keepLines w:val="0"/>
              <w:pageBreakBefore w:val="0"/>
              <w:widowControl w:val="0"/>
              <w:kinsoku/>
              <w:wordWrap/>
              <w:overflowPunct/>
              <w:topLinePunct w:val="0"/>
              <w:autoSpaceDE/>
              <w:autoSpaceDN/>
              <w:bidi w:val="0"/>
              <w:adjustRightInd w:val="0"/>
              <w:spacing w:line="240" w:lineRule="auto"/>
              <w:jc w:val="center"/>
              <w:textAlignment w:val="baseline"/>
              <w:rPr>
                <w:rFonts w:hint="default" w:ascii="Times New Roman" w:hAnsi="Times New Roman" w:eastAsia="仿宋" w:cs="Times New Roman"/>
                <w:b/>
                <w:bCs/>
                <w:color w:val="000000"/>
                <w:kern w:val="2"/>
                <w:sz w:val="24"/>
                <w:szCs w:val="24"/>
                <w:lang w:val="en-US" w:eastAsia="zh-CN" w:bidi="ar-SA"/>
              </w:rPr>
            </w:pPr>
            <w:r>
              <w:rPr>
                <w:rFonts w:hint="default" w:ascii="Times New Roman" w:hAnsi="Times New Roman" w:eastAsia="仿宋" w:cs="Times New Roman"/>
                <w:b/>
                <w:bCs/>
                <w:color w:val="000000"/>
                <w:kern w:val="2"/>
                <w:sz w:val="24"/>
                <w:szCs w:val="24"/>
                <w:lang w:val="en-US" w:eastAsia="zh-CN" w:bidi="ar-SA"/>
              </w:rPr>
              <w:t>保护对象</w:t>
            </w:r>
          </w:p>
        </w:tc>
        <w:tc>
          <w:tcPr>
            <w:tcW w:w="578" w:type="pct"/>
            <w:noWrap w:val="0"/>
            <w:vAlign w:val="center"/>
          </w:tcPr>
          <w:p w14:paraId="53D7A0F6">
            <w:pPr>
              <w:keepNext w:val="0"/>
              <w:keepLines w:val="0"/>
              <w:pageBreakBefore w:val="0"/>
              <w:widowControl w:val="0"/>
              <w:kinsoku/>
              <w:wordWrap/>
              <w:overflowPunct/>
              <w:topLinePunct w:val="0"/>
              <w:autoSpaceDE/>
              <w:autoSpaceDN/>
              <w:bidi w:val="0"/>
              <w:adjustRightInd w:val="0"/>
              <w:spacing w:line="240" w:lineRule="auto"/>
              <w:ind w:left="0" w:leftChars="0" w:firstLine="0" w:firstLineChars="0"/>
              <w:jc w:val="both"/>
              <w:textAlignment w:val="baseline"/>
              <w:rPr>
                <w:rFonts w:hint="default" w:ascii="Times New Roman" w:hAnsi="Times New Roman" w:eastAsia="仿宋" w:cs="Times New Roman"/>
                <w:b/>
                <w:bCs/>
                <w:color w:val="000000"/>
                <w:kern w:val="2"/>
                <w:sz w:val="24"/>
                <w:szCs w:val="24"/>
                <w:lang w:val="en-US" w:eastAsia="zh-CN" w:bidi="ar-SA"/>
              </w:rPr>
            </w:pPr>
            <w:r>
              <w:rPr>
                <w:rFonts w:hint="default" w:ascii="Times New Roman" w:hAnsi="Times New Roman" w:eastAsia="仿宋" w:cs="Times New Roman"/>
                <w:b/>
                <w:bCs/>
                <w:color w:val="000000"/>
                <w:kern w:val="2"/>
                <w:sz w:val="24"/>
                <w:szCs w:val="24"/>
                <w:lang w:val="en-US" w:eastAsia="zh-CN" w:bidi="ar-SA"/>
              </w:rPr>
              <w:t>距离/km</w:t>
            </w:r>
          </w:p>
        </w:tc>
      </w:tr>
      <w:tr w14:paraId="0A6589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370" w:type="pct"/>
            <w:noWrap w:val="0"/>
            <w:vAlign w:val="center"/>
          </w:tcPr>
          <w:p w14:paraId="1075DED4">
            <w:pPr>
              <w:keepNext w:val="0"/>
              <w:keepLines w:val="0"/>
              <w:pageBreakBefore w:val="0"/>
              <w:widowControl w:val="0"/>
              <w:kinsoku/>
              <w:wordWrap/>
              <w:overflowPunct/>
              <w:topLinePunct w:val="0"/>
              <w:autoSpaceDE/>
              <w:autoSpaceDN/>
              <w:bidi w:val="0"/>
              <w:adjustRightInd w:val="0"/>
              <w:spacing w:line="240" w:lineRule="auto"/>
              <w:ind w:left="0" w:leftChars="0" w:firstLine="0" w:firstLineChars="0"/>
              <w:jc w:val="center"/>
              <w:textAlignment w:val="baseline"/>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color w:val="000000"/>
                <w:kern w:val="2"/>
                <w:sz w:val="24"/>
                <w:szCs w:val="24"/>
                <w:lang w:val="en-US" w:eastAsia="zh-CN" w:bidi="ar-SA"/>
              </w:rPr>
              <w:t>1</w:t>
            </w:r>
          </w:p>
        </w:tc>
        <w:tc>
          <w:tcPr>
            <w:tcW w:w="2384" w:type="pct"/>
            <w:noWrap w:val="0"/>
            <w:vAlign w:val="center"/>
          </w:tcPr>
          <w:p w14:paraId="5E9663D8">
            <w:pPr>
              <w:pStyle w:val="53"/>
              <w:keepNext w:val="0"/>
              <w:keepLines w:val="0"/>
              <w:pageBreakBefore w:val="0"/>
              <w:widowControl w:val="0"/>
              <w:kinsoku/>
              <w:wordWrap/>
              <w:overflowPunct/>
              <w:topLinePunct w:val="0"/>
              <w:autoSpaceDE/>
              <w:autoSpaceDN/>
              <w:bidi w:val="0"/>
              <w:spacing w:line="240" w:lineRule="auto"/>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color w:val="000000"/>
                <w:sz w:val="24"/>
                <w:szCs w:val="24"/>
              </w:rPr>
              <w:t>辽东湾渤海湾莱州湾水产种质资源保护区</w:t>
            </w:r>
          </w:p>
        </w:tc>
        <w:tc>
          <w:tcPr>
            <w:tcW w:w="1665" w:type="pct"/>
            <w:noWrap w:val="0"/>
            <w:vAlign w:val="center"/>
          </w:tcPr>
          <w:p w14:paraId="068AD6D3">
            <w:pPr>
              <w:pStyle w:val="53"/>
              <w:keepNext w:val="0"/>
              <w:keepLines w:val="0"/>
              <w:pageBreakBefore w:val="0"/>
              <w:widowControl w:val="0"/>
              <w:kinsoku/>
              <w:wordWrap/>
              <w:overflowPunct/>
              <w:topLinePunct w:val="0"/>
              <w:autoSpaceDE/>
              <w:autoSpaceDN/>
              <w:bidi w:val="0"/>
              <w:spacing w:line="240" w:lineRule="auto"/>
              <w:rPr>
                <w:rFonts w:hint="default" w:ascii="Times New Roman" w:hAnsi="Times New Roman" w:eastAsia="仿宋" w:cs="Times New Roman"/>
                <w:color w:val="000000"/>
                <w:kern w:val="2"/>
                <w:sz w:val="24"/>
                <w:szCs w:val="24"/>
                <w:lang w:val="en-US" w:eastAsia="zh-CN" w:bidi="ar-SA"/>
              </w:rPr>
            </w:pPr>
            <w:r>
              <w:rPr>
                <w:rFonts w:hint="default" w:ascii="Times New Roman" w:hAnsi="Times New Roman" w:eastAsia="仿宋" w:cs="Times New Roman"/>
                <w:color w:val="000000"/>
                <w:sz w:val="24"/>
                <w:szCs w:val="24"/>
              </w:rPr>
              <w:t>国家级水产种质资源保护区</w:t>
            </w:r>
          </w:p>
        </w:tc>
        <w:tc>
          <w:tcPr>
            <w:tcW w:w="578" w:type="pct"/>
            <w:noWrap w:val="0"/>
            <w:vAlign w:val="center"/>
          </w:tcPr>
          <w:p w14:paraId="23223434">
            <w:pPr>
              <w:pStyle w:val="53"/>
              <w:keepNext w:val="0"/>
              <w:keepLines w:val="0"/>
              <w:pageBreakBefore w:val="0"/>
              <w:widowControl w:val="0"/>
              <w:kinsoku/>
              <w:wordWrap/>
              <w:overflowPunct/>
              <w:topLinePunct w:val="0"/>
              <w:autoSpaceDE/>
              <w:autoSpaceDN/>
              <w:bidi w:val="0"/>
              <w:spacing w:line="240" w:lineRule="auto"/>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5.6</w:t>
            </w:r>
          </w:p>
        </w:tc>
      </w:tr>
    </w:tbl>
    <w:p w14:paraId="3653C2C7">
      <w:pPr>
        <w:rPr>
          <w:rFonts w:hint="default" w:ascii="Times New Roman" w:hAnsi="Times New Roman" w:eastAsia="仿宋" w:cs="Times New Roman"/>
          <w:b/>
          <w:bCs/>
          <w:szCs w:val="28"/>
        </w:rPr>
      </w:pPr>
      <w:r>
        <w:rPr>
          <w:rFonts w:hint="default" w:ascii="Times New Roman" w:hAnsi="Times New Roman" w:eastAsia="仿宋" w:cs="Times New Roman"/>
          <w:b/>
          <w:bCs/>
          <w:szCs w:val="28"/>
        </w:rPr>
        <w:t>2.5.3土壤环境风险受体</w:t>
      </w:r>
    </w:p>
    <w:p w14:paraId="72E5F0B8">
      <w:pPr>
        <w:ind w:firstLine="560" w:firstLineChars="200"/>
        <w:rPr>
          <w:rFonts w:hint="default" w:ascii="Times New Roman" w:hAnsi="Times New Roman" w:eastAsia="仿宋" w:cs="Times New Roman"/>
          <w:szCs w:val="28"/>
        </w:rPr>
        <w:sectPr>
          <w:pgSz w:w="11905" w:h="16838"/>
          <w:pgMar w:top="1440" w:right="1083" w:bottom="1440" w:left="1083" w:header="737" w:footer="567" w:gutter="0"/>
          <w:cols w:space="0" w:num="1"/>
          <w:rtlGutter w:val="0"/>
          <w:docGrid w:linePitch="0" w:charSpace="0"/>
        </w:sectPr>
      </w:pPr>
      <w:r>
        <w:rPr>
          <w:rFonts w:hint="default" w:ascii="Times New Roman" w:hAnsi="Times New Roman" w:eastAsia="仿宋" w:cs="Times New Roman"/>
          <w:szCs w:val="28"/>
        </w:rPr>
        <w:t>根据《天津市滨海新区土地利用总体规划（2015-2020年）》，本公司及周围地区土地性质为建设用地，不涉及基本农田保护区等土壤环境风险受体。</w:t>
      </w:r>
    </w:p>
    <w:p w14:paraId="0B7C5380">
      <w:pPr>
        <w:outlineLvl w:val="0"/>
        <w:rPr>
          <w:rFonts w:hint="default" w:ascii="Times New Roman" w:hAnsi="Times New Roman" w:eastAsia="仿宋" w:cs="Times New Roman"/>
          <w:b/>
          <w:bCs/>
          <w:szCs w:val="28"/>
        </w:rPr>
      </w:pPr>
      <w:bookmarkStart w:id="43" w:name="_Toc3036"/>
      <w:r>
        <w:rPr>
          <w:rFonts w:hint="default" w:ascii="Times New Roman" w:hAnsi="Times New Roman" w:eastAsia="仿宋" w:cs="Times New Roman"/>
          <w:b/>
          <w:bCs/>
          <w:szCs w:val="28"/>
        </w:rPr>
        <w:t>3.环境风险源辨识与风险评估</w:t>
      </w:r>
      <w:bookmarkEnd w:id="41"/>
      <w:bookmarkEnd w:id="43"/>
    </w:p>
    <w:p w14:paraId="3B9C11BE">
      <w:pPr>
        <w:outlineLvl w:val="1"/>
        <w:rPr>
          <w:rFonts w:hint="default" w:ascii="Times New Roman" w:hAnsi="Times New Roman" w:eastAsia="仿宋" w:cs="Times New Roman"/>
          <w:szCs w:val="28"/>
        </w:rPr>
      </w:pPr>
      <w:bookmarkStart w:id="44" w:name="_Toc13602"/>
      <w:bookmarkStart w:id="45" w:name="_Toc9434_WPSOffice_Level2"/>
      <w:r>
        <w:rPr>
          <w:rFonts w:hint="default" w:ascii="Times New Roman" w:hAnsi="Times New Roman" w:eastAsia="仿宋" w:cs="Times New Roman"/>
          <w:b/>
          <w:bCs/>
          <w:szCs w:val="28"/>
        </w:rPr>
        <w:t>3.1环境风险源辨识</w:t>
      </w:r>
      <w:bookmarkEnd w:id="44"/>
      <w:bookmarkEnd w:id="45"/>
      <w:bookmarkStart w:id="46" w:name="_Toc6849_WPSOffice_Level2"/>
    </w:p>
    <w:p w14:paraId="6D61815C">
      <w:pPr>
        <w:spacing w:line="288" w:lineRule="auto"/>
        <w:jc w:val="center"/>
        <w:rPr>
          <w:rFonts w:hint="default" w:ascii="Times New Roman" w:hAnsi="Times New Roman" w:eastAsia="仿宋" w:cs="Times New Roman"/>
          <w:szCs w:val="24"/>
        </w:rPr>
      </w:pPr>
      <w:r>
        <w:rPr>
          <w:rFonts w:hint="default" w:ascii="Times New Roman" w:hAnsi="Times New Roman" w:eastAsia="仿宋" w:cs="Times New Roman"/>
          <w:szCs w:val="24"/>
        </w:rPr>
        <w:t>表3.1  环境风险源识别清单</w:t>
      </w:r>
    </w:p>
    <w:tbl>
      <w:tblPr>
        <w:tblStyle w:val="43"/>
        <w:tblW w:w="102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2693"/>
        <w:gridCol w:w="1418"/>
        <w:gridCol w:w="4799"/>
      </w:tblGrid>
      <w:tr w14:paraId="6E517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shd w:val="clear" w:color="auto" w:fill="D7D7D7"/>
            <w:vAlign w:val="center"/>
          </w:tcPr>
          <w:p w14:paraId="50AC905F">
            <w:pPr>
              <w:spacing w:line="288" w:lineRule="auto"/>
              <w:jc w:val="center"/>
              <w:rPr>
                <w:rFonts w:hint="default" w:ascii="Times New Roman" w:hAnsi="Times New Roman" w:eastAsia="仿宋" w:cs="Times New Roman"/>
                <w:sz w:val="24"/>
                <w:szCs w:val="24"/>
              </w:rPr>
            </w:pPr>
            <w:bookmarkStart w:id="47" w:name="_Toc29776"/>
            <w:r>
              <w:rPr>
                <w:rFonts w:hint="default" w:ascii="Times New Roman" w:hAnsi="Times New Roman" w:eastAsia="仿宋" w:cs="Times New Roman"/>
                <w:sz w:val="24"/>
                <w:szCs w:val="24"/>
              </w:rPr>
              <w:t>环境风险单元</w:t>
            </w:r>
            <w:bookmarkEnd w:id="47"/>
          </w:p>
        </w:tc>
        <w:tc>
          <w:tcPr>
            <w:tcW w:w="2693" w:type="dxa"/>
            <w:shd w:val="clear" w:color="auto" w:fill="D7D7D7"/>
            <w:vAlign w:val="center"/>
          </w:tcPr>
          <w:p w14:paraId="072B605C">
            <w:pPr>
              <w:spacing w:line="288" w:lineRule="auto"/>
              <w:jc w:val="center"/>
              <w:rPr>
                <w:rFonts w:hint="default" w:ascii="Times New Roman" w:hAnsi="Times New Roman" w:eastAsia="仿宋" w:cs="Times New Roman"/>
                <w:sz w:val="24"/>
                <w:szCs w:val="24"/>
              </w:rPr>
            </w:pPr>
            <w:bookmarkStart w:id="48" w:name="_Toc27007"/>
            <w:r>
              <w:rPr>
                <w:rFonts w:hint="default" w:ascii="Times New Roman" w:hAnsi="Times New Roman" w:eastAsia="仿宋" w:cs="Times New Roman"/>
                <w:sz w:val="24"/>
                <w:szCs w:val="24"/>
              </w:rPr>
              <w:t>涉及风险物质</w:t>
            </w:r>
            <w:bookmarkEnd w:id="48"/>
          </w:p>
        </w:tc>
        <w:tc>
          <w:tcPr>
            <w:tcW w:w="1418" w:type="dxa"/>
            <w:shd w:val="clear" w:color="auto" w:fill="D7D7D7"/>
            <w:vAlign w:val="center"/>
          </w:tcPr>
          <w:p w14:paraId="261C66B7">
            <w:pPr>
              <w:spacing w:line="288" w:lineRule="auto"/>
              <w:jc w:val="center"/>
              <w:rPr>
                <w:rFonts w:hint="default" w:ascii="Times New Roman" w:hAnsi="Times New Roman" w:eastAsia="仿宋" w:cs="Times New Roman"/>
                <w:sz w:val="24"/>
                <w:szCs w:val="24"/>
              </w:rPr>
            </w:pPr>
            <w:bookmarkStart w:id="49" w:name="_Toc22175"/>
            <w:r>
              <w:rPr>
                <w:rFonts w:hint="default" w:ascii="Times New Roman" w:hAnsi="Times New Roman" w:eastAsia="仿宋" w:cs="Times New Roman"/>
                <w:sz w:val="24"/>
                <w:szCs w:val="24"/>
              </w:rPr>
              <w:t>事故情景</w:t>
            </w:r>
            <w:bookmarkEnd w:id="49"/>
          </w:p>
        </w:tc>
        <w:tc>
          <w:tcPr>
            <w:tcW w:w="4799" w:type="dxa"/>
            <w:shd w:val="clear" w:color="auto" w:fill="D7D7D7"/>
            <w:vAlign w:val="center"/>
          </w:tcPr>
          <w:p w14:paraId="2A9D4449">
            <w:pPr>
              <w:adjustRightInd w:val="0"/>
              <w:spacing w:line="288" w:lineRule="auto"/>
              <w:jc w:val="center"/>
              <w:textAlignment w:val="baseline"/>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可能产生或次生的环境危害分析</w:t>
            </w:r>
          </w:p>
        </w:tc>
      </w:tr>
      <w:tr w14:paraId="23622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384" w:type="dxa"/>
            <w:vMerge w:val="restart"/>
            <w:vAlign w:val="center"/>
          </w:tcPr>
          <w:p w14:paraId="46EDC6A8">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生产车间、原辅料库、成品库、露天厂区、危废暂存间</w:t>
            </w:r>
          </w:p>
        </w:tc>
        <w:tc>
          <w:tcPr>
            <w:tcW w:w="2693" w:type="dxa"/>
            <w:vMerge w:val="restart"/>
            <w:vAlign w:val="center"/>
          </w:tcPr>
          <w:p w14:paraId="2AEAE5E3">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润滑油、液压油、纤维原料、非织造布、天然气、废润滑油、废液压油</w:t>
            </w:r>
          </w:p>
        </w:tc>
        <w:tc>
          <w:tcPr>
            <w:tcW w:w="1418" w:type="dxa"/>
            <w:vMerge w:val="restart"/>
            <w:vAlign w:val="center"/>
          </w:tcPr>
          <w:p w14:paraId="1081FA8D">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泄漏、火灾、爆炸、</w:t>
            </w:r>
          </w:p>
        </w:tc>
        <w:tc>
          <w:tcPr>
            <w:tcW w:w="4799" w:type="dxa"/>
            <w:vMerge w:val="restart"/>
            <w:vAlign w:val="center"/>
          </w:tcPr>
          <w:p w14:paraId="6AA91F28">
            <w:pPr>
              <w:adjustRightInd w:val="0"/>
              <w:snapToGrid w:val="0"/>
              <w:spacing w:line="240" w:lineRule="auto"/>
              <w:ind w:firstLine="240" w:firstLineChars="100"/>
              <w:textAlignment w:val="baseline"/>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泄漏：上述危险物质储存形式为桶装，为小包装形式，因此，本项目可能发生的泄露事故为小量泄露，若发现泄漏事故后，巡检人员立刻将泄露桶内剩余物料进行转移，将泄漏物料进行收集处理，泄漏量较小，不会对周边环境产生明显影响。</w:t>
            </w:r>
          </w:p>
          <w:p w14:paraId="02B908A3">
            <w:pPr>
              <w:adjustRightInd w:val="0"/>
              <w:snapToGrid w:val="0"/>
              <w:spacing w:line="240" w:lineRule="auto"/>
              <w:ind w:firstLine="240" w:firstLineChars="100"/>
              <w:textAlignment w:val="baseline"/>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本项目天然气管道设置有手动进厂总切断阀，天然气泄漏时可自动切断电磁阀控制泄漏，极端情况下电磁阀故障，可手动关闭切断阀。故一般情况不会造成明显危害性后果。极小概率，手动总阀门及上游出现泄漏，不能通过关闭总阀切断泄漏源，天然气可能发生持续泄漏，而发生这种情形的概率极低，不再进一步分析后果。</w:t>
            </w:r>
          </w:p>
          <w:p w14:paraId="7863AFF4">
            <w:pPr>
              <w:adjustRightInd w:val="0"/>
              <w:snapToGrid w:val="0"/>
              <w:spacing w:line="240" w:lineRule="auto"/>
              <w:ind w:firstLine="240" w:firstLineChars="100"/>
              <w:textAlignment w:val="baseline"/>
              <w:rPr>
                <w:rFonts w:hint="default" w:ascii="Times New Roman" w:hAnsi="Times New Roman" w:eastAsia="仿宋" w:cs="Times New Roman"/>
                <w:sz w:val="24"/>
                <w:szCs w:val="24"/>
              </w:rPr>
            </w:pPr>
            <w:r>
              <w:rPr>
                <w:rFonts w:hint="default" w:ascii="Times New Roman" w:hAnsi="Times New Roman" w:eastAsia="仿宋" w:cs="Times New Roman"/>
                <w:sz w:val="24"/>
                <w:szCs w:val="24"/>
              </w:rPr>
              <w:t xml:space="preserve">2）火灾/爆炸：若火势较小，现场人员使用灭火器进行灭火，可控制火情。若火势较大，灭火过程产生消防废水，含有的风险物质混入到消防废水中，使用消防沙、沙袋等拦截至生产车间内，不会对水环境造成影响。 </w:t>
            </w:r>
          </w:p>
        </w:tc>
      </w:tr>
      <w:tr w14:paraId="79C2F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384" w:type="dxa"/>
            <w:vMerge w:val="continue"/>
            <w:vAlign w:val="center"/>
          </w:tcPr>
          <w:p w14:paraId="0761E315">
            <w:pPr>
              <w:spacing w:line="288" w:lineRule="auto"/>
              <w:jc w:val="center"/>
              <w:rPr>
                <w:rFonts w:hint="default" w:ascii="Times New Roman" w:hAnsi="Times New Roman" w:eastAsia="仿宋" w:cs="Times New Roman"/>
                <w:sz w:val="24"/>
                <w:szCs w:val="24"/>
              </w:rPr>
            </w:pPr>
          </w:p>
        </w:tc>
        <w:tc>
          <w:tcPr>
            <w:tcW w:w="2693" w:type="dxa"/>
            <w:vMerge w:val="continue"/>
            <w:vAlign w:val="center"/>
          </w:tcPr>
          <w:p w14:paraId="515145D7">
            <w:pPr>
              <w:spacing w:line="288" w:lineRule="auto"/>
              <w:jc w:val="center"/>
              <w:rPr>
                <w:rFonts w:hint="default" w:ascii="Times New Roman" w:hAnsi="Times New Roman" w:eastAsia="仿宋" w:cs="Times New Roman"/>
                <w:sz w:val="24"/>
                <w:szCs w:val="24"/>
              </w:rPr>
            </w:pPr>
          </w:p>
        </w:tc>
        <w:tc>
          <w:tcPr>
            <w:tcW w:w="1418" w:type="dxa"/>
            <w:vMerge w:val="continue"/>
            <w:vAlign w:val="center"/>
          </w:tcPr>
          <w:p w14:paraId="35F11F33">
            <w:pPr>
              <w:adjustRightInd w:val="0"/>
              <w:spacing w:line="288" w:lineRule="auto"/>
              <w:jc w:val="center"/>
              <w:textAlignment w:val="baseline"/>
              <w:rPr>
                <w:rFonts w:hint="default" w:ascii="Times New Roman" w:hAnsi="Times New Roman" w:eastAsia="仿宋" w:cs="Times New Roman"/>
                <w:sz w:val="24"/>
                <w:szCs w:val="24"/>
              </w:rPr>
            </w:pPr>
          </w:p>
        </w:tc>
        <w:tc>
          <w:tcPr>
            <w:tcW w:w="4799" w:type="dxa"/>
            <w:vMerge w:val="continue"/>
            <w:vAlign w:val="center"/>
          </w:tcPr>
          <w:p w14:paraId="7E46B60C">
            <w:pPr>
              <w:adjustRightInd w:val="0"/>
              <w:spacing w:line="288" w:lineRule="auto"/>
              <w:jc w:val="center"/>
              <w:textAlignment w:val="baseline"/>
              <w:rPr>
                <w:rFonts w:hint="default" w:ascii="Times New Roman" w:hAnsi="Times New Roman" w:eastAsia="仿宋" w:cs="Times New Roman"/>
                <w:sz w:val="24"/>
                <w:szCs w:val="24"/>
              </w:rPr>
            </w:pPr>
          </w:p>
        </w:tc>
      </w:tr>
      <w:tr w14:paraId="4C63D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384" w:type="dxa"/>
            <w:vMerge w:val="continue"/>
            <w:vAlign w:val="center"/>
          </w:tcPr>
          <w:p w14:paraId="47BE5043">
            <w:pPr>
              <w:adjustRightInd w:val="0"/>
              <w:spacing w:line="288" w:lineRule="auto"/>
              <w:jc w:val="center"/>
              <w:textAlignment w:val="baseline"/>
              <w:rPr>
                <w:rFonts w:hint="default" w:ascii="Times New Roman" w:hAnsi="Times New Roman" w:eastAsia="仿宋" w:cs="Times New Roman"/>
                <w:sz w:val="24"/>
                <w:szCs w:val="24"/>
              </w:rPr>
            </w:pPr>
          </w:p>
        </w:tc>
        <w:tc>
          <w:tcPr>
            <w:tcW w:w="2693" w:type="dxa"/>
            <w:vMerge w:val="continue"/>
            <w:vAlign w:val="center"/>
          </w:tcPr>
          <w:p w14:paraId="6B1A03C3">
            <w:pPr>
              <w:adjustRightInd w:val="0"/>
              <w:spacing w:line="288" w:lineRule="auto"/>
              <w:jc w:val="center"/>
              <w:textAlignment w:val="baseline"/>
              <w:rPr>
                <w:rFonts w:hint="default" w:ascii="Times New Roman" w:hAnsi="Times New Roman" w:eastAsia="仿宋" w:cs="Times New Roman"/>
                <w:sz w:val="24"/>
                <w:szCs w:val="24"/>
              </w:rPr>
            </w:pPr>
          </w:p>
        </w:tc>
        <w:tc>
          <w:tcPr>
            <w:tcW w:w="1418" w:type="dxa"/>
            <w:vMerge w:val="continue"/>
            <w:vAlign w:val="center"/>
          </w:tcPr>
          <w:p w14:paraId="600F3F7B">
            <w:pPr>
              <w:adjustRightInd w:val="0"/>
              <w:spacing w:line="288" w:lineRule="auto"/>
              <w:jc w:val="center"/>
              <w:textAlignment w:val="baseline"/>
              <w:rPr>
                <w:rFonts w:hint="default" w:ascii="Times New Roman" w:hAnsi="Times New Roman" w:eastAsia="仿宋" w:cs="Times New Roman"/>
                <w:sz w:val="24"/>
                <w:szCs w:val="24"/>
              </w:rPr>
            </w:pPr>
          </w:p>
        </w:tc>
        <w:tc>
          <w:tcPr>
            <w:tcW w:w="4799" w:type="dxa"/>
            <w:vMerge w:val="continue"/>
            <w:vAlign w:val="center"/>
          </w:tcPr>
          <w:p w14:paraId="44034466">
            <w:pPr>
              <w:adjustRightInd w:val="0"/>
              <w:spacing w:line="288" w:lineRule="auto"/>
              <w:jc w:val="center"/>
              <w:textAlignment w:val="baseline"/>
              <w:rPr>
                <w:rFonts w:hint="default" w:ascii="Times New Roman" w:hAnsi="Times New Roman" w:eastAsia="仿宋" w:cs="Times New Roman"/>
                <w:sz w:val="24"/>
                <w:szCs w:val="24"/>
              </w:rPr>
            </w:pPr>
          </w:p>
        </w:tc>
      </w:tr>
      <w:tr w14:paraId="67065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384" w:type="dxa"/>
            <w:vMerge w:val="continue"/>
            <w:vAlign w:val="center"/>
          </w:tcPr>
          <w:p w14:paraId="2DBEFAC9">
            <w:pPr>
              <w:adjustRightInd w:val="0"/>
              <w:spacing w:line="288" w:lineRule="auto"/>
              <w:jc w:val="center"/>
              <w:textAlignment w:val="baseline"/>
              <w:rPr>
                <w:rFonts w:hint="default" w:ascii="Times New Roman" w:hAnsi="Times New Roman" w:eastAsia="仿宋" w:cs="Times New Roman"/>
                <w:sz w:val="24"/>
                <w:szCs w:val="24"/>
              </w:rPr>
            </w:pPr>
          </w:p>
        </w:tc>
        <w:tc>
          <w:tcPr>
            <w:tcW w:w="2693" w:type="dxa"/>
            <w:vMerge w:val="continue"/>
            <w:vAlign w:val="center"/>
          </w:tcPr>
          <w:p w14:paraId="12A7C88A">
            <w:pPr>
              <w:adjustRightInd w:val="0"/>
              <w:spacing w:line="288" w:lineRule="auto"/>
              <w:jc w:val="center"/>
              <w:textAlignment w:val="baseline"/>
              <w:rPr>
                <w:rFonts w:hint="default" w:ascii="Times New Roman" w:hAnsi="Times New Roman" w:eastAsia="仿宋" w:cs="Times New Roman"/>
                <w:sz w:val="24"/>
                <w:szCs w:val="24"/>
              </w:rPr>
            </w:pPr>
          </w:p>
        </w:tc>
        <w:tc>
          <w:tcPr>
            <w:tcW w:w="1418" w:type="dxa"/>
            <w:vMerge w:val="continue"/>
            <w:vAlign w:val="center"/>
          </w:tcPr>
          <w:p w14:paraId="49C50F9A">
            <w:pPr>
              <w:adjustRightInd w:val="0"/>
              <w:spacing w:line="288" w:lineRule="auto"/>
              <w:jc w:val="center"/>
              <w:textAlignment w:val="baseline"/>
              <w:rPr>
                <w:rFonts w:hint="default" w:ascii="Times New Roman" w:hAnsi="Times New Roman" w:eastAsia="仿宋" w:cs="Times New Roman"/>
                <w:sz w:val="24"/>
                <w:szCs w:val="24"/>
              </w:rPr>
            </w:pPr>
          </w:p>
        </w:tc>
        <w:tc>
          <w:tcPr>
            <w:tcW w:w="4799" w:type="dxa"/>
            <w:vMerge w:val="continue"/>
            <w:vAlign w:val="center"/>
          </w:tcPr>
          <w:p w14:paraId="27F46D00">
            <w:pPr>
              <w:adjustRightInd w:val="0"/>
              <w:spacing w:line="288" w:lineRule="auto"/>
              <w:jc w:val="center"/>
              <w:textAlignment w:val="baseline"/>
              <w:rPr>
                <w:rFonts w:hint="default" w:ascii="Times New Roman" w:hAnsi="Times New Roman" w:eastAsia="仿宋" w:cs="Times New Roman"/>
                <w:sz w:val="24"/>
                <w:szCs w:val="24"/>
              </w:rPr>
            </w:pPr>
          </w:p>
        </w:tc>
      </w:tr>
      <w:tr w14:paraId="623D8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384" w:type="dxa"/>
            <w:vMerge w:val="continue"/>
            <w:vAlign w:val="center"/>
          </w:tcPr>
          <w:p w14:paraId="79F55BDD">
            <w:pPr>
              <w:adjustRightInd w:val="0"/>
              <w:spacing w:line="288" w:lineRule="auto"/>
              <w:jc w:val="center"/>
              <w:textAlignment w:val="baseline"/>
              <w:rPr>
                <w:rFonts w:hint="default" w:ascii="Times New Roman" w:hAnsi="Times New Roman" w:eastAsia="仿宋" w:cs="Times New Roman"/>
                <w:sz w:val="24"/>
                <w:szCs w:val="24"/>
              </w:rPr>
            </w:pPr>
          </w:p>
        </w:tc>
        <w:tc>
          <w:tcPr>
            <w:tcW w:w="2693" w:type="dxa"/>
            <w:vMerge w:val="continue"/>
            <w:vAlign w:val="center"/>
          </w:tcPr>
          <w:p w14:paraId="54D23893">
            <w:pPr>
              <w:adjustRightInd w:val="0"/>
              <w:spacing w:line="288" w:lineRule="auto"/>
              <w:jc w:val="center"/>
              <w:textAlignment w:val="baseline"/>
              <w:rPr>
                <w:rFonts w:hint="default" w:ascii="Times New Roman" w:hAnsi="Times New Roman" w:eastAsia="仿宋" w:cs="Times New Roman"/>
                <w:sz w:val="24"/>
                <w:szCs w:val="24"/>
              </w:rPr>
            </w:pPr>
          </w:p>
        </w:tc>
        <w:tc>
          <w:tcPr>
            <w:tcW w:w="1418" w:type="dxa"/>
            <w:vMerge w:val="continue"/>
            <w:vAlign w:val="center"/>
          </w:tcPr>
          <w:p w14:paraId="1FD15305">
            <w:pPr>
              <w:adjustRightInd w:val="0"/>
              <w:spacing w:line="288" w:lineRule="auto"/>
              <w:jc w:val="center"/>
              <w:textAlignment w:val="baseline"/>
              <w:rPr>
                <w:rFonts w:hint="default" w:ascii="Times New Roman" w:hAnsi="Times New Roman" w:eastAsia="仿宋" w:cs="Times New Roman"/>
                <w:sz w:val="24"/>
                <w:szCs w:val="24"/>
              </w:rPr>
            </w:pPr>
          </w:p>
        </w:tc>
        <w:tc>
          <w:tcPr>
            <w:tcW w:w="4799" w:type="dxa"/>
            <w:vMerge w:val="continue"/>
            <w:vAlign w:val="center"/>
          </w:tcPr>
          <w:p w14:paraId="3C6AA4B5">
            <w:pPr>
              <w:adjustRightInd w:val="0"/>
              <w:spacing w:line="288" w:lineRule="auto"/>
              <w:jc w:val="center"/>
              <w:textAlignment w:val="baseline"/>
              <w:rPr>
                <w:rFonts w:hint="default" w:ascii="Times New Roman" w:hAnsi="Times New Roman" w:eastAsia="仿宋" w:cs="Times New Roman"/>
                <w:sz w:val="24"/>
                <w:szCs w:val="24"/>
              </w:rPr>
            </w:pPr>
          </w:p>
        </w:tc>
      </w:tr>
    </w:tbl>
    <w:p w14:paraId="6EA18F8F">
      <w:pPr>
        <w:outlineLvl w:val="1"/>
        <w:rPr>
          <w:rFonts w:hint="default" w:ascii="Times New Roman" w:hAnsi="Times New Roman" w:eastAsia="仿宋" w:cs="Times New Roman"/>
          <w:b/>
          <w:bCs/>
          <w:szCs w:val="28"/>
        </w:rPr>
      </w:pPr>
      <w:bookmarkStart w:id="50" w:name="_Toc26432"/>
      <w:r>
        <w:rPr>
          <w:rFonts w:hint="default" w:ascii="Times New Roman" w:hAnsi="Times New Roman" w:eastAsia="仿宋" w:cs="Times New Roman"/>
          <w:b/>
          <w:bCs/>
          <w:szCs w:val="28"/>
        </w:rPr>
        <w:t>3.2环境风险评估</w:t>
      </w:r>
      <w:bookmarkEnd w:id="46"/>
      <w:bookmarkEnd w:id="50"/>
    </w:p>
    <w:p w14:paraId="470D6340">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本公司单独编制了《东纶科技实业（天津）有限公司突发环境事件风险评估报告》，对本公司进行了环境风险源辩识和风险评估，详细分析参见该报告。根据该报告的评估结论，企业的风险等级为：一般[一般-大气(Q0)+一般-水(Q0)</w:t>
      </w:r>
      <w:bookmarkStart w:id="51" w:name="_Toc462336201"/>
      <w:bookmarkEnd w:id="51"/>
      <w:r>
        <w:rPr>
          <w:rFonts w:hint="default" w:ascii="Times New Roman" w:hAnsi="Times New Roman" w:eastAsia="仿宋" w:cs="Times New Roman"/>
          <w:szCs w:val="28"/>
        </w:rPr>
        <w:t>]。</w:t>
      </w:r>
    </w:p>
    <w:p w14:paraId="0088E367">
      <w:pPr>
        <w:rPr>
          <w:rFonts w:hint="default" w:ascii="Times New Roman" w:hAnsi="Times New Roman" w:eastAsia="仿宋" w:cs="Times New Roman"/>
        </w:rPr>
        <w:sectPr>
          <w:pgSz w:w="11905" w:h="16838"/>
          <w:pgMar w:top="1440" w:right="1083" w:bottom="1440" w:left="1083" w:header="737" w:footer="567" w:gutter="0"/>
          <w:cols w:space="0" w:num="1"/>
          <w:rtlGutter w:val="0"/>
          <w:docGrid w:linePitch="0" w:charSpace="0"/>
        </w:sectPr>
      </w:pPr>
    </w:p>
    <w:p w14:paraId="4EDF144E">
      <w:pPr>
        <w:outlineLvl w:val="0"/>
        <w:rPr>
          <w:rFonts w:hint="default" w:ascii="Times New Roman" w:hAnsi="Times New Roman" w:eastAsia="仿宋" w:cs="Times New Roman"/>
          <w:b/>
          <w:bCs/>
          <w:szCs w:val="28"/>
        </w:rPr>
      </w:pPr>
      <w:bookmarkStart w:id="52" w:name="_Toc27209"/>
      <w:r>
        <w:rPr>
          <w:rFonts w:hint="default" w:ascii="Times New Roman" w:hAnsi="Times New Roman" w:eastAsia="仿宋" w:cs="Times New Roman"/>
          <w:b/>
          <w:bCs/>
          <w:szCs w:val="28"/>
        </w:rPr>
        <w:t>4.组织</w:t>
      </w:r>
      <w:bookmarkEnd w:id="42"/>
      <w:r>
        <w:rPr>
          <w:rFonts w:hint="default" w:ascii="Times New Roman" w:hAnsi="Times New Roman" w:eastAsia="仿宋" w:cs="Times New Roman"/>
          <w:b/>
          <w:bCs/>
          <w:szCs w:val="28"/>
        </w:rPr>
        <w:t>指挥机制</w:t>
      </w:r>
      <w:bookmarkEnd w:id="52"/>
    </w:p>
    <w:p w14:paraId="5F1AC8EE">
      <w:pPr>
        <w:outlineLvl w:val="1"/>
        <w:rPr>
          <w:rFonts w:hint="default" w:ascii="Times New Roman" w:hAnsi="Times New Roman" w:eastAsia="仿宋" w:cs="Times New Roman"/>
          <w:b/>
          <w:bCs/>
          <w:szCs w:val="28"/>
        </w:rPr>
      </w:pPr>
      <w:bookmarkStart w:id="53" w:name="_Toc27509"/>
      <w:bookmarkStart w:id="54" w:name="_Toc16574_WPSOffice_Level2"/>
      <w:r>
        <w:rPr>
          <w:rFonts w:hint="default" w:ascii="Times New Roman" w:hAnsi="Times New Roman" w:eastAsia="仿宋" w:cs="Times New Roman"/>
          <w:b/>
          <w:bCs/>
          <w:szCs w:val="28"/>
        </w:rPr>
        <w:t>4.1指挥机构组成</w:t>
      </w:r>
      <w:bookmarkEnd w:id="53"/>
      <w:bookmarkEnd w:id="54"/>
    </w:p>
    <w:p w14:paraId="219B2F13">
      <w:pPr>
        <w:ind w:firstLine="560" w:firstLineChars="200"/>
        <w:rPr>
          <w:rFonts w:hint="default" w:ascii="Times New Roman" w:hAnsi="Times New Roman" w:eastAsia="仿宋" w:cs="Times New Roman"/>
          <w:szCs w:val="28"/>
        </w:rPr>
      </w:pPr>
      <w:bookmarkStart w:id="55" w:name="_Hlk175128042"/>
      <w:r>
        <w:rPr>
          <w:rFonts w:hint="default" w:ascii="Times New Roman" w:hAnsi="Times New Roman" w:eastAsia="仿宋" w:cs="Times New Roman"/>
          <w:szCs w:val="28"/>
        </w:rPr>
        <w:t>东纶科技实业（天津）有限公司建立完善的突发事故应急指挥机构，由公司领导刘东生担任总指挥，综合管理部经理陈凯担任副总指挥，副总经理兼生产管理部王健担任应急救援办公室组长。下设通讯联络组、环保应急组、抢险救援组、后勤保障组、紧急疏散组5个专项应急工作组，应急救援办公室负责日常值班及处理与应急救援相关的日常事务。各职能部门相互协调，在应急指挥机构的指挥下分工合作，完成应急抢险任务。</w:t>
      </w:r>
    </w:p>
    <w:bookmarkEnd w:id="55"/>
    <w:p w14:paraId="5969B2DC">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应急组织机构设置见图4.1。</w:t>
      </w:r>
    </w:p>
    <w:p w14:paraId="46FF7C49">
      <w:pPr>
        <w:jc w:val="center"/>
        <w:rPr>
          <w:rFonts w:hint="default" w:ascii="Times New Roman" w:hAnsi="Times New Roman" w:eastAsia="仿宋" w:cs="Times New Roman"/>
          <w:szCs w:val="28"/>
        </w:rPr>
      </w:pPr>
      <w:r>
        <w:rPr>
          <w:rFonts w:hint="default" w:ascii="Times New Roman" w:hAnsi="Times New Roman" w:eastAsia="仿宋" w:cs="Times New Roman"/>
          <w:szCs w:val="28"/>
        </w:rPr>
        <w:drawing>
          <wp:inline distT="0" distB="0" distL="0" distR="0">
            <wp:extent cx="6251575" cy="2886075"/>
            <wp:effectExtent l="0" t="0" r="0" b="9525"/>
            <wp:docPr id="1997452728" name="图片 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52728" name="图片 8" descr="图示&#10;&#10;描述已自动生成"/>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251575" cy="2886075"/>
                    </a:xfrm>
                    <a:prstGeom prst="rect">
                      <a:avLst/>
                    </a:prstGeom>
                    <a:noFill/>
                    <a:ln>
                      <a:noFill/>
                    </a:ln>
                  </pic:spPr>
                </pic:pic>
              </a:graphicData>
            </a:graphic>
          </wp:inline>
        </w:drawing>
      </w:r>
    </w:p>
    <w:p w14:paraId="524FD89B">
      <w:pPr>
        <w:jc w:val="center"/>
        <w:rPr>
          <w:rFonts w:hint="default" w:ascii="Times New Roman" w:hAnsi="Times New Roman" w:eastAsia="仿宋" w:cs="Times New Roman"/>
          <w:b/>
          <w:bCs/>
          <w:szCs w:val="28"/>
        </w:rPr>
      </w:pPr>
      <w:r>
        <w:rPr>
          <w:rFonts w:hint="default" w:ascii="Times New Roman" w:hAnsi="Times New Roman" w:eastAsia="仿宋" w:cs="Times New Roman"/>
          <w:szCs w:val="28"/>
        </w:rPr>
        <w:t>图4.1  应急组织机构图</w:t>
      </w:r>
      <w:bookmarkStart w:id="56" w:name="_Toc15520_WPSOffice_Level2"/>
    </w:p>
    <w:p w14:paraId="5C359536">
      <w:pPr>
        <w:rPr>
          <w:rFonts w:hint="default" w:ascii="Times New Roman" w:hAnsi="Times New Roman" w:eastAsia="仿宋" w:cs="Times New Roman"/>
          <w:b/>
          <w:bCs/>
          <w:szCs w:val="24"/>
        </w:rPr>
      </w:pPr>
      <w:r>
        <w:rPr>
          <w:rFonts w:hint="default" w:ascii="Times New Roman" w:hAnsi="Times New Roman" w:eastAsia="仿宋" w:cs="Times New Roman"/>
          <w:b/>
          <w:bCs/>
          <w:szCs w:val="28"/>
        </w:rPr>
        <w:t>4.1.1指挥机构的主要职责</w:t>
      </w:r>
      <w:bookmarkEnd w:id="56"/>
    </w:p>
    <w:p w14:paraId="0EAA2FD5">
      <w:pPr>
        <w:jc w:val="center"/>
        <w:rPr>
          <w:rFonts w:hint="default" w:ascii="Times New Roman" w:hAnsi="Times New Roman" w:eastAsia="仿宋" w:cs="Times New Roman"/>
          <w:szCs w:val="24"/>
        </w:rPr>
      </w:pPr>
      <w:r>
        <w:rPr>
          <w:rFonts w:hint="default" w:ascii="Times New Roman" w:hAnsi="Times New Roman" w:eastAsia="仿宋" w:cs="Times New Roman"/>
          <w:szCs w:val="24"/>
        </w:rPr>
        <w:t>表4.1  应急指挥机构主要职责</w:t>
      </w:r>
    </w:p>
    <w:tbl>
      <w:tblPr>
        <w:tblStyle w:val="43"/>
        <w:tblW w:w="95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28"/>
        <w:gridCol w:w="7633"/>
      </w:tblGrid>
      <w:tr w14:paraId="3D34CF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8" w:type="dxa"/>
            <w:tcBorders>
              <w:tl2br w:val="nil"/>
              <w:tr2bl w:val="nil"/>
            </w:tcBorders>
            <w:shd w:val="clear" w:color="auto" w:fill="D7D7D7"/>
            <w:vAlign w:val="center"/>
          </w:tcPr>
          <w:p w14:paraId="31F9B17B">
            <w:pPr>
              <w:spacing w:line="240"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分类</w:t>
            </w:r>
          </w:p>
        </w:tc>
        <w:tc>
          <w:tcPr>
            <w:tcW w:w="7633" w:type="dxa"/>
            <w:tcBorders>
              <w:tl2br w:val="nil"/>
              <w:tr2bl w:val="nil"/>
            </w:tcBorders>
            <w:shd w:val="clear" w:color="auto" w:fill="D7D7D7"/>
            <w:vAlign w:val="center"/>
          </w:tcPr>
          <w:p w14:paraId="531A90E0">
            <w:pPr>
              <w:spacing w:line="240"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职责</w:t>
            </w:r>
          </w:p>
        </w:tc>
      </w:tr>
      <w:tr w14:paraId="0A82D8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8" w:type="dxa"/>
            <w:tcBorders>
              <w:tl2br w:val="nil"/>
              <w:tr2bl w:val="nil"/>
            </w:tcBorders>
            <w:vAlign w:val="center"/>
          </w:tcPr>
          <w:p w14:paraId="2E043BDD">
            <w:pPr>
              <w:spacing w:line="240"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总指挥</w:t>
            </w:r>
          </w:p>
        </w:tc>
        <w:tc>
          <w:tcPr>
            <w:tcW w:w="7633" w:type="dxa"/>
            <w:tcBorders>
              <w:tl2br w:val="nil"/>
              <w:tr2bl w:val="nil"/>
            </w:tcBorders>
            <w:vAlign w:val="center"/>
          </w:tcPr>
          <w:p w14:paraId="73796AA5">
            <w:pPr>
              <w:spacing w:line="240" w:lineRule="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（1）担负应急救援行动的最高指挥，分析事件类别、灾害程度，确定事件应急救援最佳方案；</w:t>
            </w:r>
          </w:p>
          <w:p w14:paraId="13FD2239">
            <w:pPr>
              <w:spacing w:line="240" w:lineRule="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（2）确定预案响应级别；确定现场指挥人员；发布应急救援命令；批准本预案的启动和终止；监督现场指挥，协调事故现场有关工作，对外信息发布，协助事故处理及调查。</w:t>
            </w:r>
          </w:p>
          <w:p w14:paraId="711695EF">
            <w:pPr>
              <w:spacing w:line="240" w:lineRule="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（3）审批应急预案。</w:t>
            </w:r>
          </w:p>
        </w:tc>
      </w:tr>
      <w:tr w14:paraId="2AAD70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8" w:type="dxa"/>
            <w:tcBorders>
              <w:tl2br w:val="nil"/>
              <w:tr2bl w:val="nil"/>
            </w:tcBorders>
            <w:vAlign w:val="center"/>
          </w:tcPr>
          <w:p w14:paraId="58BD540E">
            <w:pPr>
              <w:spacing w:line="240"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副总指挥</w:t>
            </w:r>
          </w:p>
        </w:tc>
        <w:tc>
          <w:tcPr>
            <w:tcW w:w="7633" w:type="dxa"/>
            <w:tcBorders>
              <w:tl2br w:val="nil"/>
              <w:tr2bl w:val="nil"/>
            </w:tcBorders>
            <w:vAlign w:val="center"/>
          </w:tcPr>
          <w:p w14:paraId="724E866F">
            <w:pPr>
              <w:spacing w:line="240" w:lineRule="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（1）根据总指挥指示负责现场指挥，完成总指挥指派的其他工作。</w:t>
            </w:r>
          </w:p>
          <w:p w14:paraId="49883900">
            <w:pPr>
              <w:spacing w:line="240" w:lineRule="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（2）在总指挥不能到位时按照总指挥的授权承担总指挥职责。</w:t>
            </w:r>
          </w:p>
          <w:p w14:paraId="09FF8567">
            <w:pPr>
              <w:spacing w:line="240" w:lineRule="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（3）组织日常应急工作准备和预案执行情况评估。审核批准年度应急演练计划。</w:t>
            </w:r>
          </w:p>
        </w:tc>
      </w:tr>
      <w:tr w14:paraId="24CDE1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8" w:type="dxa"/>
            <w:tcBorders>
              <w:tl2br w:val="nil"/>
              <w:tr2bl w:val="nil"/>
            </w:tcBorders>
            <w:vAlign w:val="center"/>
          </w:tcPr>
          <w:p w14:paraId="5AB15075">
            <w:pPr>
              <w:spacing w:line="240"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应急救援办公室</w:t>
            </w:r>
          </w:p>
        </w:tc>
        <w:tc>
          <w:tcPr>
            <w:tcW w:w="7633" w:type="dxa"/>
            <w:tcBorders>
              <w:tl2br w:val="nil"/>
              <w:tr2bl w:val="nil"/>
            </w:tcBorders>
            <w:vAlign w:val="center"/>
          </w:tcPr>
          <w:p w14:paraId="5F688440">
            <w:pPr>
              <w:numPr>
                <w:ilvl w:val="0"/>
                <w:numId w:val="4"/>
              </w:numPr>
              <w:spacing w:line="240" w:lineRule="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负责应急指挥机构的日常工作；</w:t>
            </w:r>
          </w:p>
          <w:p w14:paraId="47A66CBB">
            <w:pPr>
              <w:numPr>
                <w:ilvl w:val="0"/>
                <w:numId w:val="4"/>
              </w:numPr>
              <w:spacing w:line="240" w:lineRule="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组织制定突发环境事件应急预案并交由上级环保主管部门备案。</w:t>
            </w:r>
          </w:p>
          <w:p w14:paraId="56A627D6">
            <w:pPr>
              <w:numPr>
                <w:ilvl w:val="0"/>
                <w:numId w:val="4"/>
              </w:numPr>
              <w:spacing w:line="240" w:lineRule="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组建突发环境事件应急处置队伍。</w:t>
            </w:r>
          </w:p>
          <w:p w14:paraId="3F5317C8">
            <w:pPr>
              <w:numPr>
                <w:ilvl w:val="0"/>
                <w:numId w:val="4"/>
              </w:numPr>
              <w:spacing w:line="240" w:lineRule="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负责应急防范设施（备）的建设，以及应急处置物资，特别是处理泄漏物、消解和吸收污染物的物资储备。</w:t>
            </w:r>
          </w:p>
          <w:p w14:paraId="71C421BB">
            <w:pPr>
              <w:numPr>
                <w:ilvl w:val="0"/>
                <w:numId w:val="4"/>
              </w:numPr>
              <w:spacing w:line="240" w:lineRule="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检查、督促做好突发环境事件的预防措施和应急处置的各项准备工作，督促、协助内部相关部门及时消除环境风险物质的跑、冒、滴、漏。</w:t>
            </w:r>
          </w:p>
          <w:p w14:paraId="0C4EE71E">
            <w:pPr>
              <w:numPr>
                <w:ilvl w:val="0"/>
                <w:numId w:val="4"/>
              </w:numPr>
              <w:spacing w:line="240" w:lineRule="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负责组织预案的更新。</w:t>
            </w:r>
          </w:p>
          <w:p w14:paraId="4A0517D4">
            <w:pPr>
              <w:numPr>
                <w:ilvl w:val="0"/>
                <w:numId w:val="4"/>
              </w:numPr>
              <w:spacing w:line="240" w:lineRule="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有计划地组织实施突发环境事件应急处置的培训和应急预案的演习，负责对员工进行应急知识和基本防护方法的培训。</w:t>
            </w:r>
          </w:p>
          <w:p w14:paraId="4070071E">
            <w:pPr>
              <w:numPr>
                <w:ilvl w:val="0"/>
                <w:numId w:val="4"/>
              </w:numPr>
              <w:spacing w:line="240" w:lineRule="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编写总结报告。</w:t>
            </w:r>
          </w:p>
        </w:tc>
      </w:tr>
      <w:tr w14:paraId="0F5B4F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8" w:type="dxa"/>
            <w:tcBorders>
              <w:tl2br w:val="nil"/>
              <w:tr2bl w:val="nil"/>
            </w:tcBorders>
            <w:vAlign w:val="center"/>
          </w:tcPr>
          <w:p w14:paraId="094A9F79">
            <w:pPr>
              <w:spacing w:line="240"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应急救援部成员</w:t>
            </w:r>
          </w:p>
        </w:tc>
        <w:tc>
          <w:tcPr>
            <w:tcW w:w="7633" w:type="dxa"/>
            <w:tcBorders>
              <w:tl2br w:val="nil"/>
              <w:tr2bl w:val="nil"/>
            </w:tcBorders>
            <w:vAlign w:val="center"/>
          </w:tcPr>
          <w:p w14:paraId="0ED4A8C5">
            <w:pPr>
              <w:spacing w:line="240" w:lineRule="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服从应急救援部的指挥及任务分配。</w:t>
            </w:r>
          </w:p>
        </w:tc>
      </w:tr>
    </w:tbl>
    <w:p w14:paraId="3D115B31">
      <w:pPr>
        <w:rPr>
          <w:rFonts w:hint="default" w:ascii="Times New Roman" w:hAnsi="Times New Roman" w:eastAsia="仿宋" w:cs="Times New Roman"/>
          <w:szCs w:val="28"/>
        </w:rPr>
      </w:pPr>
      <w:bookmarkStart w:id="57" w:name="_Toc19744_WPSOffice_Level2"/>
      <w:r>
        <w:rPr>
          <w:rFonts w:hint="default" w:ascii="Times New Roman" w:hAnsi="Times New Roman" w:eastAsia="仿宋" w:cs="Times New Roman"/>
          <w:b/>
          <w:bCs/>
          <w:szCs w:val="28"/>
        </w:rPr>
        <w:t>4.1.2应急处置队伍</w:t>
      </w:r>
      <w:bookmarkEnd w:id="57"/>
      <w:r>
        <w:rPr>
          <w:rFonts w:hint="default" w:ascii="Times New Roman" w:hAnsi="Times New Roman" w:eastAsia="仿宋" w:cs="Times New Roman"/>
          <w:b/>
          <w:bCs/>
          <w:szCs w:val="28"/>
        </w:rPr>
        <w:t>主要职责</w:t>
      </w:r>
    </w:p>
    <w:p w14:paraId="5DE439F8">
      <w:pPr>
        <w:ind w:firstLine="560" w:firstLineChars="200"/>
        <w:rPr>
          <w:rFonts w:hint="default" w:ascii="Times New Roman" w:hAnsi="Times New Roman" w:eastAsia="仿宋" w:cs="Times New Roman"/>
          <w:b/>
          <w:bCs/>
          <w:szCs w:val="24"/>
        </w:rPr>
      </w:pPr>
      <w:r>
        <w:rPr>
          <w:rFonts w:hint="default" w:ascii="Times New Roman" w:hAnsi="Times New Roman" w:eastAsia="仿宋" w:cs="Times New Roman"/>
          <w:szCs w:val="28"/>
        </w:rPr>
        <w:t>应急处置队伍包括：现场处置组、应急保障组及应急疏散组。各小组具体职责和任务如表4.2所示。</w:t>
      </w:r>
    </w:p>
    <w:p w14:paraId="1790D0C3">
      <w:pPr>
        <w:jc w:val="center"/>
        <w:rPr>
          <w:rFonts w:hint="default" w:ascii="Times New Roman" w:hAnsi="Times New Roman" w:eastAsia="仿宋" w:cs="Times New Roman"/>
          <w:b/>
          <w:bCs/>
          <w:szCs w:val="24"/>
        </w:rPr>
      </w:pPr>
      <w:r>
        <w:rPr>
          <w:rFonts w:hint="default" w:ascii="Times New Roman" w:hAnsi="Times New Roman" w:eastAsia="仿宋" w:cs="Times New Roman"/>
          <w:szCs w:val="24"/>
        </w:rPr>
        <w:t xml:space="preserve">表4.2  </w:t>
      </w:r>
      <w:bookmarkStart w:id="58" w:name="_Toc28155_WPSOffice_Level2"/>
      <w:r>
        <w:rPr>
          <w:rFonts w:hint="default" w:ascii="Times New Roman" w:hAnsi="Times New Roman" w:eastAsia="仿宋" w:cs="Times New Roman"/>
          <w:szCs w:val="24"/>
        </w:rPr>
        <w:t>应急处置队伍职责一</w:t>
      </w:r>
      <w:bookmarkEnd w:id="58"/>
      <w:r>
        <w:rPr>
          <w:rFonts w:hint="default" w:ascii="Times New Roman" w:hAnsi="Times New Roman" w:eastAsia="仿宋" w:cs="Times New Roman"/>
          <w:szCs w:val="24"/>
        </w:rPr>
        <w:t>览表</w:t>
      </w:r>
    </w:p>
    <w:tbl>
      <w:tblPr>
        <w:tblStyle w:val="43"/>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1945"/>
        <w:gridCol w:w="7042"/>
      </w:tblGrid>
      <w:tr w14:paraId="510EFA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85" w:type="pct"/>
            <w:tcBorders>
              <w:tl2br w:val="nil"/>
              <w:tr2bl w:val="nil"/>
            </w:tcBorders>
            <w:shd w:val="clear" w:color="auto" w:fill="D7D7D7"/>
            <w:vAlign w:val="center"/>
          </w:tcPr>
          <w:p w14:paraId="29A5915F">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序号</w:t>
            </w:r>
          </w:p>
        </w:tc>
        <w:tc>
          <w:tcPr>
            <w:tcW w:w="977" w:type="pct"/>
            <w:tcBorders>
              <w:tl2br w:val="nil"/>
              <w:tr2bl w:val="nil"/>
            </w:tcBorders>
            <w:shd w:val="clear" w:color="auto" w:fill="D7D7D7"/>
            <w:vAlign w:val="center"/>
          </w:tcPr>
          <w:p w14:paraId="4FC6BCC2">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职能</w:t>
            </w:r>
          </w:p>
        </w:tc>
        <w:tc>
          <w:tcPr>
            <w:tcW w:w="3537" w:type="pct"/>
            <w:tcBorders>
              <w:tl2br w:val="nil"/>
              <w:tr2bl w:val="nil"/>
            </w:tcBorders>
            <w:shd w:val="clear" w:color="auto" w:fill="D7D7D7"/>
            <w:vAlign w:val="center"/>
          </w:tcPr>
          <w:p w14:paraId="164430C0">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职责</w:t>
            </w:r>
          </w:p>
        </w:tc>
      </w:tr>
      <w:tr w14:paraId="5B952E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85" w:type="pct"/>
            <w:tcBorders>
              <w:tl2br w:val="nil"/>
              <w:tr2bl w:val="nil"/>
            </w:tcBorders>
            <w:vAlign w:val="center"/>
          </w:tcPr>
          <w:p w14:paraId="469FCA84">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w:t>
            </w:r>
          </w:p>
        </w:tc>
        <w:tc>
          <w:tcPr>
            <w:tcW w:w="977" w:type="pct"/>
            <w:tcBorders>
              <w:tl2br w:val="nil"/>
              <w:tr2bl w:val="nil"/>
            </w:tcBorders>
            <w:vAlign w:val="center"/>
          </w:tcPr>
          <w:p w14:paraId="7B28F8B3">
            <w:pPr>
              <w:autoSpaceDE w:val="0"/>
              <w:autoSpaceDN w:val="0"/>
              <w:adjustRightInd w:val="0"/>
              <w:snapToGrid w:val="0"/>
              <w:spacing w:line="240"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抢险救援组</w:t>
            </w:r>
          </w:p>
        </w:tc>
        <w:tc>
          <w:tcPr>
            <w:tcW w:w="3537" w:type="pct"/>
            <w:tcBorders>
              <w:tl2br w:val="nil"/>
              <w:tr2bl w:val="nil"/>
            </w:tcBorders>
            <w:vAlign w:val="center"/>
          </w:tcPr>
          <w:p w14:paraId="6DD9E78E">
            <w:pPr>
              <w:autoSpaceDE w:val="0"/>
              <w:autoSpaceDN w:val="0"/>
              <w:adjustRightInd w:val="0"/>
              <w:snapToGrid w:val="0"/>
              <w:spacing w:line="240" w:lineRule="auto"/>
              <w:ind w:firstLine="240" w:firstLineChars="1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负责突发环境事件下的现场污染源切断、污染物控制、污染物收集、人员的救护等工作。</w:t>
            </w:r>
          </w:p>
        </w:tc>
      </w:tr>
      <w:tr w14:paraId="2AEF3F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85" w:type="pct"/>
            <w:tcBorders>
              <w:tl2br w:val="nil"/>
              <w:tr2bl w:val="nil"/>
            </w:tcBorders>
            <w:vAlign w:val="center"/>
          </w:tcPr>
          <w:p w14:paraId="05294860">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2</w:t>
            </w:r>
          </w:p>
        </w:tc>
        <w:tc>
          <w:tcPr>
            <w:tcW w:w="977" w:type="pct"/>
            <w:tcBorders>
              <w:tl2br w:val="nil"/>
              <w:tr2bl w:val="nil"/>
            </w:tcBorders>
            <w:vAlign w:val="center"/>
          </w:tcPr>
          <w:p w14:paraId="1BCA4579">
            <w:pPr>
              <w:autoSpaceDE w:val="0"/>
              <w:autoSpaceDN w:val="0"/>
              <w:adjustRightInd w:val="0"/>
              <w:snapToGrid w:val="0"/>
              <w:spacing w:line="240"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环保应急组</w:t>
            </w:r>
          </w:p>
        </w:tc>
        <w:tc>
          <w:tcPr>
            <w:tcW w:w="3537" w:type="pct"/>
            <w:tcBorders>
              <w:tl2br w:val="nil"/>
              <w:tr2bl w:val="nil"/>
            </w:tcBorders>
            <w:vAlign w:val="center"/>
          </w:tcPr>
          <w:p w14:paraId="39D7E815">
            <w:pPr>
              <w:autoSpaceDE w:val="0"/>
              <w:autoSpaceDN w:val="0"/>
              <w:adjustRightInd w:val="0"/>
              <w:snapToGrid w:val="0"/>
              <w:spacing w:line="240" w:lineRule="auto"/>
              <w:ind w:firstLine="240" w:firstLineChars="1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负责协助进行现场采样工作和处置工作，防止或减轻事故对环境的影响。</w:t>
            </w:r>
          </w:p>
        </w:tc>
      </w:tr>
      <w:tr w14:paraId="7EB18D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85" w:type="pct"/>
            <w:tcBorders>
              <w:tl2br w:val="nil"/>
              <w:tr2bl w:val="nil"/>
            </w:tcBorders>
            <w:vAlign w:val="center"/>
          </w:tcPr>
          <w:p w14:paraId="3756869F">
            <w:pPr>
              <w:spacing w:line="288" w:lineRule="auto"/>
              <w:jc w:val="center"/>
              <w:rPr>
                <w:rFonts w:hint="default" w:ascii="Times New Roman" w:hAnsi="Times New Roman" w:eastAsia="仿宋" w:cs="Times New Roman"/>
                <w:sz w:val="24"/>
                <w:szCs w:val="24"/>
              </w:rPr>
            </w:pPr>
            <w:bookmarkStart w:id="59" w:name="_Toc27297_WPSOffice_Level2"/>
            <w:r>
              <w:rPr>
                <w:rFonts w:hint="default" w:ascii="Times New Roman" w:hAnsi="Times New Roman" w:eastAsia="仿宋" w:cs="Times New Roman"/>
                <w:sz w:val="24"/>
                <w:szCs w:val="24"/>
              </w:rPr>
              <w:t>3</w:t>
            </w:r>
          </w:p>
        </w:tc>
        <w:tc>
          <w:tcPr>
            <w:tcW w:w="977" w:type="pct"/>
            <w:tcBorders>
              <w:tl2br w:val="nil"/>
              <w:tr2bl w:val="nil"/>
            </w:tcBorders>
            <w:vAlign w:val="center"/>
          </w:tcPr>
          <w:p w14:paraId="0D77583B">
            <w:pPr>
              <w:autoSpaceDE w:val="0"/>
              <w:autoSpaceDN w:val="0"/>
              <w:adjustRightInd w:val="0"/>
              <w:snapToGrid w:val="0"/>
              <w:spacing w:line="240"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紧急疏散组</w:t>
            </w:r>
          </w:p>
        </w:tc>
        <w:tc>
          <w:tcPr>
            <w:tcW w:w="3537" w:type="pct"/>
            <w:tcBorders>
              <w:tl2br w:val="nil"/>
              <w:tr2bl w:val="nil"/>
            </w:tcBorders>
            <w:vAlign w:val="center"/>
          </w:tcPr>
          <w:p w14:paraId="36809A70">
            <w:pPr>
              <w:autoSpaceDE w:val="0"/>
              <w:autoSpaceDN w:val="0"/>
              <w:adjustRightInd w:val="0"/>
              <w:snapToGrid w:val="0"/>
              <w:spacing w:line="240" w:lineRule="auto"/>
              <w:ind w:firstLine="240" w:firstLineChars="1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负责现场无关人员的疏散。</w:t>
            </w:r>
          </w:p>
        </w:tc>
      </w:tr>
      <w:tr w14:paraId="279819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85" w:type="pct"/>
            <w:tcBorders>
              <w:tl2br w:val="nil"/>
              <w:tr2bl w:val="nil"/>
            </w:tcBorders>
            <w:vAlign w:val="center"/>
          </w:tcPr>
          <w:p w14:paraId="2987F3E1">
            <w:pPr>
              <w:spacing w:line="288" w:lineRule="auto"/>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4</w:t>
            </w:r>
          </w:p>
        </w:tc>
        <w:tc>
          <w:tcPr>
            <w:tcW w:w="977" w:type="pct"/>
            <w:tcBorders>
              <w:tl2br w:val="nil"/>
              <w:tr2bl w:val="nil"/>
            </w:tcBorders>
            <w:vAlign w:val="center"/>
          </w:tcPr>
          <w:p w14:paraId="5FA3DAF9">
            <w:pPr>
              <w:autoSpaceDE w:val="0"/>
              <w:autoSpaceDN w:val="0"/>
              <w:adjustRightInd w:val="0"/>
              <w:snapToGrid w:val="0"/>
              <w:spacing w:line="240"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通讯联络组</w:t>
            </w:r>
          </w:p>
        </w:tc>
        <w:tc>
          <w:tcPr>
            <w:tcW w:w="3537" w:type="pct"/>
            <w:tcBorders>
              <w:tl2br w:val="nil"/>
              <w:tr2bl w:val="nil"/>
            </w:tcBorders>
            <w:vAlign w:val="center"/>
          </w:tcPr>
          <w:p w14:paraId="2C14734D">
            <w:pPr>
              <w:autoSpaceDE w:val="0"/>
              <w:autoSpaceDN w:val="0"/>
              <w:adjustRightInd w:val="0"/>
              <w:snapToGrid w:val="0"/>
              <w:spacing w:line="240" w:lineRule="auto"/>
              <w:ind w:firstLine="240" w:firstLineChars="1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 xml:space="preserve">负责与外部救援单位、应急监测单位联系， </w:t>
            </w:r>
          </w:p>
        </w:tc>
      </w:tr>
      <w:tr w14:paraId="441D92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85" w:type="pct"/>
            <w:tcBorders>
              <w:tl2br w:val="nil"/>
              <w:tr2bl w:val="nil"/>
            </w:tcBorders>
            <w:vAlign w:val="center"/>
          </w:tcPr>
          <w:p w14:paraId="439260FB">
            <w:pPr>
              <w:spacing w:line="288" w:lineRule="auto"/>
              <w:jc w:val="center"/>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5</w:t>
            </w:r>
          </w:p>
        </w:tc>
        <w:tc>
          <w:tcPr>
            <w:tcW w:w="977" w:type="pct"/>
            <w:tcBorders>
              <w:tl2br w:val="nil"/>
              <w:tr2bl w:val="nil"/>
            </w:tcBorders>
            <w:vAlign w:val="center"/>
          </w:tcPr>
          <w:p w14:paraId="619F5CDE">
            <w:pPr>
              <w:autoSpaceDE w:val="0"/>
              <w:autoSpaceDN w:val="0"/>
              <w:adjustRightInd w:val="0"/>
              <w:snapToGrid w:val="0"/>
              <w:spacing w:line="240"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后勤保障组</w:t>
            </w:r>
          </w:p>
        </w:tc>
        <w:tc>
          <w:tcPr>
            <w:tcW w:w="3537" w:type="pct"/>
            <w:tcBorders>
              <w:tl2br w:val="nil"/>
              <w:tr2bl w:val="nil"/>
            </w:tcBorders>
            <w:vAlign w:val="center"/>
          </w:tcPr>
          <w:p w14:paraId="39BA88C4">
            <w:pPr>
              <w:autoSpaceDE w:val="0"/>
              <w:autoSpaceDN w:val="0"/>
              <w:adjustRightInd w:val="0"/>
              <w:snapToGrid w:val="0"/>
              <w:spacing w:line="240" w:lineRule="auto"/>
              <w:ind w:firstLine="240" w:firstLineChars="1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为现场处置提供物资保障、医疗保障、通讯保障等。</w:t>
            </w:r>
          </w:p>
        </w:tc>
      </w:tr>
    </w:tbl>
    <w:p w14:paraId="7C963C7B">
      <w:pPr>
        <w:spacing w:before="120" w:beforeLines="50"/>
        <w:outlineLvl w:val="1"/>
        <w:rPr>
          <w:rFonts w:hint="default" w:ascii="Times New Roman" w:hAnsi="Times New Roman" w:eastAsia="仿宋" w:cs="Times New Roman"/>
          <w:b/>
          <w:bCs/>
          <w:szCs w:val="24"/>
        </w:rPr>
      </w:pPr>
      <w:bookmarkStart w:id="60" w:name="_Toc1483"/>
      <w:r>
        <w:rPr>
          <w:rFonts w:hint="default" w:ascii="Times New Roman" w:hAnsi="Times New Roman" w:eastAsia="仿宋" w:cs="Times New Roman"/>
          <w:b/>
          <w:bCs/>
          <w:szCs w:val="28"/>
        </w:rPr>
        <w:t>4.2应急成员名单及联系方式</w:t>
      </w:r>
      <w:bookmarkEnd w:id="60"/>
    </w:p>
    <w:p w14:paraId="5CED182B">
      <w:pPr>
        <w:jc w:val="center"/>
        <w:rPr>
          <w:rFonts w:hint="default" w:ascii="Times New Roman" w:hAnsi="Times New Roman" w:eastAsia="仿宋" w:cs="Times New Roman"/>
          <w:szCs w:val="24"/>
        </w:rPr>
      </w:pPr>
      <w:r>
        <w:rPr>
          <w:rFonts w:hint="default" w:ascii="Times New Roman" w:hAnsi="Times New Roman" w:eastAsia="仿宋" w:cs="Times New Roman"/>
          <w:szCs w:val="24"/>
        </w:rPr>
        <w:t>表4.3  应急组织机构</w:t>
      </w:r>
      <w:bookmarkEnd w:id="59"/>
      <w:r>
        <w:rPr>
          <w:rFonts w:hint="default" w:ascii="Times New Roman" w:hAnsi="Times New Roman" w:eastAsia="仿宋" w:cs="Times New Roman"/>
          <w:szCs w:val="24"/>
        </w:rPr>
        <w:t>组成表</w:t>
      </w:r>
    </w:p>
    <w:tbl>
      <w:tblPr>
        <w:tblStyle w:val="43"/>
        <w:tblW w:w="4999"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2317"/>
        <w:gridCol w:w="1722"/>
        <w:gridCol w:w="2797"/>
        <w:gridCol w:w="3117"/>
      </w:tblGrid>
      <w:tr w14:paraId="22B3B1B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4" w:type="pct"/>
            <w:vAlign w:val="center"/>
          </w:tcPr>
          <w:p w14:paraId="0EC51D63">
            <w:pPr>
              <w:pStyle w:val="52"/>
              <w:rPr>
                <w:rFonts w:hint="default" w:ascii="Times New Roman" w:hAnsi="Times New Roman" w:eastAsia="仿宋" w:cs="Times New Roman"/>
              </w:rPr>
            </w:pPr>
            <w:r>
              <w:rPr>
                <w:rFonts w:hint="default" w:ascii="Times New Roman" w:hAnsi="Times New Roman" w:eastAsia="仿宋" w:cs="Times New Roman"/>
              </w:rPr>
              <w:t>职务</w:t>
            </w:r>
          </w:p>
        </w:tc>
        <w:tc>
          <w:tcPr>
            <w:tcW w:w="865" w:type="pct"/>
            <w:vAlign w:val="center"/>
          </w:tcPr>
          <w:p w14:paraId="3B052ACB">
            <w:pPr>
              <w:pStyle w:val="52"/>
              <w:rPr>
                <w:rFonts w:hint="default" w:ascii="Times New Roman" w:hAnsi="Times New Roman" w:eastAsia="仿宋" w:cs="Times New Roman"/>
              </w:rPr>
            </w:pPr>
            <w:r>
              <w:rPr>
                <w:rFonts w:hint="default" w:ascii="Times New Roman" w:hAnsi="Times New Roman" w:eastAsia="仿宋" w:cs="Times New Roman"/>
              </w:rPr>
              <w:t>姓名</w:t>
            </w:r>
          </w:p>
        </w:tc>
        <w:tc>
          <w:tcPr>
            <w:tcW w:w="1405" w:type="pct"/>
            <w:vAlign w:val="center"/>
          </w:tcPr>
          <w:p w14:paraId="504780B1">
            <w:pPr>
              <w:pStyle w:val="52"/>
              <w:rPr>
                <w:rFonts w:hint="default" w:ascii="Times New Roman" w:hAnsi="Times New Roman" w:eastAsia="仿宋" w:cs="Times New Roman"/>
              </w:rPr>
            </w:pPr>
            <w:r>
              <w:rPr>
                <w:rFonts w:hint="default" w:ascii="Times New Roman" w:hAnsi="Times New Roman" w:eastAsia="仿宋" w:cs="Times New Roman"/>
              </w:rPr>
              <w:t>所在部门</w:t>
            </w:r>
          </w:p>
        </w:tc>
        <w:tc>
          <w:tcPr>
            <w:tcW w:w="1564" w:type="pct"/>
            <w:vAlign w:val="center"/>
          </w:tcPr>
          <w:p w14:paraId="6220E30F">
            <w:pPr>
              <w:pStyle w:val="52"/>
              <w:rPr>
                <w:rFonts w:hint="default" w:ascii="Times New Roman" w:hAnsi="Times New Roman" w:eastAsia="仿宋" w:cs="Times New Roman"/>
              </w:rPr>
            </w:pPr>
            <w:r>
              <w:rPr>
                <w:rFonts w:hint="default" w:ascii="Times New Roman" w:hAnsi="Times New Roman" w:eastAsia="仿宋" w:cs="Times New Roman"/>
              </w:rPr>
              <w:t>联系方式</w:t>
            </w:r>
          </w:p>
        </w:tc>
      </w:tr>
      <w:tr w14:paraId="5A0371D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4" w:type="pct"/>
            <w:vAlign w:val="center"/>
          </w:tcPr>
          <w:p w14:paraId="62B53EE0">
            <w:pPr>
              <w:pStyle w:val="52"/>
              <w:rPr>
                <w:rFonts w:hint="default" w:ascii="Times New Roman" w:hAnsi="Times New Roman" w:eastAsia="仿宋" w:cs="Times New Roman"/>
              </w:rPr>
            </w:pPr>
            <w:r>
              <w:rPr>
                <w:rFonts w:hint="default" w:ascii="Times New Roman" w:hAnsi="Times New Roman" w:eastAsia="仿宋" w:cs="Times New Roman"/>
              </w:rPr>
              <w:t>总指挥</w:t>
            </w:r>
          </w:p>
        </w:tc>
        <w:tc>
          <w:tcPr>
            <w:tcW w:w="865" w:type="pct"/>
            <w:vAlign w:val="center"/>
          </w:tcPr>
          <w:p w14:paraId="5E39F436">
            <w:pPr>
              <w:pStyle w:val="52"/>
              <w:rPr>
                <w:rFonts w:hint="default" w:ascii="Times New Roman" w:hAnsi="Times New Roman" w:eastAsia="仿宋" w:cs="Times New Roman"/>
              </w:rPr>
            </w:pPr>
            <w:r>
              <w:rPr>
                <w:rFonts w:hint="default" w:ascii="Times New Roman" w:hAnsi="Times New Roman" w:eastAsia="仿宋" w:cs="Times New Roman"/>
              </w:rPr>
              <w:t>刘东生</w:t>
            </w:r>
          </w:p>
        </w:tc>
        <w:tc>
          <w:tcPr>
            <w:tcW w:w="1405" w:type="pct"/>
            <w:vAlign w:val="center"/>
          </w:tcPr>
          <w:p w14:paraId="705A977A">
            <w:pPr>
              <w:pStyle w:val="52"/>
              <w:rPr>
                <w:rFonts w:hint="default" w:ascii="Times New Roman" w:hAnsi="Times New Roman" w:eastAsia="仿宋" w:cs="Times New Roman"/>
              </w:rPr>
            </w:pPr>
            <w:r>
              <w:rPr>
                <w:rFonts w:hint="default" w:ascii="Times New Roman" w:hAnsi="Times New Roman" w:eastAsia="仿宋" w:cs="Times New Roman"/>
              </w:rPr>
              <w:t>公司领导</w:t>
            </w:r>
          </w:p>
        </w:tc>
        <w:tc>
          <w:tcPr>
            <w:tcW w:w="1564" w:type="pct"/>
            <w:vAlign w:val="center"/>
          </w:tcPr>
          <w:p w14:paraId="5E7217AF">
            <w:pPr>
              <w:pStyle w:val="52"/>
              <w:rPr>
                <w:rFonts w:hint="default" w:ascii="Times New Roman" w:hAnsi="Times New Roman" w:eastAsia="仿宋" w:cs="Times New Roman"/>
              </w:rPr>
            </w:pPr>
            <w:r>
              <w:rPr>
                <w:rFonts w:hint="default" w:ascii="Times New Roman" w:hAnsi="Times New Roman" w:eastAsia="仿宋" w:cs="Times New Roman"/>
              </w:rPr>
              <w:t>13930672359</w:t>
            </w:r>
          </w:p>
        </w:tc>
      </w:tr>
      <w:tr w14:paraId="300B0AD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4" w:type="pct"/>
            <w:vAlign w:val="center"/>
          </w:tcPr>
          <w:p w14:paraId="5133E43B">
            <w:pPr>
              <w:pStyle w:val="52"/>
              <w:rPr>
                <w:rFonts w:hint="default" w:ascii="Times New Roman" w:hAnsi="Times New Roman" w:eastAsia="仿宋" w:cs="Times New Roman"/>
              </w:rPr>
            </w:pPr>
            <w:r>
              <w:rPr>
                <w:rFonts w:hint="default" w:ascii="Times New Roman" w:hAnsi="Times New Roman" w:eastAsia="仿宋" w:cs="Times New Roman"/>
              </w:rPr>
              <w:t>副指挥</w:t>
            </w:r>
          </w:p>
        </w:tc>
        <w:tc>
          <w:tcPr>
            <w:tcW w:w="865" w:type="pct"/>
            <w:vAlign w:val="center"/>
          </w:tcPr>
          <w:p w14:paraId="4EC78712">
            <w:pPr>
              <w:pStyle w:val="52"/>
              <w:rPr>
                <w:rFonts w:hint="default" w:ascii="Times New Roman" w:hAnsi="Times New Roman" w:eastAsia="仿宋" w:cs="Times New Roman"/>
              </w:rPr>
            </w:pPr>
            <w:r>
              <w:rPr>
                <w:rFonts w:hint="default" w:ascii="Times New Roman" w:hAnsi="Times New Roman" w:eastAsia="仿宋" w:cs="Times New Roman"/>
              </w:rPr>
              <w:t>陈凯</w:t>
            </w:r>
          </w:p>
        </w:tc>
        <w:tc>
          <w:tcPr>
            <w:tcW w:w="1405" w:type="pct"/>
            <w:vAlign w:val="center"/>
          </w:tcPr>
          <w:p w14:paraId="57959CFF">
            <w:pPr>
              <w:pStyle w:val="52"/>
              <w:rPr>
                <w:rFonts w:hint="default" w:ascii="Times New Roman" w:hAnsi="Times New Roman" w:eastAsia="仿宋" w:cs="Times New Roman"/>
              </w:rPr>
            </w:pPr>
            <w:r>
              <w:rPr>
                <w:rFonts w:hint="default" w:ascii="Times New Roman" w:hAnsi="Times New Roman" w:eastAsia="仿宋" w:cs="Times New Roman"/>
              </w:rPr>
              <w:t>综合管理部</w:t>
            </w:r>
          </w:p>
        </w:tc>
        <w:tc>
          <w:tcPr>
            <w:tcW w:w="1564" w:type="pct"/>
            <w:vAlign w:val="center"/>
          </w:tcPr>
          <w:p w14:paraId="21B4CC36">
            <w:pPr>
              <w:pStyle w:val="52"/>
              <w:rPr>
                <w:rFonts w:hint="default" w:ascii="Times New Roman" w:hAnsi="Times New Roman" w:eastAsia="仿宋" w:cs="Times New Roman"/>
              </w:rPr>
            </w:pPr>
            <w:r>
              <w:rPr>
                <w:rFonts w:hint="default" w:ascii="Times New Roman" w:hAnsi="Times New Roman" w:eastAsia="仿宋" w:cs="Times New Roman"/>
              </w:rPr>
              <w:t>13831627022</w:t>
            </w:r>
          </w:p>
        </w:tc>
      </w:tr>
      <w:tr w14:paraId="771C049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000" w:type="pct"/>
            <w:gridSpan w:val="4"/>
            <w:vAlign w:val="center"/>
          </w:tcPr>
          <w:p w14:paraId="32AB77B4">
            <w:pPr>
              <w:pStyle w:val="52"/>
              <w:rPr>
                <w:rFonts w:hint="default" w:ascii="Times New Roman" w:hAnsi="Times New Roman" w:eastAsia="仿宋" w:cs="Times New Roman"/>
              </w:rPr>
            </w:pPr>
            <w:r>
              <w:rPr>
                <w:rFonts w:hint="default" w:ascii="Times New Roman" w:hAnsi="Times New Roman" w:eastAsia="仿宋" w:cs="Times New Roman"/>
                <w:bCs/>
              </w:rPr>
              <w:t>应急救援办公室</w:t>
            </w:r>
          </w:p>
        </w:tc>
      </w:tr>
      <w:tr w14:paraId="6BA70EE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4" w:type="pct"/>
            <w:vAlign w:val="center"/>
          </w:tcPr>
          <w:p w14:paraId="08E7EFCB">
            <w:pPr>
              <w:pStyle w:val="52"/>
              <w:rPr>
                <w:rFonts w:hint="default" w:ascii="Times New Roman" w:hAnsi="Times New Roman" w:eastAsia="仿宋" w:cs="Times New Roman"/>
              </w:rPr>
            </w:pPr>
            <w:r>
              <w:rPr>
                <w:rFonts w:hint="default" w:ascii="Times New Roman" w:hAnsi="Times New Roman" w:eastAsia="仿宋" w:cs="Times New Roman"/>
              </w:rPr>
              <w:t>负责人</w:t>
            </w:r>
          </w:p>
        </w:tc>
        <w:tc>
          <w:tcPr>
            <w:tcW w:w="865" w:type="pct"/>
            <w:vAlign w:val="center"/>
          </w:tcPr>
          <w:p w14:paraId="44E6EC61">
            <w:pPr>
              <w:pStyle w:val="52"/>
              <w:rPr>
                <w:rFonts w:hint="default" w:ascii="Times New Roman" w:hAnsi="Times New Roman" w:eastAsia="仿宋" w:cs="Times New Roman"/>
              </w:rPr>
            </w:pPr>
            <w:r>
              <w:rPr>
                <w:rFonts w:hint="default" w:ascii="Times New Roman" w:hAnsi="Times New Roman" w:eastAsia="仿宋" w:cs="Times New Roman"/>
              </w:rPr>
              <w:t>刘东生</w:t>
            </w:r>
          </w:p>
        </w:tc>
        <w:tc>
          <w:tcPr>
            <w:tcW w:w="1405" w:type="pct"/>
            <w:vAlign w:val="center"/>
          </w:tcPr>
          <w:p w14:paraId="6A071077">
            <w:pPr>
              <w:pStyle w:val="52"/>
              <w:rPr>
                <w:rFonts w:hint="default" w:ascii="Times New Roman" w:hAnsi="Times New Roman" w:eastAsia="仿宋" w:cs="Times New Roman"/>
              </w:rPr>
            </w:pPr>
            <w:r>
              <w:rPr>
                <w:rFonts w:hint="default" w:ascii="Times New Roman" w:hAnsi="Times New Roman" w:eastAsia="仿宋" w:cs="Times New Roman"/>
              </w:rPr>
              <w:t>公司领导</w:t>
            </w:r>
          </w:p>
        </w:tc>
        <w:tc>
          <w:tcPr>
            <w:tcW w:w="1564" w:type="pct"/>
            <w:vAlign w:val="center"/>
          </w:tcPr>
          <w:p w14:paraId="2C0F8D28">
            <w:pPr>
              <w:pStyle w:val="52"/>
              <w:rPr>
                <w:rFonts w:hint="default" w:ascii="Times New Roman" w:hAnsi="Times New Roman" w:eastAsia="仿宋" w:cs="Times New Roman"/>
              </w:rPr>
            </w:pPr>
            <w:r>
              <w:rPr>
                <w:rFonts w:hint="default" w:ascii="Times New Roman" w:hAnsi="Times New Roman" w:eastAsia="仿宋" w:cs="Times New Roman"/>
              </w:rPr>
              <w:t>13930672359</w:t>
            </w:r>
          </w:p>
        </w:tc>
      </w:tr>
      <w:tr w14:paraId="56EAF68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4" w:type="pct"/>
            <w:vAlign w:val="center"/>
          </w:tcPr>
          <w:p w14:paraId="02F35F75">
            <w:pPr>
              <w:pStyle w:val="52"/>
              <w:rPr>
                <w:rFonts w:hint="default" w:ascii="Times New Roman" w:hAnsi="Times New Roman" w:eastAsia="仿宋" w:cs="Times New Roman"/>
              </w:rPr>
            </w:pPr>
            <w:r>
              <w:rPr>
                <w:rFonts w:hint="default" w:ascii="Times New Roman" w:hAnsi="Times New Roman" w:eastAsia="仿宋" w:cs="Times New Roman"/>
              </w:rPr>
              <w:t>成员</w:t>
            </w:r>
          </w:p>
        </w:tc>
        <w:tc>
          <w:tcPr>
            <w:tcW w:w="865" w:type="pct"/>
            <w:vAlign w:val="center"/>
          </w:tcPr>
          <w:p w14:paraId="4DA1AD25">
            <w:pPr>
              <w:pStyle w:val="52"/>
              <w:rPr>
                <w:rFonts w:hint="default" w:ascii="Times New Roman" w:hAnsi="Times New Roman" w:eastAsia="仿宋" w:cs="Times New Roman"/>
              </w:rPr>
            </w:pPr>
            <w:r>
              <w:rPr>
                <w:rFonts w:hint="default" w:ascii="Times New Roman" w:hAnsi="Times New Roman" w:eastAsia="仿宋" w:cs="Times New Roman"/>
              </w:rPr>
              <w:t>陈凯</w:t>
            </w:r>
          </w:p>
        </w:tc>
        <w:tc>
          <w:tcPr>
            <w:tcW w:w="1405" w:type="pct"/>
            <w:vAlign w:val="center"/>
          </w:tcPr>
          <w:p w14:paraId="4E7C53A3">
            <w:pPr>
              <w:pStyle w:val="52"/>
              <w:rPr>
                <w:rFonts w:hint="default" w:ascii="Times New Roman" w:hAnsi="Times New Roman" w:eastAsia="仿宋" w:cs="Times New Roman"/>
              </w:rPr>
            </w:pPr>
            <w:r>
              <w:rPr>
                <w:rFonts w:hint="default" w:ascii="Times New Roman" w:hAnsi="Times New Roman" w:eastAsia="仿宋" w:cs="Times New Roman"/>
              </w:rPr>
              <w:t>综合管理部</w:t>
            </w:r>
          </w:p>
        </w:tc>
        <w:tc>
          <w:tcPr>
            <w:tcW w:w="1564" w:type="pct"/>
            <w:vAlign w:val="center"/>
          </w:tcPr>
          <w:p w14:paraId="12A173FA">
            <w:pPr>
              <w:pStyle w:val="52"/>
              <w:rPr>
                <w:rFonts w:hint="default" w:ascii="Times New Roman" w:hAnsi="Times New Roman" w:eastAsia="仿宋" w:cs="Times New Roman"/>
              </w:rPr>
            </w:pPr>
            <w:r>
              <w:rPr>
                <w:rFonts w:hint="default" w:ascii="Times New Roman" w:hAnsi="Times New Roman" w:eastAsia="仿宋" w:cs="Times New Roman"/>
              </w:rPr>
              <w:t>13831627022</w:t>
            </w:r>
          </w:p>
        </w:tc>
      </w:tr>
      <w:tr w14:paraId="77AF73E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4" w:type="pct"/>
            <w:vAlign w:val="center"/>
          </w:tcPr>
          <w:p w14:paraId="0F00F93B">
            <w:pPr>
              <w:pStyle w:val="52"/>
              <w:rPr>
                <w:rFonts w:hint="default" w:ascii="Times New Roman" w:hAnsi="Times New Roman" w:eastAsia="仿宋" w:cs="Times New Roman"/>
                <w:sz w:val="21"/>
              </w:rPr>
            </w:pPr>
            <w:r>
              <w:rPr>
                <w:rFonts w:hint="default" w:ascii="Times New Roman" w:hAnsi="Times New Roman" w:eastAsia="仿宋" w:cs="Times New Roman"/>
              </w:rPr>
              <w:t>成员</w:t>
            </w:r>
          </w:p>
        </w:tc>
        <w:tc>
          <w:tcPr>
            <w:tcW w:w="865" w:type="pct"/>
            <w:vAlign w:val="center"/>
          </w:tcPr>
          <w:p w14:paraId="336611E5">
            <w:pPr>
              <w:pStyle w:val="52"/>
              <w:rPr>
                <w:rFonts w:hint="default" w:ascii="Times New Roman" w:hAnsi="Times New Roman" w:eastAsia="仿宋" w:cs="Times New Roman"/>
              </w:rPr>
            </w:pPr>
            <w:r>
              <w:rPr>
                <w:rFonts w:hint="default" w:ascii="Times New Roman" w:hAnsi="Times New Roman" w:eastAsia="仿宋" w:cs="Times New Roman"/>
              </w:rPr>
              <w:t>王健</w:t>
            </w:r>
          </w:p>
        </w:tc>
        <w:tc>
          <w:tcPr>
            <w:tcW w:w="1405" w:type="pct"/>
            <w:vAlign w:val="center"/>
          </w:tcPr>
          <w:p w14:paraId="6DC94047">
            <w:pPr>
              <w:pStyle w:val="52"/>
              <w:rPr>
                <w:rFonts w:hint="default" w:ascii="Times New Roman" w:hAnsi="Times New Roman" w:eastAsia="仿宋" w:cs="Times New Roman"/>
              </w:rPr>
            </w:pPr>
            <w:r>
              <w:rPr>
                <w:rFonts w:hint="default" w:ascii="Times New Roman" w:hAnsi="Times New Roman" w:eastAsia="仿宋" w:cs="Times New Roman"/>
              </w:rPr>
              <w:t>生产管理部</w:t>
            </w:r>
          </w:p>
        </w:tc>
        <w:tc>
          <w:tcPr>
            <w:tcW w:w="1564" w:type="pct"/>
            <w:vAlign w:val="center"/>
          </w:tcPr>
          <w:p w14:paraId="5CB3C593">
            <w:pPr>
              <w:pStyle w:val="52"/>
              <w:rPr>
                <w:rFonts w:hint="default" w:ascii="Times New Roman" w:hAnsi="Times New Roman" w:eastAsia="仿宋" w:cs="Times New Roman"/>
              </w:rPr>
            </w:pPr>
            <w:r>
              <w:rPr>
                <w:rFonts w:hint="default" w:ascii="Times New Roman" w:hAnsi="Times New Roman" w:eastAsia="仿宋" w:cs="Times New Roman"/>
              </w:rPr>
              <w:t>15830453490</w:t>
            </w:r>
          </w:p>
        </w:tc>
      </w:tr>
      <w:tr w14:paraId="423C1F2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000" w:type="pct"/>
            <w:gridSpan w:val="4"/>
            <w:vAlign w:val="center"/>
          </w:tcPr>
          <w:p w14:paraId="20FDC35A">
            <w:pPr>
              <w:pStyle w:val="52"/>
              <w:rPr>
                <w:rFonts w:hint="default" w:ascii="Times New Roman" w:hAnsi="Times New Roman" w:eastAsia="仿宋" w:cs="Times New Roman"/>
              </w:rPr>
            </w:pPr>
            <w:r>
              <w:rPr>
                <w:rFonts w:hint="default" w:ascii="Times New Roman" w:hAnsi="Times New Roman" w:eastAsia="仿宋" w:cs="Times New Roman"/>
              </w:rPr>
              <w:t>通讯联络组</w:t>
            </w:r>
          </w:p>
        </w:tc>
      </w:tr>
      <w:tr w14:paraId="4FEE8AC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4" w:type="pct"/>
            <w:vAlign w:val="center"/>
          </w:tcPr>
          <w:p w14:paraId="1783CB46">
            <w:pPr>
              <w:pStyle w:val="52"/>
              <w:rPr>
                <w:rFonts w:hint="default" w:ascii="Times New Roman" w:hAnsi="Times New Roman" w:eastAsia="仿宋" w:cs="Times New Roman"/>
              </w:rPr>
            </w:pPr>
            <w:r>
              <w:rPr>
                <w:rFonts w:hint="default" w:ascii="Times New Roman" w:hAnsi="Times New Roman" w:eastAsia="仿宋" w:cs="Times New Roman"/>
              </w:rPr>
              <w:t>组长</w:t>
            </w:r>
          </w:p>
        </w:tc>
        <w:tc>
          <w:tcPr>
            <w:tcW w:w="865" w:type="pct"/>
            <w:vAlign w:val="center"/>
          </w:tcPr>
          <w:p w14:paraId="361A076F">
            <w:pPr>
              <w:pStyle w:val="52"/>
              <w:rPr>
                <w:rFonts w:hint="default" w:ascii="Times New Roman" w:hAnsi="Times New Roman" w:eastAsia="仿宋" w:cs="Times New Roman"/>
              </w:rPr>
            </w:pPr>
            <w:r>
              <w:rPr>
                <w:rFonts w:hint="default" w:ascii="Times New Roman" w:hAnsi="Times New Roman" w:eastAsia="仿宋" w:cs="Times New Roman"/>
              </w:rPr>
              <w:t>李晓静</w:t>
            </w:r>
          </w:p>
        </w:tc>
        <w:tc>
          <w:tcPr>
            <w:tcW w:w="1405" w:type="pct"/>
            <w:vAlign w:val="center"/>
          </w:tcPr>
          <w:p w14:paraId="1F9C0059">
            <w:pPr>
              <w:pStyle w:val="52"/>
              <w:rPr>
                <w:rFonts w:hint="default" w:ascii="Times New Roman" w:hAnsi="Times New Roman" w:eastAsia="仿宋" w:cs="Times New Roman"/>
              </w:rPr>
            </w:pPr>
            <w:r>
              <w:rPr>
                <w:rFonts w:hint="default" w:ascii="Times New Roman" w:hAnsi="Times New Roman" w:eastAsia="仿宋" w:cs="Times New Roman"/>
              </w:rPr>
              <w:t>财务室</w:t>
            </w:r>
          </w:p>
        </w:tc>
        <w:tc>
          <w:tcPr>
            <w:tcW w:w="1564" w:type="pct"/>
            <w:vAlign w:val="center"/>
          </w:tcPr>
          <w:p w14:paraId="3EC613B3">
            <w:pPr>
              <w:pStyle w:val="52"/>
              <w:rPr>
                <w:rFonts w:hint="default" w:ascii="Times New Roman" w:hAnsi="Times New Roman" w:eastAsia="仿宋" w:cs="Times New Roman"/>
              </w:rPr>
            </w:pPr>
            <w:r>
              <w:rPr>
                <w:rFonts w:hint="default" w:ascii="Times New Roman" w:hAnsi="Times New Roman" w:eastAsia="仿宋" w:cs="Times New Roman"/>
              </w:rPr>
              <w:t>15100399802</w:t>
            </w:r>
          </w:p>
        </w:tc>
      </w:tr>
      <w:tr w14:paraId="386041D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4" w:type="pct"/>
            <w:vAlign w:val="center"/>
          </w:tcPr>
          <w:p w14:paraId="0D4FACF9">
            <w:pPr>
              <w:pStyle w:val="52"/>
              <w:rPr>
                <w:rFonts w:hint="default" w:ascii="Times New Roman" w:hAnsi="Times New Roman" w:eastAsia="仿宋" w:cs="Times New Roman"/>
              </w:rPr>
            </w:pPr>
            <w:r>
              <w:rPr>
                <w:rFonts w:hint="default" w:ascii="Times New Roman" w:hAnsi="Times New Roman" w:eastAsia="仿宋" w:cs="Times New Roman"/>
              </w:rPr>
              <w:t>成员</w:t>
            </w:r>
          </w:p>
        </w:tc>
        <w:tc>
          <w:tcPr>
            <w:tcW w:w="865" w:type="pct"/>
            <w:vAlign w:val="center"/>
          </w:tcPr>
          <w:p w14:paraId="44AB7F69">
            <w:pPr>
              <w:pStyle w:val="52"/>
              <w:rPr>
                <w:rFonts w:hint="default" w:ascii="Times New Roman" w:hAnsi="Times New Roman" w:eastAsia="仿宋" w:cs="Times New Roman"/>
              </w:rPr>
            </w:pPr>
            <w:r>
              <w:rPr>
                <w:rFonts w:hint="default" w:ascii="Times New Roman" w:hAnsi="Times New Roman" w:eastAsia="仿宋" w:cs="Times New Roman"/>
              </w:rPr>
              <w:t>曹姝娴</w:t>
            </w:r>
          </w:p>
        </w:tc>
        <w:tc>
          <w:tcPr>
            <w:tcW w:w="1405" w:type="pct"/>
            <w:vAlign w:val="center"/>
          </w:tcPr>
          <w:p w14:paraId="0243A668">
            <w:pPr>
              <w:pStyle w:val="52"/>
              <w:rPr>
                <w:rFonts w:hint="default" w:ascii="Times New Roman" w:hAnsi="Times New Roman" w:eastAsia="仿宋" w:cs="Times New Roman"/>
              </w:rPr>
            </w:pPr>
            <w:r>
              <w:rPr>
                <w:rFonts w:hint="default" w:ascii="Times New Roman" w:hAnsi="Times New Roman" w:eastAsia="仿宋" w:cs="Times New Roman"/>
              </w:rPr>
              <w:t>财务室</w:t>
            </w:r>
          </w:p>
        </w:tc>
        <w:tc>
          <w:tcPr>
            <w:tcW w:w="1564" w:type="pct"/>
            <w:vAlign w:val="center"/>
          </w:tcPr>
          <w:p w14:paraId="78538D4A">
            <w:pPr>
              <w:pStyle w:val="52"/>
              <w:rPr>
                <w:rFonts w:hint="default" w:ascii="Times New Roman" w:hAnsi="Times New Roman" w:eastAsia="仿宋" w:cs="Times New Roman"/>
              </w:rPr>
            </w:pPr>
            <w:r>
              <w:rPr>
                <w:rFonts w:hint="default" w:ascii="Times New Roman" w:hAnsi="Times New Roman" w:eastAsia="仿宋" w:cs="Times New Roman"/>
              </w:rPr>
              <w:t>13114826631</w:t>
            </w:r>
          </w:p>
        </w:tc>
      </w:tr>
      <w:tr w14:paraId="0546DF6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4" w:type="pct"/>
            <w:vAlign w:val="center"/>
          </w:tcPr>
          <w:p w14:paraId="5FCB1D3D">
            <w:pPr>
              <w:pStyle w:val="52"/>
              <w:rPr>
                <w:rFonts w:hint="default" w:ascii="Times New Roman" w:hAnsi="Times New Roman" w:eastAsia="仿宋" w:cs="Times New Roman"/>
                <w:sz w:val="21"/>
              </w:rPr>
            </w:pPr>
            <w:r>
              <w:rPr>
                <w:rFonts w:hint="default" w:ascii="Times New Roman" w:hAnsi="Times New Roman" w:eastAsia="仿宋" w:cs="Times New Roman"/>
              </w:rPr>
              <w:t>成员</w:t>
            </w:r>
          </w:p>
        </w:tc>
        <w:tc>
          <w:tcPr>
            <w:tcW w:w="865" w:type="pct"/>
            <w:vAlign w:val="center"/>
          </w:tcPr>
          <w:p w14:paraId="0E2D8D39">
            <w:pPr>
              <w:pStyle w:val="52"/>
              <w:rPr>
                <w:rFonts w:hint="default" w:ascii="Times New Roman" w:hAnsi="Times New Roman" w:eastAsia="仿宋" w:cs="Times New Roman"/>
              </w:rPr>
            </w:pPr>
            <w:r>
              <w:rPr>
                <w:rFonts w:hint="default" w:ascii="Times New Roman" w:hAnsi="Times New Roman" w:eastAsia="仿宋" w:cs="Times New Roman"/>
              </w:rPr>
              <w:t>蔡雪</w:t>
            </w:r>
          </w:p>
        </w:tc>
        <w:tc>
          <w:tcPr>
            <w:tcW w:w="1405" w:type="pct"/>
            <w:vAlign w:val="center"/>
          </w:tcPr>
          <w:p w14:paraId="048F71F1">
            <w:pPr>
              <w:pStyle w:val="52"/>
              <w:rPr>
                <w:rFonts w:hint="default" w:ascii="Times New Roman" w:hAnsi="Times New Roman" w:eastAsia="仿宋" w:cs="Times New Roman"/>
              </w:rPr>
            </w:pPr>
            <w:r>
              <w:rPr>
                <w:rFonts w:hint="default" w:ascii="Times New Roman" w:hAnsi="Times New Roman" w:eastAsia="仿宋" w:cs="Times New Roman"/>
              </w:rPr>
              <w:t>营销部</w:t>
            </w:r>
          </w:p>
        </w:tc>
        <w:tc>
          <w:tcPr>
            <w:tcW w:w="1564" w:type="pct"/>
            <w:vAlign w:val="center"/>
          </w:tcPr>
          <w:p w14:paraId="0E12E0CD">
            <w:pPr>
              <w:pStyle w:val="52"/>
              <w:rPr>
                <w:rFonts w:hint="default" w:ascii="Times New Roman" w:hAnsi="Times New Roman" w:eastAsia="仿宋" w:cs="Times New Roman"/>
              </w:rPr>
            </w:pPr>
            <w:r>
              <w:rPr>
                <w:rFonts w:hint="default" w:ascii="Times New Roman" w:hAnsi="Times New Roman" w:eastAsia="仿宋" w:cs="Times New Roman"/>
              </w:rPr>
              <w:t>13472355177</w:t>
            </w:r>
          </w:p>
        </w:tc>
      </w:tr>
      <w:tr w14:paraId="27CDA13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000" w:type="pct"/>
            <w:gridSpan w:val="4"/>
            <w:vAlign w:val="center"/>
          </w:tcPr>
          <w:p w14:paraId="0AF65954">
            <w:pPr>
              <w:pStyle w:val="52"/>
              <w:rPr>
                <w:rFonts w:hint="default" w:ascii="Times New Roman" w:hAnsi="Times New Roman" w:eastAsia="仿宋" w:cs="Times New Roman"/>
              </w:rPr>
            </w:pPr>
            <w:r>
              <w:rPr>
                <w:rFonts w:hint="default" w:ascii="Times New Roman" w:hAnsi="Times New Roman" w:eastAsia="仿宋" w:cs="Times New Roman"/>
              </w:rPr>
              <w:t xml:space="preserve">环保应急组         </w:t>
            </w:r>
          </w:p>
        </w:tc>
      </w:tr>
      <w:tr w14:paraId="421A855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4" w:type="pct"/>
            <w:vAlign w:val="center"/>
          </w:tcPr>
          <w:p w14:paraId="16AF8411">
            <w:pPr>
              <w:pStyle w:val="52"/>
              <w:rPr>
                <w:rFonts w:hint="default" w:ascii="Times New Roman" w:hAnsi="Times New Roman" w:eastAsia="仿宋" w:cs="Times New Roman"/>
              </w:rPr>
            </w:pPr>
            <w:r>
              <w:rPr>
                <w:rFonts w:hint="default" w:ascii="Times New Roman" w:hAnsi="Times New Roman" w:eastAsia="仿宋" w:cs="Times New Roman"/>
              </w:rPr>
              <w:t>组长</w:t>
            </w:r>
          </w:p>
        </w:tc>
        <w:tc>
          <w:tcPr>
            <w:tcW w:w="865" w:type="pct"/>
            <w:vAlign w:val="center"/>
          </w:tcPr>
          <w:p w14:paraId="666A5105">
            <w:pPr>
              <w:pStyle w:val="52"/>
              <w:rPr>
                <w:rFonts w:hint="default" w:ascii="Times New Roman" w:hAnsi="Times New Roman" w:eastAsia="仿宋" w:cs="Times New Roman"/>
              </w:rPr>
            </w:pPr>
            <w:r>
              <w:rPr>
                <w:rFonts w:hint="default" w:ascii="Times New Roman" w:hAnsi="Times New Roman" w:eastAsia="仿宋" w:cs="Times New Roman"/>
              </w:rPr>
              <w:t>徐涛</w:t>
            </w:r>
          </w:p>
        </w:tc>
        <w:tc>
          <w:tcPr>
            <w:tcW w:w="1405" w:type="pct"/>
            <w:vAlign w:val="center"/>
          </w:tcPr>
          <w:p w14:paraId="17B32CA6">
            <w:pPr>
              <w:pStyle w:val="52"/>
              <w:rPr>
                <w:rFonts w:hint="default" w:ascii="Times New Roman" w:hAnsi="Times New Roman" w:eastAsia="仿宋" w:cs="Times New Roman"/>
              </w:rPr>
            </w:pPr>
            <w:r>
              <w:rPr>
                <w:rFonts w:hint="default" w:ascii="Times New Roman" w:hAnsi="Times New Roman" w:eastAsia="仿宋" w:cs="Times New Roman"/>
              </w:rPr>
              <w:t>生产管理部</w:t>
            </w:r>
          </w:p>
        </w:tc>
        <w:tc>
          <w:tcPr>
            <w:tcW w:w="1564" w:type="pct"/>
            <w:vAlign w:val="center"/>
          </w:tcPr>
          <w:p w14:paraId="4FC48B22">
            <w:pPr>
              <w:pStyle w:val="52"/>
              <w:rPr>
                <w:rFonts w:hint="default" w:ascii="Times New Roman" w:hAnsi="Times New Roman" w:eastAsia="仿宋" w:cs="Times New Roman"/>
              </w:rPr>
            </w:pPr>
            <w:r>
              <w:rPr>
                <w:rFonts w:hint="default" w:ascii="Times New Roman" w:hAnsi="Times New Roman" w:eastAsia="仿宋" w:cs="Times New Roman"/>
              </w:rPr>
              <w:t>13932602905</w:t>
            </w:r>
          </w:p>
        </w:tc>
      </w:tr>
      <w:tr w14:paraId="6EB9093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4" w:type="pct"/>
            <w:vAlign w:val="center"/>
          </w:tcPr>
          <w:p w14:paraId="0E7A73B0">
            <w:pPr>
              <w:pStyle w:val="52"/>
              <w:rPr>
                <w:rFonts w:hint="default" w:ascii="Times New Roman" w:hAnsi="Times New Roman" w:eastAsia="仿宋" w:cs="Times New Roman"/>
              </w:rPr>
            </w:pPr>
            <w:r>
              <w:rPr>
                <w:rFonts w:hint="default" w:ascii="Times New Roman" w:hAnsi="Times New Roman" w:eastAsia="仿宋" w:cs="Times New Roman"/>
              </w:rPr>
              <w:t>成员</w:t>
            </w:r>
          </w:p>
        </w:tc>
        <w:tc>
          <w:tcPr>
            <w:tcW w:w="865" w:type="pct"/>
            <w:vAlign w:val="center"/>
          </w:tcPr>
          <w:p w14:paraId="0AB4DDF0">
            <w:pPr>
              <w:pStyle w:val="52"/>
              <w:rPr>
                <w:rFonts w:hint="default" w:ascii="Times New Roman" w:hAnsi="Times New Roman" w:eastAsia="仿宋" w:cs="Times New Roman"/>
              </w:rPr>
            </w:pPr>
            <w:r>
              <w:rPr>
                <w:rFonts w:hint="default" w:ascii="Times New Roman" w:hAnsi="Times New Roman" w:eastAsia="仿宋" w:cs="Times New Roman"/>
              </w:rPr>
              <w:t>崔加敏</w:t>
            </w:r>
          </w:p>
        </w:tc>
        <w:tc>
          <w:tcPr>
            <w:tcW w:w="1405" w:type="pct"/>
            <w:vAlign w:val="center"/>
          </w:tcPr>
          <w:p w14:paraId="57B3001A">
            <w:pPr>
              <w:pStyle w:val="52"/>
              <w:rPr>
                <w:rFonts w:hint="default" w:ascii="Times New Roman" w:hAnsi="Times New Roman" w:eastAsia="仿宋" w:cs="Times New Roman"/>
              </w:rPr>
            </w:pPr>
            <w:r>
              <w:rPr>
                <w:rFonts w:hint="default" w:ascii="Times New Roman" w:hAnsi="Times New Roman" w:eastAsia="仿宋" w:cs="Times New Roman"/>
              </w:rPr>
              <w:t>综合管理部</w:t>
            </w:r>
          </w:p>
        </w:tc>
        <w:tc>
          <w:tcPr>
            <w:tcW w:w="1564" w:type="pct"/>
            <w:vAlign w:val="center"/>
          </w:tcPr>
          <w:p w14:paraId="0917BCF7">
            <w:pPr>
              <w:pStyle w:val="52"/>
              <w:rPr>
                <w:rFonts w:hint="default" w:ascii="Times New Roman" w:hAnsi="Times New Roman" w:eastAsia="仿宋" w:cs="Times New Roman"/>
              </w:rPr>
            </w:pPr>
            <w:r>
              <w:rPr>
                <w:rFonts w:hint="default" w:ascii="Times New Roman" w:hAnsi="Times New Roman" w:eastAsia="仿宋" w:cs="Times New Roman"/>
              </w:rPr>
              <w:t>13920989727</w:t>
            </w:r>
          </w:p>
        </w:tc>
      </w:tr>
      <w:tr w14:paraId="069261F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4" w:type="pct"/>
            <w:vAlign w:val="center"/>
          </w:tcPr>
          <w:p w14:paraId="4BA2CF94">
            <w:pPr>
              <w:pStyle w:val="52"/>
              <w:rPr>
                <w:rFonts w:hint="default" w:ascii="Times New Roman" w:hAnsi="Times New Roman" w:eastAsia="仿宋" w:cs="Times New Roman"/>
              </w:rPr>
            </w:pPr>
            <w:r>
              <w:rPr>
                <w:rFonts w:hint="default" w:ascii="Times New Roman" w:hAnsi="Times New Roman" w:eastAsia="仿宋" w:cs="Times New Roman"/>
              </w:rPr>
              <w:t>成员</w:t>
            </w:r>
          </w:p>
        </w:tc>
        <w:tc>
          <w:tcPr>
            <w:tcW w:w="865" w:type="pct"/>
            <w:vAlign w:val="center"/>
          </w:tcPr>
          <w:p w14:paraId="400249E4">
            <w:pPr>
              <w:pStyle w:val="52"/>
              <w:rPr>
                <w:rFonts w:hint="default" w:ascii="Times New Roman" w:hAnsi="Times New Roman" w:eastAsia="仿宋" w:cs="Times New Roman"/>
              </w:rPr>
            </w:pPr>
            <w:r>
              <w:rPr>
                <w:rFonts w:hint="default" w:ascii="Times New Roman" w:hAnsi="Times New Roman" w:eastAsia="仿宋" w:cs="Times New Roman"/>
              </w:rPr>
              <w:t>何超</w:t>
            </w:r>
          </w:p>
        </w:tc>
        <w:tc>
          <w:tcPr>
            <w:tcW w:w="1405" w:type="pct"/>
            <w:vAlign w:val="center"/>
          </w:tcPr>
          <w:p w14:paraId="32D98399">
            <w:pPr>
              <w:pStyle w:val="52"/>
              <w:rPr>
                <w:rFonts w:hint="default" w:ascii="Times New Roman" w:hAnsi="Times New Roman" w:eastAsia="仿宋" w:cs="Times New Roman"/>
              </w:rPr>
            </w:pPr>
            <w:r>
              <w:rPr>
                <w:rFonts w:hint="default" w:ascii="Times New Roman" w:hAnsi="Times New Roman" w:eastAsia="仿宋" w:cs="Times New Roman"/>
              </w:rPr>
              <w:t>设备技术部</w:t>
            </w:r>
          </w:p>
        </w:tc>
        <w:tc>
          <w:tcPr>
            <w:tcW w:w="1564" w:type="pct"/>
            <w:vAlign w:val="center"/>
          </w:tcPr>
          <w:p w14:paraId="5D9A6144">
            <w:pPr>
              <w:pStyle w:val="52"/>
              <w:rPr>
                <w:rFonts w:hint="default" w:ascii="Times New Roman" w:hAnsi="Times New Roman" w:eastAsia="仿宋" w:cs="Times New Roman"/>
              </w:rPr>
            </w:pPr>
            <w:r>
              <w:rPr>
                <w:rFonts w:hint="default" w:ascii="Times New Roman" w:hAnsi="Times New Roman" w:eastAsia="仿宋" w:cs="Times New Roman"/>
              </w:rPr>
              <w:t>13373265537</w:t>
            </w:r>
          </w:p>
        </w:tc>
      </w:tr>
      <w:tr w14:paraId="244D5B6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000" w:type="pct"/>
            <w:gridSpan w:val="4"/>
            <w:vAlign w:val="center"/>
          </w:tcPr>
          <w:p w14:paraId="38C62384">
            <w:pPr>
              <w:pStyle w:val="52"/>
              <w:rPr>
                <w:rFonts w:hint="default" w:ascii="Times New Roman" w:hAnsi="Times New Roman" w:eastAsia="仿宋" w:cs="Times New Roman"/>
              </w:rPr>
            </w:pPr>
            <w:r>
              <w:rPr>
                <w:rFonts w:hint="default" w:ascii="Times New Roman" w:hAnsi="Times New Roman" w:eastAsia="仿宋" w:cs="Times New Roman"/>
              </w:rPr>
              <w:t>抢险救援组</w:t>
            </w:r>
          </w:p>
        </w:tc>
      </w:tr>
      <w:tr w14:paraId="112162A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4" w:type="pct"/>
            <w:vAlign w:val="center"/>
          </w:tcPr>
          <w:p w14:paraId="46B8D0E4">
            <w:pPr>
              <w:pStyle w:val="52"/>
              <w:rPr>
                <w:rFonts w:hint="default" w:ascii="Times New Roman" w:hAnsi="Times New Roman" w:eastAsia="仿宋" w:cs="Times New Roman"/>
              </w:rPr>
            </w:pPr>
            <w:r>
              <w:rPr>
                <w:rFonts w:hint="default" w:ascii="Times New Roman" w:hAnsi="Times New Roman" w:eastAsia="仿宋" w:cs="Times New Roman"/>
              </w:rPr>
              <w:t>组长</w:t>
            </w:r>
          </w:p>
        </w:tc>
        <w:tc>
          <w:tcPr>
            <w:tcW w:w="865" w:type="pct"/>
            <w:vAlign w:val="center"/>
          </w:tcPr>
          <w:p w14:paraId="3B329D6F">
            <w:pPr>
              <w:pStyle w:val="52"/>
              <w:rPr>
                <w:rFonts w:hint="default" w:ascii="Times New Roman" w:hAnsi="Times New Roman" w:eastAsia="仿宋" w:cs="Times New Roman"/>
              </w:rPr>
            </w:pPr>
            <w:r>
              <w:rPr>
                <w:rFonts w:hint="default" w:ascii="Times New Roman" w:hAnsi="Times New Roman" w:eastAsia="仿宋" w:cs="Times New Roman"/>
              </w:rPr>
              <w:t>张健</w:t>
            </w:r>
          </w:p>
        </w:tc>
        <w:tc>
          <w:tcPr>
            <w:tcW w:w="1405" w:type="pct"/>
            <w:vAlign w:val="center"/>
          </w:tcPr>
          <w:p w14:paraId="1FCE86AA">
            <w:pPr>
              <w:pStyle w:val="52"/>
              <w:rPr>
                <w:rFonts w:hint="default" w:ascii="Times New Roman" w:hAnsi="Times New Roman" w:eastAsia="仿宋" w:cs="Times New Roman"/>
              </w:rPr>
            </w:pPr>
            <w:r>
              <w:rPr>
                <w:rFonts w:hint="default" w:ascii="Times New Roman" w:hAnsi="Times New Roman" w:eastAsia="仿宋" w:cs="Times New Roman"/>
              </w:rPr>
              <w:t>设备技术部</w:t>
            </w:r>
          </w:p>
        </w:tc>
        <w:tc>
          <w:tcPr>
            <w:tcW w:w="1564" w:type="pct"/>
            <w:vAlign w:val="center"/>
          </w:tcPr>
          <w:p w14:paraId="5110EB58">
            <w:pPr>
              <w:pStyle w:val="52"/>
              <w:rPr>
                <w:rFonts w:hint="default" w:ascii="Times New Roman" w:hAnsi="Times New Roman" w:eastAsia="仿宋" w:cs="Times New Roman"/>
              </w:rPr>
            </w:pPr>
            <w:r>
              <w:rPr>
                <w:rFonts w:hint="default" w:ascii="Times New Roman" w:hAnsi="Times New Roman" w:eastAsia="仿宋" w:cs="Times New Roman"/>
              </w:rPr>
              <w:t>15081683223</w:t>
            </w:r>
          </w:p>
        </w:tc>
      </w:tr>
      <w:tr w14:paraId="5D32925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4" w:type="pct"/>
            <w:vAlign w:val="center"/>
          </w:tcPr>
          <w:p w14:paraId="48D2E97A">
            <w:pPr>
              <w:pStyle w:val="52"/>
              <w:rPr>
                <w:rFonts w:hint="default" w:ascii="Times New Roman" w:hAnsi="Times New Roman" w:eastAsia="仿宋" w:cs="Times New Roman"/>
              </w:rPr>
            </w:pPr>
            <w:r>
              <w:rPr>
                <w:rFonts w:hint="default" w:ascii="Times New Roman" w:hAnsi="Times New Roman" w:eastAsia="仿宋" w:cs="Times New Roman"/>
              </w:rPr>
              <w:t>成员</w:t>
            </w:r>
          </w:p>
        </w:tc>
        <w:tc>
          <w:tcPr>
            <w:tcW w:w="865" w:type="pct"/>
            <w:vAlign w:val="center"/>
          </w:tcPr>
          <w:p w14:paraId="5E53BF5E">
            <w:pPr>
              <w:pStyle w:val="52"/>
              <w:rPr>
                <w:rFonts w:hint="default" w:ascii="Times New Roman" w:hAnsi="Times New Roman" w:eastAsia="仿宋" w:cs="Times New Roman"/>
              </w:rPr>
            </w:pPr>
            <w:r>
              <w:rPr>
                <w:rFonts w:hint="default" w:ascii="Times New Roman" w:hAnsi="Times New Roman" w:eastAsia="仿宋" w:cs="Times New Roman"/>
              </w:rPr>
              <w:t>王彦兵</w:t>
            </w:r>
          </w:p>
        </w:tc>
        <w:tc>
          <w:tcPr>
            <w:tcW w:w="1405" w:type="pct"/>
            <w:vAlign w:val="center"/>
          </w:tcPr>
          <w:p w14:paraId="4DE14F04">
            <w:pPr>
              <w:pStyle w:val="52"/>
              <w:rPr>
                <w:rFonts w:hint="default" w:ascii="Times New Roman" w:hAnsi="Times New Roman" w:eastAsia="仿宋" w:cs="Times New Roman"/>
              </w:rPr>
            </w:pPr>
            <w:r>
              <w:rPr>
                <w:rFonts w:hint="default" w:ascii="Times New Roman" w:hAnsi="Times New Roman" w:eastAsia="仿宋" w:cs="Times New Roman"/>
              </w:rPr>
              <w:t>设备技术部</w:t>
            </w:r>
          </w:p>
        </w:tc>
        <w:tc>
          <w:tcPr>
            <w:tcW w:w="1564" w:type="pct"/>
            <w:vAlign w:val="center"/>
          </w:tcPr>
          <w:p w14:paraId="57A12C6F">
            <w:pPr>
              <w:pStyle w:val="52"/>
              <w:rPr>
                <w:rFonts w:hint="default" w:ascii="Times New Roman" w:hAnsi="Times New Roman" w:eastAsia="仿宋" w:cs="Times New Roman"/>
              </w:rPr>
            </w:pPr>
            <w:r>
              <w:rPr>
                <w:rFonts w:hint="default" w:ascii="Times New Roman" w:hAnsi="Times New Roman" w:eastAsia="仿宋" w:cs="Times New Roman"/>
              </w:rPr>
              <w:t>13718786079</w:t>
            </w:r>
          </w:p>
        </w:tc>
      </w:tr>
      <w:tr w14:paraId="1BD6160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4" w:type="pct"/>
            <w:vAlign w:val="center"/>
          </w:tcPr>
          <w:p w14:paraId="7823E7CB">
            <w:pPr>
              <w:pStyle w:val="52"/>
              <w:rPr>
                <w:rFonts w:hint="default" w:ascii="Times New Roman" w:hAnsi="Times New Roman" w:eastAsia="仿宋" w:cs="Times New Roman"/>
                <w:sz w:val="21"/>
              </w:rPr>
            </w:pPr>
            <w:r>
              <w:rPr>
                <w:rFonts w:hint="default" w:ascii="Times New Roman" w:hAnsi="Times New Roman" w:eastAsia="仿宋" w:cs="Times New Roman"/>
              </w:rPr>
              <w:t>成员</w:t>
            </w:r>
          </w:p>
        </w:tc>
        <w:tc>
          <w:tcPr>
            <w:tcW w:w="865" w:type="pct"/>
            <w:vAlign w:val="center"/>
          </w:tcPr>
          <w:p w14:paraId="148043B2">
            <w:pPr>
              <w:pStyle w:val="52"/>
              <w:rPr>
                <w:rFonts w:hint="default" w:ascii="Times New Roman" w:hAnsi="Times New Roman" w:eastAsia="仿宋" w:cs="Times New Roman"/>
              </w:rPr>
            </w:pPr>
            <w:r>
              <w:rPr>
                <w:rFonts w:hint="default" w:ascii="Times New Roman" w:hAnsi="Times New Roman" w:eastAsia="仿宋" w:cs="Times New Roman"/>
              </w:rPr>
              <w:t>周尔鹏</w:t>
            </w:r>
          </w:p>
        </w:tc>
        <w:tc>
          <w:tcPr>
            <w:tcW w:w="1405" w:type="pct"/>
            <w:vAlign w:val="center"/>
          </w:tcPr>
          <w:p w14:paraId="17B1BB57">
            <w:pPr>
              <w:pStyle w:val="52"/>
              <w:rPr>
                <w:rFonts w:hint="default" w:ascii="Times New Roman" w:hAnsi="Times New Roman" w:eastAsia="仿宋" w:cs="Times New Roman"/>
              </w:rPr>
            </w:pPr>
            <w:r>
              <w:rPr>
                <w:rFonts w:hint="default" w:ascii="Times New Roman" w:hAnsi="Times New Roman" w:eastAsia="仿宋" w:cs="Times New Roman"/>
              </w:rPr>
              <w:t>设备技术部</w:t>
            </w:r>
          </w:p>
        </w:tc>
        <w:tc>
          <w:tcPr>
            <w:tcW w:w="1564" w:type="pct"/>
            <w:vAlign w:val="center"/>
          </w:tcPr>
          <w:p w14:paraId="186CAA83">
            <w:pPr>
              <w:pStyle w:val="52"/>
              <w:rPr>
                <w:rFonts w:hint="default" w:ascii="Times New Roman" w:hAnsi="Times New Roman" w:eastAsia="仿宋" w:cs="Times New Roman"/>
              </w:rPr>
            </w:pPr>
            <w:r>
              <w:rPr>
                <w:rFonts w:hint="default" w:ascii="Times New Roman" w:hAnsi="Times New Roman" w:eastAsia="仿宋" w:cs="Times New Roman"/>
              </w:rPr>
              <w:t>15128410351</w:t>
            </w:r>
          </w:p>
        </w:tc>
      </w:tr>
      <w:tr w14:paraId="42C96BC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000" w:type="pct"/>
            <w:gridSpan w:val="4"/>
            <w:vAlign w:val="center"/>
          </w:tcPr>
          <w:p w14:paraId="7F177AA8">
            <w:pPr>
              <w:pStyle w:val="52"/>
              <w:rPr>
                <w:rFonts w:hint="default" w:ascii="Times New Roman" w:hAnsi="Times New Roman" w:eastAsia="仿宋" w:cs="Times New Roman"/>
              </w:rPr>
            </w:pPr>
            <w:r>
              <w:rPr>
                <w:rFonts w:hint="default" w:ascii="Times New Roman" w:hAnsi="Times New Roman" w:eastAsia="仿宋" w:cs="Times New Roman"/>
                <w:bCs/>
              </w:rPr>
              <w:t>后勤保障组</w:t>
            </w:r>
          </w:p>
        </w:tc>
      </w:tr>
      <w:tr w14:paraId="60E3B33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4" w:type="pct"/>
            <w:vAlign w:val="center"/>
          </w:tcPr>
          <w:p w14:paraId="4437942B">
            <w:pPr>
              <w:pStyle w:val="52"/>
              <w:rPr>
                <w:rFonts w:hint="default" w:ascii="Times New Roman" w:hAnsi="Times New Roman" w:eastAsia="仿宋" w:cs="Times New Roman"/>
              </w:rPr>
            </w:pPr>
            <w:r>
              <w:rPr>
                <w:rFonts w:hint="default" w:ascii="Times New Roman" w:hAnsi="Times New Roman" w:eastAsia="仿宋" w:cs="Times New Roman"/>
              </w:rPr>
              <w:t>组长</w:t>
            </w:r>
          </w:p>
        </w:tc>
        <w:tc>
          <w:tcPr>
            <w:tcW w:w="865" w:type="pct"/>
            <w:vAlign w:val="center"/>
          </w:tcPr>
          <w:p w14:paraId="233C1349">
            <w:pPr>
              <w:pStyle w:val="52"/>
              <w:rPr>
                <w:rFonts w:hint="default" w:ascii="Times New Roman" w:hAnsi="Times New Roman" w:eastAsia="仿宋" w:cs="Times New Roman"/>
              </w:rPr>
            </w:pPr>
            <w:r>
              <w:rPr>
                <w:rFonts w:hint="default" w:ascii="Times New Roman" w:hAnsi="Times New Roman" w:eastAsia="仿宋" w:cs="Times New Roman"/>
              </w:rPr>
              <w:t>何琦</w:t>
            </w:r>
          </w:p>
        </w:tc>
        <w:tc>
          <w:tcPr>
            <w:tcW w:w="1405" w:type="pct"/>
            <w:vAlign w:val="center"/>
          </w:tcPr>
          <w:p w14:paraId="52BC8CF1">
            <w:pPr>
              <w:pStyle w:val="52"/>
              <w:rPr>
                <w:rFonts w:hint="default" w:ascii="Times New Roman" w:hAnsi="Times New Roman" w:eastAsia="仿宋" w:cs="Times New Roman"/>
              </w:rPr>
            </w:pPr>
            <w:r>
              <w:rPr>
                <w:rFonts w:hint="default" w:ascii="Times New Roman" w:hAnsi="Times New Roman" w:eastAsia="仿宋" w:cs="Times New Roman"/>
              </w:rPr>
              <w:t>综合管理部</w:t>
            </w:r>
          </w:p>
        </w:tc>
        <w:tc>
          <w:tcPr>
            <w:tcW w:w="1564" w:type="pct"/>
            <w:vAlign w:val="center"/>
          </w:tcPr>
          <w:p w14:paraId="2677E6F3">
            <w:pPr>
              <w:pStyle w:val="52"/>
              <w:rPr>
                <w:rFonts w:hint="default" w:ascii="Times New Roman" w:hAnsi="Times New Roman" w:eastAsia="仿宋" w:cs="Times New Roman"/>
              </w:rPr>
            </w:pPr>
            <w:r>
              <w:rPr>
                <w:rFonts w:hint="default" w:ascii="Times New Roman" w:hAnsi="Times New Roman" w:eastAsia="仿宋" w:cs="Times New Roman"/>
              </w:rPr>
              <w:t>13323386361</w:t>
            </w:r>
          </w:p>
        </w:tc>
      </w:tr>
      <w:tr w14:paraId="4863D56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4" w:type="pct"/>
            <w:vAlign w:val="center"/>
          </w:tcPr>
          <w:p w14:paraId="1A604FDB">
            <w:pPr>
              <w:pStyle w:val="52"/>
              <w:rPr>
                <w:rFonts w:hint="default" w:ascii="Times New Roman" w:hAnsi="Times New Roman" w:eastAsia="仿宋" w:cs="Times New Roman"/>
              </w:rPr>
            </w:pPr>
            <w:r>
              <w:rPr>
                <w:rFonts w:hint="default" w:ascii="Times New Roman" w:hAnsi="Times New Roman" w:eastAsia="仿宋" w:cs="Times New Roman"/>
              </w:rPr>
              <w:t>成员</w:t>
            </w:r>
          </w:p>
        </w:tc>
        <w:tc>
          <w:tcPr>
            <w:tcW w:w="865" w:type="pct"/>
            <w:vAlign w:val="center"/>
          </w:tcPr>
          <w:p w14:paraId="7BE44179">
            <w:pPr>
              <w:pStyle w:val="52"/>
              <w:rPr>
                <w:rFonts w:hint="default" w:ascii="Times New Roman" w:hAnsi="Times New Roman" w:eastAsia="仿宋" w:cs="Times New Roman"/>
              </w:rPr>
            </w:pPr>
            <w:r>
              <w:rPr>
                <w:rFonts w:hint="default" w:ascii="Times New Roman" w:hAnsi="Times New Roman" w:eastAsia="仿宋" w:cs="Times New Roman"/>
              </w:rPr>
              <w:t>韩嘉绪</w:t>
            </w:r>
          </w:p>
        </w:tc>
        <w:tc>
          <w:tcPr>
            <w:tcW w:w="1405" w:type="pct"/>
            <w:vAlign w:val="center"/>
          </w:tcPr>
          <w:p w14:paraId="7EB0B2A5">
            <w:pPr>
              <w:pStyle w:val="52"/>
              <w:rPr>
                <w:rFonts w:hint="default" w:ascii="Times New Roman" w:hAnsi="Times New Roman" w:eastAsia="仿宋" w:cs="Times New Roman"/>
              </w:rPr>
            </w:pPr>
            <w:r>
              <w:rPr>
                <w:rFonts w:hint="default" w:ascii="Times New Roman" w:hAnsi="Times New Roman" w:eastAsia="仿宋" w:cs="Times New Roman"/>
              </w:rPr>
              <w:t>生产管理部</w:t>
            </w:r>
          </w:p>
        </w:tc>
        <w:tc>
          <w:tcPr>
            <w:tcW w:w="1564" w:type="pct"/>
            <w:vAlign w:val="center"/>
          </w:tcPr>
          <w:p w14:paraId="5BC24F2A">
            <w:pPr>
              <w:pStyle w:val="52"/>
              <w:rPr>
                <w:rFonts w:hint="default" w:ascii="Times New Roman" w:hAnsi="Times New Roman" w:eastAsia="仿宋" w:cs="Times New Roman"/>
              </w:rPr>
            </w:pPr>
            <w:r>
              <w:rPr>
                <w:rFonts w:hint="default" w:ascii="Times New Roman" w:hAnsi="Times New Roman" w:eastAsia="仿宋" w:cs="Times New Roman"/>
              </w:rPr>
              <w:t>18633786587</w:t>
            </w:r>
          </w:p>
        </w:tc>
      </w:tr>
      <w:tr w14:paraId="4019F78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4" w:type="pct"/>
            <w:vAlign w:val="center"/>
          </w:tcPr>
          <w:p w14:paraId="38FE8D69">
            <w:pPr>
              <w:pStyle w:val="52"/>
              <w:rPr>
                <w:rFonts w:hint="default" w:ascii="Times New Roman" w:hAnsi="Times New Roman" w:eastAsia="仿宋" w:cs="Times New Roman"/>
              </w:rPr>
            </w:pPr>
            <w:r>
              <w:rPr>
                <w:rFonts w:hint="default" w:ascii="Times New Roman" w:hAnsi="Times New Roman" w:eastAsia="仿宋" w:cs="Times New Roman"/>
              </w:rPr>
              <w:t>成员</w:t>
            </w:r>
          </w:p>
        </w:tc>
        <w:tc>
          <w:tcPr>
            <w:tcW w:w="865" w:type="pct"/>
            <w:vAlign w:val="center"/>
          </w:tcPr>
          <w:p w14:paraId="1883C971">
            <w:pPr>
              <w:pStyle w:val="52"/>
              <w:rPr>
                <w:rFonts w:hint="default" w:ascii="Times New Roman" w:hAnsi="Times New Roman" w:eastAsia="仿宋" w:cs="Times New Roman"/>
              </w:rPr>
            </w:pPr>
            <w:r>
              <w:rPr>
                <w:rFonts w:hint="default" w:ascii="Times New Roman" w:hAnsi="Times New Roman" w:eastAsia="仿宋" w:cs="Times New Roman"/>
              </w:rPr>
              <w:t>任玉林</w:t>
            </w:r>
          </w:p>
        </w:tc>
        <w:tc>
          <w:tcPr>
            <w:tcW w:w="1405" w:type="pct"/>
            <w:vAlign w:val="center"/>
          </w:tcPr>
          <w:p w14:paraId="12D3B4CB">
            <w:pPr>
              <w:pStyle w:val="52"/>
              <w:rPr>
                <w:rFonts w:hint="default" w:ascii="Times New Roman" w:hAnsi="Times New Roman" w:eastAsia="仿宋" w:cs="Times New Roman"/>
              </w:rPr>
            </w:pPr>
            <w:r>
              <w:rPr>
                <w:rFonts w:hint="default" w:ascii="Times New Roman" w:hAnsi="Times New Roman" w:eastAsia="仿宋" w:cs="Times New Roman"/>
              </w:rPr>
              <w:t>品管部</w:t>
            </w:r>
          </w:p>
        </w:tc>
        <w:tc>
          <w:tcPr>
            <w:tcW w:w="1564" w:type="pct"/>
            <w:vAlign w:val="center"/>
          </w:tcPr>
          <w:p w14:paraId="5ECB80D3">
            <w:pPr>
              <w:pStyle w:val="52"/>
              <w:rPr>
                <w:rFonts w:hint="default" w:ascii="Times New Roman" w:hAnsi="Times New Roman" w:eastAsia="仿宋" w:cs="Times New Roman"/>
              </w:rPr>
            </w:pPr>
            <w:r>
              <w:rPr>
                <w:rFonts w:hint="default" w:ascii="Times New Roman" w:hAnsi="Times New Roman" w:eastAsia="仿宋" w:cs="Times New Roman"/>
              </w:rPr>
              <w:t>13363863516</w:t>
            </w:r>
          </w:p>
        </w:tc>
      </w:tr>
      <w:tr w14:paraId="191C4D3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000" w:type="pct"/>
            <w:gridSpan w:val="4"/>
            <w:vAlign w:val="center"/>
          </w:tcPr>
          <w:p w14:paraId="3F396D20">
            <w:pPr>
              <w:pStyle w:val="52"/>
              <w:rPr>
                <w:rFonts w:hint="default" w:ascii="Times New Roman" w:hAnsi="Times New Roman" w:eastAsia="仿宋" w:cs="Times New Roman"/>
              </w:rPr>
            </w:pPr>
            <w:r>
              <w:rPr>
                <w:rFonts w:hint="default" w:ascii="Times New Roman" w:hAnsi="Times New Roman" w:eastAsia="仿宋" w:cs="Times New Roman"/>
              </w:rPr>
              <w:t>紧急疏散组</w:t>
            </w:r>
          </w:p>
        </w:tc>
      </w:tr>
      <w:tr w14:paraId="19817DA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4" w:type="pct"/>
            <w:vAlign w:val="center"/>
          </w:tcPr>
          <w:p w14:paraId="6DCB736C">
            <w:pPr>
              <w:pStyle w:val="52"/>
              <w:rPr>
                <w:rFonts w:hint="default" w:ascii="Times New Roman" w:hAnsi="Times New Roman" w:eastAsia="仿宋" w:cs="Times New Roman"/>
              </w:rPr>
            </w:pPr>
            <w:r>
              <w:rPr>
                <w:rFonts w:hint="default" w:ascii="Times New Roman" w:hAnsi="Times New Roman" w:eastAsia="仿宋" w:cs="Times New Roman"/>
              </w:rPr>
              <w:t>组长</w:t>
            </w:r>
          </w:p>
        </w:tc>
        <w:tc>
          <w:tcPr>
            <w:tcW w:w="865" w:type="pct"/>
            <w:vAlign w:val="center"/>
          </w:tcPr>
          <w:p w14:paraId="3117EFC5">
            <w:pPr>
              <w:pStyle w:val="52"/>
              <w:rPr>
                <w:rFonts w:hint="default" w:ascii="Times New Roman" w:hAnsi="Times New Roman" w:eastAsia="仿宋" w:cs="Times New Roman"/>
              </w:rPr>
            </w:pPr>
            <w:r>
              <w:rPr>
                <w:rFonts w:hint="default" w:ascii="Times New Roman" w:hAnsi="Times New Roman" w:eastAsia="仿宋" w:cs="Times New Roman"/>
              </w:rPr>
              <w:t>聂宝刚</w:t>
            </w:r>
          </w:p>
        </w:tc>
        <w:tc>
          <w:tcPr>
            <w:tcW w:w="1405" w:type="pct"/>
            <w:vAlign w:val="center"/>
          </w:tcPr>
          <w:p w14:paraId="7E562404">
            <w:pPr>
              <w:pStyle w:val="52"/>
              <w:rPr>
                <w:rFonts w:hint="default" w:ascii="Times New Roman" w:hAnsi="Times New Roman" w:eastAsia="仿宋" w:cs="Times New Roman"/>
              </w:rPr>
            </w:pPr>
            <w:r>
              <w:rPr>
                <w:rFonts w:hint="default" w:ascii="Times New Roman" w:hAnsi="Times New Roman" w:eastAsia="仿宋" w:cs="Times New Roman"/>
              </w:rPr>
              <w:t>综合管理部</w:t>
            </w:r>
          </w:p>
        </w:tc>
        <w:tc>
          <w:tcPr>
            <w:tcW w:w="1564" w:type="pct"/>
            <w:vAlign w:val="center"/>
          </w:tcPr>
          <w:p w14:paraId="49B0AA49">
            <w:pPr>
              <w:pStyle w:val="52"/>
              <w:rPr>
                <w:rFonts w:hint="default" w:ascii="Times New Roman" w:hAnsi="Times New Roman" w:eastAsia="仿宋" w:cs="Times New Roman"/>
              </w:rPr>
            </w:pPr>
            <w:r>
              <w:rPr>
                <w:rFonts w:hint="default" w:ascii="Times New Roman" w:hAnsi="Times New Roman" w:eastAsia="仿宋" w:cs="Times New Roman"/>
              </w:rPr>
              <w:t>15922285609</w:t>
            </w:r>
          </w:p>
        </w:tc>
      </w:tr>
      <w:tr w14:paraId="719B3C8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4" w:type="pct"/>
            <w:vAlign w:val="center"/>
          </w:tcPr>
          <w:p w14:paraId="17BF1072">
            <w:pPr>
              <w:pStyle w:val="52"/>
              <w:rPr>
                <w:rFonts w:hint="default" w:ascii="Times New Roman" w:hAnsi="Times New Roman" w:eastAsia="仿宋" w:cs="Times New Roman"/>
              </w:rPr>
            </w:pPr>
            <w:r>
              <w:rPr>
                <w:rFonts w:hint="default" w:ascii="Times New Roman" w:hAnsi="Times New Roman" w:eastAsia="仿宋" w:cs="Times New Roman"/>
              </w:rPr>
              <w:t>成员</w:t>
            </w:r>
          </w:p>
        </w:tc>
        <w:tc>
          <w:tcPr>
            <w:tcW w:w="865" w:type="pct"/>
            <w:vAlign w:val="center"/>
          </w:tcPr>
          <w:p w14:paraId="17E69A8A">
            <w:pPr>
              <w:pStyle w:val="52"/>
              <w:rPr>
                <w:rFonts w:hint="default" w:ascii="Times New Roman" w:hAnsi="Times New Roman" w:eastAsia="仿宋" w:cs="Times New Roman"/>
              </w:rPr>
            </w:pPr>
            <w:r>
              <w:rPr>
                <w:rFonts w:hint="default" w:ascii="Times New Roman" w:hAnsi="Times New Roman" w:eastAsia="仿宋" w:cs="Times New Roman"/>
              </w:rPr>
              <w:t>孟德普</w:t>
            </w:r>
          </w:p>
        </w:tc>
        <w:tc>
          <w:tcPr>
            <w:tcW w:w="1405" w:type="pct"/>
            <w:vAlign w:val="center"/>
          </w:tcPr>
          <w:p w14:paraId="04C371A9">
            <w:pPr>
              <w:pStyle w:val="52"/>
              <w:rPr>
                <w:rFonts w:hint="default" w:ascii="Times New Roman" w:hAnsi="Times New Roman" w:eastAsia="仿宋" w:cs="Times New Roman"/>
              </w:rPr>
            </w:pPr>
            <w:r>
              <w:rPr>
                <w:rFonts w:hint="default" w:ascii="Times New Roman" w:hAnsi="Times New Roman" w:eastAsia="仿宋" w:cs="Times New Roman"/>
              </w:rPr>
              <w:t>综合管理部</w:t>
            </w:r>
          </w:p>
        </w:tc>
        <w:tc>
          <w:tcPr>
            <w:tcW w:w="1564" w:type="pct"/>
            <w:vAlign w:val="center"/>
          </w:tcPr>
          <w:p w14:paraId="58EC057C">
            <w:pPr>
              <w:pStyle w:val="52"/>
              <w:rPr>
                <w:rFonts w:hint="default" w:ascii="Times New Roman" w:hAnsi="Times New Roman" w:eastAsia="仿宋" w:cs="Times New Roman"/>
              </w:rPr>
            </w:pPr>
            <w:r>
              <w:rPr>
                <w:rFonts w:hint="default" w:ascii="Times New Roman" w:hAnsi="Times New Roman" w:eastAsia="仿宋" w:cs="Times New Roman"/>
              </w:rPr>
              <w:t>13312195971</w:t>
            </w:r>
          </w:p>
        </w:tc>
      </w:tr>
    </w:tbl>
    <w:p w14:paraId="36E41C6F">
      <w:pPr>
        <w:spacing w:before="120" w:beforeLines="50"/>
        <w:outlineLvl w:val="1"/>
        <w:rPr>
          <w:rFonts w:hint="default" w:ascii="Times New Roman" w:hAnsi="Times New Roman" w:eastAsia="仿宋" w:cs="Times New Roman"/>
          <w:szCs w:val="28"/>
        </w:rPr>
      </w:pPr>
      <w:bookmarkStart w:id="61" w:name="_Toc26411"/>
      <w:bookmarkStart w:id="62" w:name="_Toc15122"/>
      <w:bookmarkStart w:id="63" w:name="_Toc25504_WPSOffice_Level1"/>
      <w:r>
        <w:rPr>
          <w:rFonts w:hint="default" w:ascii="Times New Roman" w:hAnsi="Times New Roman" w:eastAsia="仿宋" w:cs="Times New Roman"/>
          <w:b/>
          <w:bCs/>
          <w:szCs w:val="28"/>
        </w:rPr>
        <w:t>4.3分级响应机制</w:t>
      </w:r>
      <w:bookmarkEnd w:id="61"/>
    </w:p>
    <w:p w14:paraId="6823A8E9">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根据《国务院办公厅关于印发国家突发环境事件应急预案的通知》（国办函〔2014〕119号），按突发环境事件的可控性、严重程度和影响范围，突发环境事件的应急响应分为特别重大（I级响应）、重大（II级响应）、较大（III级响应）、一般（Ⅳ级响应）四级。</w:t>
      </w:r>
    </w:p>
    <w:p w14:paraId="3B13E3A3">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本预案根据企业实际情况，将企业突发环境事件响应级别定义为现场级、公司级、社会级，现场级与一般（IV级响应）相衔接。</w:t>
      </w:r>
    </w:p>
    <w:p w14:paraId="0510BAC3">
      <w:pPr>
        <w:ind w:firstLine="560"/>
        <w:rPr>
          <w:rFonts w:hint="default" w:ascii="Times New Roman" w:hAnsi="Times New Roman" w:eastAsia="仿宋" w:cs="Times New Roman"/>
          <w:szCs w:val="28"/>
        </w:rPr>
      </w:pPr>
      <w:r>
        <w:rPr>
          <w:rFonts w:hint="default" w:ascii="Times New Roman" w:hAnsi="Times New Roman" w:eastAsia="仿宋" w:cs="Times New Roman"/>
          <w:szCs w:val="28"/>
        </w:rPr>
        <w:t>1）社会级应急响应：指突发环境事件已影响到厂界以外，需借助外界力量应急。此类事件发生需第一时间上报经开区应急指挥中心，同时开展先期应急处置。</w:t>
      </w:r>
    </w:p>
    <w:p w14:paraId="6DD97672">
      <w:pPr>
        <w:ind w:firstLine="560"/>
        <w:rPr>
          <w:rFonts w:hint="default" w:ascii="Times New Roman" w:hAnsi="Times New Roman" w:eastAsia="仿宋" w:cs="Times New Roman"/>
          <w:szCs w:val="28"/>
        </w:rPr>
      </w:pPr>
      <w:r>
        <w:rPr>
          <w:rFonts w:hint="default" w:ascii="Times New Roman" w:hAnsi="Times New Roman" w:eastAsia="仿宋" w:cs="Times New Roman"/>
          <w:szCs w:val="28"/>
        </w:rPr>
        <w:t>2）公司级应急响应：指事件采取现场措施无法解决，但通过公司内部力量可以控制。此类事件发生需在开展现场处置的同时，第一时间上报经开区应急指挥中心，由应急总指挥负责，应急处置队伍按照本预案开展应急行动。</w:t>
      </w:r>
    </w:p>
    <w:p w14:paraId="4AA1E8AD">
      <w:pPr>
        <w:ind w:firstLine="560"/>
        <w:rPr>
          <w:rFonts w:hint="default" w:ascii="Times New Roman" w:hAnsi="Times New Roman" w:eastAsia="仿宋" w:cs="Times New Roman"/>
          <w:szCs w:val="28"/>
        </w:rPr>
      </w:pPr>
      <w:r>
        <w:rPr>
          <w:rFonts w:hint="default" w:ascii="Times New Roman" w:hAnsi="Times New Roman" w:eastAsia="仿宋" w:cs="Times New Roman"/>
          <w:szCs w:val="28"/>
        </w:rPr>
        <w:t>3）现场级应急响应：指事件采取现场措施即可解决，无需动员应急组织力量，事故处理的同时上报部门负责人。</w:t>
      </w:r>
    </w:p>
    <w:p w14:paraId="20B53045">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突发环境事件应急处置行动响应级别如表4.4所示。</w:t>
      </w:r>
    </w:p>
    <w:p w14:paraId="46CBAFD1">
      <w:pPr>
        <w:ind w:firstLine="560" w:firstLineChars="200"/>
        <w:rPr>
          <w:rFonts w:hint="default" w:ascii="Times New Roman" w:hAnsi="Times New Roman" w:eastAsia="仿宋" w:cs="Times New Roman"/>
          <w:szCs w:val="28"/>
        </w:rPr>
      </w:pPr>
    </w:p>
    <w:p w14:paraId="12319AF5">
      <w:pPr>
        <w:ind w:firstLine="560" w:firstLineChars="200"/>
        <w:rPr>
          <w:rFonts w:hint="default" w:ascii="Times New Roman" w:hAnsi="Times New Roman" w:eastAsia="仿宋" w:cs="Times New Roman"/>
          <w:szCs w:val="28"/>
        </w:rPr>
        <w:sectPr>
          <w:pgSz w:w="11905" w:h="16838"/>
          <w:pgMar w:top="1440" w:right="1083" w:bottom="1440" w:left="1083" w:header="737" w:footer="567" w:gutter="0"/>
          <w:cols w:space="0" w:num="1"/>
          <w:rtlGutter w:val="0"/>
          <w:docGrid w:linePitch="0" w:charSpace="0"/>
        </w:sectPr>
      </w:pPr>
    </w:p>
    <w:p w14:paraId="7494F5C2">
      <w:pPr>
        <w:jc w:val="center"/>
        <w:rPr>
          <w:rFonts w:hint="default" w:ascii="Times New Roman" w:hAnsi="Times New Roman" w:eastAsia="仿宋" w:cs="Times New Roman"/>
          <w:szCs w:val="28"/>
          <w:highlight w:val="none"/>
        </w:rPr>
      </w:pPr>
      <w:r>
        <w:rPr>
          <w:rFonts w:hint="default" w:ascii="Times New Roman" w:hAnsi="Times New Roman" w:eastAsia="仿宋" w:cs="Times New Roman"/>
          <w:szCs w:val="24"/>
          <w:highlight w:val="none"/>
        </w:rPr>
        <w:t>表4.4  突发环境事件处置行动应急响应级别</w:t>
      </w:r>
    </w:p>
    <w:tbl>
      <w:tblPr>
        <w:tblStyle w:val="43"/>
        <w:tblW w:w="138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3"/>
        <w:gridCol w:w="3237"/>
        <w:gridCol w:w="800"/>
        <w:gridCol w:w="1376"/>
        <w:gridCol w:w="5599"/>
        <w:gridCol w:w="1623"/>
      </w:tblGrid>
      <w:tr w14:paraId="4415C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4490" w:type="dxa"/>
            <w:gridSpan w:val="2"/>
            <w:shd w:val="clear" w:color="auto" w:fill="D7D7D7"/>
            <w:vAlign w:val="center"/>
          </w:tcPr>
          <w:p w14:paraId="11A519FA">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突发环境事件</w:t>
            </w:r>
          </w:p>
        </w:tc>
        <w:tc>
          <w:tcPr>
            <w:tcW w:w="800" w:type="dxa"/>
            <w:vMerge w:val="restart"/>
            <w:shd w:val="clear" w:color="auto" w:fill="D7D7D7"/>
            <w:vAlign w:val="center"/>
          </w:tcPr>
          <w:p w14:paraId="05E24119">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预警分级</w:t>
            </w:r>
          </w:p>
        </w:tc>
        <w:tc>
          <w:tcPr>
            <w:tcW w:w="1376" w:type="dxa"/>
            <w:vMerge w:val="restart"/>
            <w:shd w:val="clear" w:color="auto" w:fill="D7D7D7"/>
            <w:vAlign w:val="center"/>
          </w:tcPr>
          <w:p w14:paraId="53E8152D">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响应级别</w:t>
            </w:r>
          </w:p>
        </w:tc>
        <w:tc>
          <w:tcPr>
            <w:tcW w:w="5599" w:type="dxa"/>
            <w:vMerge w:val="restart"/>
            <w:shd w:val="clear" w:color="auto" w:fill="D7D7D7"/>
            <w:vAlign w:val="center"/>
          </w:tcPr>
          <w:p w14:paraId="098148ED">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应急行动</w:t>
            </w:r>
          </w:p>
        </w:tc>
        <w:tc>
          <w:tcPr>
            <w:tcW w:w="1623" w:type="dxa"/>
            <w:vMerge w:val="restart"/>
            <w:shd w:val="clear" w:color="auto" w:fill="D7D7D7"/>
            <w:vAlign w:val="center"/>
          </w:tcPr>
          <w:p w14:paraId="3FD75CF4">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责任人</w:t>
            </w:r>
          </w:p>
        </w:tc>
      </w:tr>
      <w:tr w14:paraId="02FB9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3" w:type="dxa"/>
            <w:shd w:val="clear" w:color="auto" w:fill="D7D7D7"/>
            <w:vAlign w:val="center"/>
          </w:tcPr>
          <w:p w14:paraId="118AA41F">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风险单元</w:t>
            </w:r>
          </w:p>
        </w:tc>
        <w:tc>
          <w:tcPr>
            <w:tcW w:w="3237" w:type="dxa"/>
            <w:shd w:val="clear" w:color="auto" w:fill="D7D7D7"/>
            <w:vAlign w:val="center"/>
          </w:tcPr>
          <w:p w14:paraId="0EC6FA61">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分级响应条件</w:t>
            </w:r>
          </w:p>
        </w:tc>
        <w:tc>
          <w:tcPr>
            <w:tcW w:w="800" w:type="dxa"/>
            <w:vMerge w:val="continue"/>
            <w:shd w:val="clear" w:color="auto" w:fill="auto"/>
            <w:vAlign w:val="center"/>
          </w:tcPr>
          <w:p w14:paraId="028008CC">
            <w:pPr>
              <w:spacing w:line="288" w:lineRule="auto"/>
              <w:jc w:val="center"/>
              <w:rPr>
                <w:rFonts w:hint="default" w:ascii="Times New Roman" w:hAnsi="Times New Roman" w:eastAsia="仿宋" w:cs="Times New Roman"/>
                <w:sz w:val="24"/>
                <w:szCs w:val="24"/>
                <w:highlight w:val="yellow"/>
              </w:rPr>
            </w:pPr>
          </w:p>
        </w:tc>
        <w:tc>
          <w:tcPr>
            <w:tcW w:w="1376" w:type="dxa"/>
            <w:vMerge w:val="continue"/>
            <w:shd w:val="clear" w:color="auto" w:fill="auto"/>
            <w:vAlign w:val="center"/>
          </w:tcPr>
          <w:p w14:paraId="04DE3E5F">
            <w:pPr>
              <w:spacing w:line="288" w:lineRule="auto"/>
              <w:jc w:val="center"/>
              <w:rPr>
                <w:rFonts w:hint="default" w:ascii="Times New Roman" w:hAnsi="Times New Roman" w:eastAsia="仿宋" w:cs="Times New Roman"/>
                <w:sz w:val="24"/>
                <w:szCs w:val="24"/>
                <w:highlight w:val="yellow"/>
              </w:rPr>
            </w:pPr>
          </w:p>
        </w:tc>
        <w:tc>
          <w:tcPr>
            <w:tcW w:w="5599" w:type="dxa"/>
            <w:vMerge w:val="continue"/>
            <w:shd w:val="clear" w:color="auto" w:fill="auto"/>
            <w:vAlign w:val="center"/>
          </w:tcPr>
          <w:p w14:paraId="5D0B8832">
            <w:pPr>
              <w:spacing w:line="288" w:lineRule="auto"/>
              <w:jc w:val="center"/>
              <w:rPr>
                <w:rFonts w:hint="default" w:ascii="Times New Roman" w:hAnsi="Times New Roman" w:eastAsia="仿宋" w:cs="Times New Roman"/>
                <w:sz w:val="24"/>
                <w:szCs w:val="24"/>
                <w:highlight w:val="yellow"/>
              </w:rPr>
            </w:pPr>
          </w:p>
        </w:tc>
        <w:tc>
          <w:tcPr>
            <w:tcW w:w="1623" w:type="dxa"/>
            <w:vMerge w:val="continue"/>
            <w:shd w:val="clear" w:color="auto" w:fill="auto"/>
            <w:vAlign w:val="center"/>
          </w:tcPr>
          <w:p w14:paraId="1E74D427">
            <w:pPr>
              <w:spacing w:line="288" w:lineRule="auto"/>
              <w:jc w:val="center"/>
              <w:rPr>
                <w:rFonts w:hint="default" w:ascii="Times New Roman" w:hAnsi="Times New Roman" w:eastAsia="仿宋" w:cs="Times New Roman"/>
                <w:sz w:val="24"/>
                <w:szCs w:val="24"/>
                <w:highlight w:val="yellow"/>
              </w:rPr>
            </w:pPr>
          </w:p>
        </w:tc>
      </w:tr>
      <w:tr w14:paraId="255B3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3" w:type="dxa"/>
            <w:vMerge w:val="restart"/>
            <w:shd w:val="clear" w:color="auto" w:fill="auto"/>
            <w:vAlign w:val="center"/>
          </w:tcPr>
          <w:p w14:paraId="09326E10">
            <w:pPr>
              <w:spacing w:line="288" w:lineRule="auto"/>
              <w:jc w:val="center"/>
              <w:rPr>
                <w:rFonts w:hint="default" w:ascii="Times New Roman" w:hAnsi="Times New Roman" w:eastAsia="仿宋" w:cs="Times New Roman"/>
                <w:sz w:val="24"/>
                <w:szCs w:val="24"/>
                <w:highlight w:val="yellow"/>
              </w:rPr>
            </w:pPr>
            <w:r>
              <w:rPr>
                <w:rFonts w:hint="default" w:ascii="Times New Roman" w:hAnsi="Times New Roman" w:eastAsia="仿宋" w:cs="Times New Roman"/>
                <w:sz w:val="24"/>
                <w:szCs w:val="24"/>
              </w:rPr>
              <w:t>生产车间、原辅材料库（含危废暂存间）</w:t>
            </w:r>
          </w:p>
        </w:tc>
        <w:tc>
          <w:tcPr>
            <w:tcW w:w="3237" w:type="dxa"/>
            <w:shd w:val="clear" w:color="auto" w:fill="auto"/>
            <w:vAlign w:val="center"/>
          </w:tcPr>
          <w:p w14:paraId="6EB5186E">
            <w:pPr>
              <w:spacing w:line="288" w:lineRule="auto"/>
              <w:jc w:val="center"/>
              <w:rPr>
                <w:rFonts w:hint="default" w:ascii="Times New Roman" w:hAnsi="Times New Roman" w:eastAsia="仿宋" w:cs="Times New Roman"/>
                <w:sz w:val="24"/>
                <w:szCs w:val="24"/>
                <w:highlight w:val="yellow"/>
              </w:rPr>
            </w:pPr>
            <w:r>
              <w:rPr>
                <w:rFonts w:hint="default" w:ascii="Times New Roman" w:hAnsi="Times New Roman" w:eastAsia="仿宋" w:cs="Times New Roman"/>
                <w:sz w:val="24"/>
                <w:szCs w:val="24"/>
              </w:rPr>
              <w:t>包装桶破损、内容物流出</w:t>
            </w:r>
          </w:p>
        </w:tc>
        <w:tc>
          <w:tcPr>
            <w:tcW w:w="800" w:type="dxa"/>
            <w:shd w:val="clear" w:color="auto" w:fill="auto"/>
            <w:vAlign w:val="center"/>
          </w:tcPr>
          <w:p w14:paraId="347722C6">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黄色</w:t>
            </w:r>
          </w:p>
        </w:tc>
        <w:tc>
          <w:tcPr>
            <w:tcW w:w="1376" w:type="dxa"/>
            <w:shd w:val="clear" w:color="auto" w:fill="auto"/>
            <w:vAlign w:val="center"/>
          </w:tcPr>
          <w:p w14:paraId="597DC2FF">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现场级</w:t>
            </w:r>
          </w:p>
        </w:tc>
        <w:tc>
          <w:tcPr>
            <w:tcW w:w="5599" w:type="dxa"/>
            <w:shd w:val="clear" w:color="auto" w:fill="auto"/>
            <w:vAlign w:val="center"/>
          </w:tcPr>
          <w:p w14:paraId="48AE8BE6">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将破损的包装桶放入完好的空桶内，将泄漏至地面的液体用吸附材料吸附，收集至危废暂存间。车间生产单元发生泄漏，立刻停止生产。</w:t>
            </w:r>
          </w:p>
        </w:tc>
        <w:tc>
          <w:tcPr>
            <w:tcW w:w="1623" w:type="dxa"/>
            <w:shd w:val="clear" w:color="auto" w:fill="auto"/>
            <w:vAlign w:val="center"/>
          </w:tcPr>
          <w:p w14:paraId="6B39D988">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现场人员</w:t>
            </w:r>
          </w:p>
        </w:tc>
      </w:tr>
      <w:tr w14:paraId="6F9E8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3" w:type="dxa"/>
            <w:vMerge w:val="continue"/>
            <w:shd w:val="clear" w:color="auto" w:fill="auto"/>
            <w:vAlign w:val="center"/>
          </w:tcPr>
          <w:p w14:paraId="36FD33D6">
            <w:pPr>
              <w:spacing w:line="288" w:lineRule="auto"/>
              <w:jc w:val="center"/>
              <w:rPr>
                <w:rFonts w:hint="default" w:ascii="Times New Roman" w:hAnsi="Times New Roman" w:eastAsia="仿宋" w:cs="Times New Roman"/>
                <w:sz w:val="24"/>
                <w:szCs w:val="24"/>
                <w:highlight w:val="yellow"/>
              </w:rPr>
            </w:pPr>
          </w:p>
        </w:tc>
        <w:tc>
          <w:tcPr>
            <w:tcW w:w="3237" w:type="dxa"/>
            <w:shd w:val="clear" w:color="auto" w:fill="auto"/>
            <w:vAlign w:val="center"/>
          </w:tcPr>
          <w:p w14:paraId="2ABA6E50">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包装桶倾倒，内容物流出</w:t>
            </w:r>
          </w:p>
        </w:tc>
        <w:tc>
          <w:tcPr>
            <w:tcW w:w="800" w:type="dxa"/>
            <w:shd w:val="clear" w:color="auto" w:fill="auto"/>
            <w:vAlign w:val="center"/>
          </w:tcPr>
          <w:p w14:paraId="4D26B72C">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黄色</w:t>
            </w:r>
          </w:p>
        </w:tc>
        <w:tc>
          <w:tcPr>
            <w:tcW w:w="1376" w:type="dxa"/>
            <w:shd w:val="clear" w:color="auto" w:fill="auto"/>
            <w:vAlign w:val="center"/>
          </w:tcPr>
          <w:p w14:paraId="614DF118">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现场级</w:t>
            </w:r>
          </w:p>
        </w:tc>
        <w:tc>
          <w:tcPr>
            <w:tcW w:w="5599" w:type="dxa"/>
            <w:shd w:val="clear" w:color="auto" w:fill="auto"/>
            <w:vAlign w:val="center"/>
          </w:tcPr>
          <w:p w14:paraId="062704F5">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将倾倒的包装桶扶正，将泄漏至瓶身/桶身、桌面或地面的液体用吸附材料吸附，收集至危废暂存间。车间生产单元发生泄漏，立刻停止生产。</w:t>
            </w:r>
          </w:p>
        </w:tc>
        <w:tc>
          <w:tcPr>
            <w:tcW w:w="1623" w:type="dxa"/>
            <w:shd w:val="clear" w:color="auto" w:fill="auto"/>
            <w:vAlign w:val="center"/>
          </w:tcPr>
          <w:p w14:paraId="21F5D950">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现场人员</w:t>
            </w:r>
          </w:p>
        </w:tc>
      </w:tr>
      <w:tr w14:paraId="6A1C8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3" w:type="dxa"/>
            <w:vMerge w:val="continue"/>
            <w:shd w:val="clear" w:color="auto" w:fill="auto"/>
            <w:vAlign w:val="center"/>
          </w:tcPr>
          <w:p w14:paraId="30EB7FFE">
            <w:pPr>
              <w:spacing w:line="288" w:lineRule="auto"/>
              <w:jc w:val="center"/>
              <w:rPr>
                <w:rFonts w:hint="default" w:ascii="Times New Roman" w:hAnsi="Times New Roman" w:eastAsia="仿宋" w:cs="Times New Roman"/>
                <w:sz w:val="24"/>
                <w:szCs w:val="24"/>
                <w:highlight w:val="yellow"/>
              </w:rPr>
            </w:pPr>
          </w:p>
        </w:tc>
        <w:tc>
          <w:tcPr>
            <w:tcW w:w="3237" w:type="dxa"/>
            <w:shd w:val="clear" w:color="auto" w:fill="auto"/>
            <w:vAlign w:val="center"/>
          </w:tcPr>
          <w:p w14:paraId="559A0E03">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风险物质泄漏后，遇明火发生火灾事故</w:t>
            </w:r>
          </w:p>
        </w:tc>
        <w:tc>
          <w:tcPr>
            <w:tcW w:w="800" w:type="dxa"/>
            <w:shd w:val="clear" w:color="auto" w:fill="auto"/>
            <w:vAlign w:val="center"/>
          </w:tcPr>
          <w:p w14:paraId="121861A9">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橙色</w:t>
            </w:r>
          </w:p>
        </w:tc>
        <w:tc>
          <w:tcPr>
            <w:tcW w:w="1376" w:type="dxa"/>
            <w:shd w:val="clear" w:color="auto" w:fill="auto"/>
            <w:vAlign w:val="center"/>
          </w:tcPr>
          <w:p w14:paraId="4C673855">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公司级</w:t>
            </w:r>
          </w:p>
        </w:tc>
        <w:tc>
          <w:tcPr>
            <w:tcW w:w="5599" w:type="dxa"/>
            <w:shd w:val="clear" w:color="auto" w:fill="auto"/>
            <w:vAlign w:val="center"/>
          </w:tcPr>
          <w:p w14:paraId="2EE8E79A">
            <w:pPr>
              <w:spacing w:line="288" w:lineRule="auto"/>
              <w:jc w:val="center"/>
              <w:rPr>
                <w:rFonts w:hint="default" w:ascii="Times New Roman" w:hAnsi="Times New Roman" w:eastAsia="仿宋" w:cs="Times New Roman"/>
                <w:sz w:val="24"/>
                <w:szCs w:val="24"/>
                <w:highlight w:val="yellow"/>
              </w:rPr>
            </w:pPr>
            <w:r>
              <w:rPr>
                <w:rFonts w:hint="default" w:ascii="Times New Roman" w:hAnsi="Times New Roman" w:eastAsia="仿宋" w:cs="Times New Roman"/>
                <w:sz w:val="24"/>
                <w:szCs w:val="24"/>
              </w:rPr>
              <w:t>使用灭火器进行灭火，将灭火废物收集放入危废桶内，收集至危废暂存间；疏散现场无关人员至安全区域，减少火灾事故有毒有害气体对人员的影响。</w:t>
            </w:r>
          </w:p>
        </w:tc>
        <w:tc>
          <w:tcPr>
            <w:tcW w:w="1623" w:type="dxa"/>
            <w:shd w:val="clear" w:color="auto" w:fill="auto"/>
            <w:vAlign w:val="center"/>
          </w:tcPr>
          <w:p w14:paraId="3809C6CD">
            <w:pPr>
              <w:spacing w:line="288" w:lineRule="auto"/>
              <w:jc w:val="center"/>
              <w:rPr>
                <w:rFonts w:hint="default" w:ascii="Times New Roman" w:hAnsi="Times New Roman" w:eastAsia="仿宋" w:cs="Times New Roman"/>
                <w:sz w:val="24"/>
                <w:szCs w:val="24"/>
                <w:highlight w:val="yellow"/>
              </w:rPr>
            </w:pPr>
            <w:r>
              <w:rPr>
                <w:rFonts w:hint="default" w:ascii="Times New Roman" w:hAnsi="Times New Roman" w:eastAsia="仿宋" w:cs="Times New Roman"/>
                <w:sz w:val="24"/>
                <w:szCs w:val="24"/>
              </w:rPr>
              <w:t>总指挥</w:t>
            </w:r>
          </w:p>
        </w:tc>
      </w:tr>
      <w:tr w14:paraId="357EF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3" w:type="dxa"/>
            <w:vMerge w:val="continue"/>
            <w:shd w:val="clear" w:color="auto" w:fill="auto"/>
            <w:vAlign w:val="center"/>
          </w:tcPr>
          <w:p w14:paraId="638FE1EE">
            <w:pPr>
              <w:spacing w:line="288" w:lineRule="auto"/>
              <w:jc w:val="center"/>
              <w:rPr>
                <w:rFonts w:hint="default" w:ascii="Times New Roman" w:hAnsi="Times New Roman" w:eastAsia="仿宋" w:cs="Times New Roman"/>
                <w:sz w:val="24"/>
                <w:szCs w:val="24"/>
                <w:highlight w:val="yellow"/>
              </w:rPr>
            </w:pPr>
          </w:p>
        </w:tc>
        <w:tc>
          <w:tcPr>
            <w:tcW w:w="3237" w:type="dxa"/>
            <w:shd w:val="clear" w:color="auto" w:fill="auto"/>
            <w:vAlign w:val="center"/>
          </w:tcPr>
          <w:p w14:paraId="21DB4EDD">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风险物质泄漏后，遇明火发生火灾事故，引发更多风险物质泄漏，火情扩大</w:t>
            </w:r>
          </w:p>
        </w:tc>
        <w:tc>
          <w:tcPr>
            <w:tcW w:w="800" w:type="dxa"/>
            <w:shd w:val="clear" w:color="auto" w:fill="auto"/>
            <w:vAlign w:val="center"/>
          </w:tcPr>
          <w:p w14:paraId="756D413C">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红色</w:t>
            </w:r>
          </w:p>
        </w:tc>
        <w:tc>
          <w:tcPr>
            <w:tcW w:w="1376" w:type="dxa"/>
            <w:shd w:val="clear" w:color="auto" w:fill="auto"/>
            <w:vAlign w:val="center"/>
          </w:tcPr>
          <w:p w14:paraId="7B6C898A">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社会级</w:t>
            </w:r>
          </w:p>
        </w:tc>
        <w:tc>
          <w:tcPr>
            <w:tcW w:w="5599" w:type="dxa"/>
            <w:shd w:val="clear" w:color="auto" w:fill="auto"/>
            <w:vAlign w:val="center"/>
          </w:tcPr>
          <w:p w14:paraId="0DE55EF5">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联系园区应急部门，收集现场未燃烧以及消防废物，并封堵各下水口；及时联络园区，做好事故废水控制，配合封堵园区各下水口；疏散现场无关人员至安全区域，减少火灾事故有毒有害气体对人员的影响。</w:t>
            </w:r>
          </w:p>
        </w:tc>
        <w:tc>
          <w:tcPr>
            <w:tcW w:w="1623" w:type="dxa"/>
            <w:shd w:val="clear" w:color="auto" w:fill="auto"/>
            <w:vAlign w:val="center"/>
          </w:tcPr>
          <w:p w14:paraId="33789F2B">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总指挥</w:t>
            </w:r>
          </w:p>
        </w:tc>
      </w:tr>
      <w:tr w14:paraId="4DAB3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3" w:type="dxa"/>
            <w:vMerge w:val="continue"/>
            <w:shd w:val="clear" w:color="auto" w:fill="auto"/>
            <w:vAlign w:val="center"/>
          </w:tcPr>
          <w:p w14:paraId="62D6DF04">
            <w:pPr>
              <w:spacing w:line="288" w:lineRule="auto"/>
              <w:jc w:val="center"/>
              <w:rPr>
                <w:rFonts w:hint="default" w:ascii="Times New Roman" w:hAnsi="Times New Roman" w:eastAsia="仿宋" w:cs="Times New Roman"/>
                <w:sz w:val="24"/>
                <w:szCs w:val="24"/>
                <w:highlight w:val="yellow"/>
              </w:rPr>
            </w:pPr>
          </w:p>
        </w:tc>
        <w:tc>
          <w:tcPr>
            <w:tcW w:w="3237" w:type="dxa"/>
            <w:shd w:val="clear" w:color="auto" w:fill="auto"/>
            <w:vAlign w:val="center"/>
          </w:tcPr>
          <w:p w14:paraId="68368DBE">
            <w:pPr>
              <w:spacing w:line="288" w:lineRule="auto"/>
              <w:jc w:val="center"/>
              <w:rPr>
                <w:rFonts w:hint="default" w:ascii="Times New Roman" w:hAnsi="Times New Roman" w:eastAsia="仿宋" w:cs="Times New Roman"/>
                <w:sz w:val="24"/>
                <w:szCs w:val="24"/>
                <w:highlight w:val="yellow"/>
              </w:rPr>
            </w:pPr>
            <w:r>
              <w:rPr>
                <w:rFonts w:hint="default" w:ascii="Times New Roman" w:hAnsi="Times New Roman" w:eastAsia="仿宋" w:cs="Times New Roman"/>
                <w:sz w:val="24"/>
                <w:szCs w:val="24"/>
              </w:rPr>
              <w:t>废气治理设施失效，废气未经处理直接排放</w:t>
            </w:r>
          </w:p>
        </w:tc>
        <w:tc>
          <w:tcPr>
            <w:tcW w:w="800" w:type="dxa"/>
            <w:shd w:val="clear" w:color="auto" w:fill="auto"/>
            <w:vAlign w:val="center"/>
          </w:tcPr>
          <w:p w14:paraId="0FE8A471">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黄色</w:t>
            </w:r>
          </w:p>
        </w:tc>
        <w:tc>
          <w:tcPr>
            <w:tcW w:w="1376" w:type="dxa"/>
            <w:shd w:val="clear" w:color="auto" w:fill="auto"/>
            <w:vAlign w:val="center"/>
          </w:tcPr>
          <w:p w14:paraId="6AF94489">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现场级</w:t>
            </w:r>
          </w:p>
        </w:tc>
        <w:tc>
          <w:tcPr>
            <w:tcW w:w="5599" w:type="dxa"/>
            <w:shd w:val="clear" w:color="auto" w:fill="auto"/>
            <w:vAlign w:val="center"/>
          </w:tcPr>
          <w:p w14:paraId="77C73287">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立即停止产生和排放废气，尽快对废气治理设施进行检查和修复，恢复正常运行，确保废气得到有效处理。</w:t>
            </w:r>
          </w:p>
        </w:tc>
        <w:tc>
          <w:tcPr>
            <w:tcW w:w="1623" w:type="dxa"/>
            <w:shd w:val="clear" w:color="auto" w:fill="auto"/>
            <w:vAlign w:val="center"/>
          </w:tcPr>
          <w:p w14:paraId="2FEA6180">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现场人员</w:t>
            </w:r>
          </w:p>
        </w:tc>
      </w:tr>
      <w:tr w14:paraId="53EF1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3" w:type="dxa"/>
            <w:vMerge w:val="continue"/>
            <w:shd w:val="clear" w:color="auto" w:fill="auto"/>
            <w:vAlign w:val="center"/>
          </w:tcPr>
          <w:p w14:paraId="08ED02DB">
            <w:pPr>
              <w:spacing w:line="288" w:lineRule="auto"/>
              <w:jc w:val="center"/>
              <w:rPr>
                <w:rFonts w:hint="default" w:ascii="Times New Roman" w:hAnsi="Times New Roman" w:eastAsia="仿宋" w:cs="Times New Roman"/>
                <w:sz w:val="24"/>
                <w:szCs w:val="24"/>
                <w:highlight w:val="yellow"/>
              </w:rPr>
            </w:pPr>
          </w:p>
        </w:tc>
        <w:tc>
          <w:tcPr>
            <w:tcW w:w="3237" w:type="dxa"/>
            <w:shd w:val="clear" w:color="auto" w:fill="auto"/>
            <w:vAlign w:val="center"/>
          </w:tcPr>
          <w:p w14:paraId="07935405">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天然气管道破损、阀门故障，天然气发生泄漏</w:t>
            </w:r>
          </w:p>
        </w:tc>
        <w:tc>
          <w:tcPr>
            <w:tcW w:w="800" w:type="dxa"/>
            <w:shd w:val="clear" w:color="auto" w:fill="auto"/>
            <w:vAlign w:val="center"/>
          </w:tcPr>
          <w:p w14:paraId="3A0AE9BB">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红色</w:t>
            </w:r>
          </w:p>
        </w:tc>
        <w:tc>
          <w:tcPr>
            <w:tcW w:w="1376" w:type="dxa"/>
            <w:shd w:val="clear" w:color="auto" w:fill="auto"/>
            <w:vAlign w:val="center"/>
          </w:tcPr>
          <w:p w14:paraId="4FB58153">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社会级</w:t>
            </w:r>
          </w:p>
        </w:tc>
        <w:tc>
          <w:tcPr>
            <w:tcW w:w="5599" w:type="dxa"/>
            <w:shd w:val="clear" w:color="auto" w:fill="auto"/>
            <w:vAlign w:val="center"/>
          </w:tcPr>
          <w:p w14:paraId="012F378E">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立即上报并停止生产，快速联系、求助燃气供应单位关闭上游阀门切断泄漏并进行抢修。</w:t>
            </w:r>
          </w:p>
        </w:tc>
        <w:tc>
          <w:tcPr>
            <w:tcW w:w="1623" w:type="dxa"/>
            <w:shd w:val="clear" w:color="auto" w:fill="auto"/>
            <w:vAlign w:val="center"/>
          </w:tcPr>
          <w:p w14:paraId="0B72F35E">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总指挥</w:t>
            </w:r>
          </w:p>
        </w:tc>
      </w:tr>
    </w:tbl>
    <w:p w14:paraId="1AC10C75">
      <w:pPr>
        <w:rPr>
          <w:rFonts w:hint="default" w:ascii="Times New Roman" w:hAnsi="Times New Roman" w:eastAsia="仿宋" w:cs="Times New Roman"/>
          <w:szCs w:val="28"/>
        </w:rPr>
        <w:sectPr>
          <w:pgSz w:w="16838" w:h="11905" w:orient="landscape"/>
          <w:pgMar w:top="1083" w:right="1440" w:bottom="1083" w:left="1440" w:header="737" w:footer="567" w:gutter="0"/>
          <w:cols w:space="0" w:num="1"/>
          <w:rtlGutter w:val="0"/>
          <w:docGrid w:linePitch="0" w:charSpace="0"/>
        </w:sectPr>
      </w:pPr>
    </w:p>
    <w:p w14:paraId="15262D96">
      <w:pPr>
        <w:outlineLvl w:val="1"/>
        <w:rPr>
          <w:rFonts w:hint="default" w:ascii="Times New Roman" w:hAnsi="Times New Roman" w:eastAsia="仿宋" w:cs="Times New Roman"/>
          <w:szCs w:val="28"/>
        </w:rPr>
      </w:pPr>
      <w:bookmarkStart w:id="64" w:name="_Toc21523"/>
      <w:r>
        <w:rPr>
          <w:rFonts w:hint="default" w:ascii="Times New Roman" w:hAnsi="Times New Roman" w:eastAsia="仿宋" w:cs="Times New Roman"/>
          <w:b/>
          <w:bCs/>
          <w:szCs w:val="28"/>
        </w:rPr>
        <w:t>4.4应急响应流程</w:t>
      </w:r>
      <w:bookmarkEnd w:id="64"/>
    </w:p>
    <w:p w14:paraId="737FEDE1">
      <w:pPr>
        <w:pStyle w:val="223"/>
        <w:ind w:firstLine="560" w:firstLineChars="200"/>
        <w:rPr>
          <w:rFonts w:hint="default" w:ascii="Times New Roman" w:hAnsi="Times New Roman" w:eastAsia="仿宋" w:cs="Times New Roman"/>
        </w:rPr>
      </w:pPr>
      <w:r>
        <w:rPr>
          <w:rFonts w:hint="default" w:ascii="Times New Roman" w:hAnsi="Times New Roman" w:eastAsia="仿宋" w:cs="Times New Roman"/>
        </w:rPr>
        <w:t>当现场人员发现事故险情，应立即向</w:t>
      </w:r>
      <w:r>
        <w:rPr>
          <w:rFonts w:hint="default" w:ascii="Times New Roman" w:hAnsi="Times New Roman" w:eastAsia="仿宋" w:cs="Times New Roman"/>
          <w:lang w:val="en-US" w:eastAsia="zh-CN"/>
        </w:rPr>
        <w:t>生产负责人</w:t>
      </w:r>
      <w:r>
        <w:rPr>
          <w:rFonts w:hint="default" w:ascii="Times New Roman" w:hAnsi="Times New Roman" w:eastAsia="仿宋" w:cs="Times New Roman"/>
        </w:rPr>
        <w:t>报告。</w:t>
      </w:r>
      <w:r>
        <w:rPr>
          <w:rFonts w:hint="default" w:ascii="Times New Roman" w:hAnsi="Times New Roman" w:eastAsia="仿宋" w:cs="Times New Roman"/>
          <w:lang w:val="en-US" w:eastAsia="zh-CN"/>
        </w:rPr>
        <w:t>生产负责人</w:t>
      </w:r>
      <w:r>
        <w:rPr>
          <w:rFonts w:hint="default" w:ascii="Times New Roman" w:hAnsi="Times New Roman" w:eastAsia="仿宋" w:cs="Times New Roman"/>
        </w:rPr>
        <w:t>核实事故情况，若可以简单解决，则就地</w:t>
      </w:r>
      <w:bookmarkStart w:id="184" w:name="_GoBack"/>
      <w:bookmarkEnd w:id="184"/>
      <w:r>
        <w:rPr>
          <w:rFonts w:hint="default" w:ascii="Times New Roman" w:hAnsi="Times New Roman" w:eastAsia="仿宋" w:cs="Times New Roman"/>
        </w:rPr>
        <w:t>处置完毕；否则及时向应急指挥部办公室报告。应急指挥部办公室对接到的信息报告或者预警信息进行分析，若研判可能发生现场级突发环境事件，则启动现场级应急响应，组织开展现场级应急处置工作，同时向应急指挥部报告；若研判可能发生公司级或以上级别突发环境事件，则立即向应急指挥部报告，由应急指挥部研判是否启动公司级或以上级别应急响应，启动响应后，按预案开展响应行动。应急处置结束后，由应急指挥部或政府部门根据事故态势研判是否终止响应。</w:t>
      </w:r>
    </w:p>
    <w:p w14:paraId="34E82F91">
      <w:pPr>
        <w:pStyle w:val="223"/>
        <w:ind w:firstLine="560" w:firstLineChars="200"/>
        <w:rPr>
          <w:rFonts w:hint="default" w:ascii="Times New Roman" w:hAnsi="Times New Roman" w:eastAsia="仿宋" w:cs="Times New Roman"/>
          <w:szCs w:val="28"/>
        </w:rPr>
      </w:pPr>
      <w:r>
        <w:rPr>
          <w:rFonts w:hint="default" w:ascii="Times New Roman" w:hAnsi="Times New Roman" w:eastAsia="仿宋" w:cs="Times New Roman"/>
        </w:rPr>
        <w:t>应急响应的工作流程概括为：接到异常警报→事件预警→确认事件发生→判定响应级别→启动分级响应→现场应急处置→应急恢复→应急终止。</w:t>
      </w:r>
    </w:p>
    <w:p w14:paraId="0E2FBA61">
      <w:pPr>
        <w:jc w:val="center"/>
        <w:rPr>
          <w:rFonts w:hint="default" w:ascii="Times New Roman" w:hAnsi="Times New Roman" w:eastAsia="仿宋" w:cs="Times New Roman"/>
          <w:szCs w:val="28"/>
        </w:rPr>
      </w:pPr>
      <w:r>
        <w:rPr>
          <w:rFonts w:hint="default" w:ascii="Times New Roman" w:hAnsi="Times New Roman" w:eastAsia="仿宋" w:cs="Times New Roman"/>
        </w:rPr>
        <mc:AlternateContent>
          <mc:Choice Requires="wps">
            <w:drawing>
              <wp:anchor distT="0" distB="0" distL="114300" distR="114300" simplePos="0" relativeHeight="251660288" behindDoc="0" locked="0" layoutInCell="1" allowOverlap="1">
                <wp:simplePos x="0" y="0"/>
                <wp:positionH relativeFrom="column">
                  <wp:posOffset>3900805</wp:posOffset>
                </wp:positionH>
                <wp:positionV relativeFrom="paragraph">
                  <wp:posOffset>2305050</wp:posOffset>
                </wp:positionV>
                <wp:extent cx="209550" cy="1181100"/>
                <wp:effectExtent l="12700" t="12700" r="25400" b="6350"/>
                <wp:wrapNone/>
                <wp:docPr id="10" name="右弧形箭头 10"/>
                <wp:cNvGraphicFramePr/>
                <a:graphic xmlns:a="http://schemas.openxmlformats.org/drawingml/2006/main">
                  <a:graphicData uri="http://schemas.microsoft.com/office/word/2010/wordprocessingShape">
                    <wps:wsp>
                      <wps:cNvSpPr/>
                      <wps:spPr>
                        <a:xfrm>
                          <a:off x="4605655" y="4257040"/>
                          <a:ext cx="209550" cy="1181100"/>
                        </a:xfrm>
                        <a:prstGeom prst="curvedLef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3" type="#_x0000_t103" style="position:absolute;left:0pt;margin-left:307.15pt;margin-top:181.5pt;height:93pt;width:16.5pt;z-index:251660288;v-text-anchor:middle;mso-width-relative:page;mso-height-relative:page;" fillcolor="#4F81BD [3204]" filled="t" stroked="t" coordsize="21600,21600" o:gfxdata="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D4DIrzZAAAACwEA&#10;AA8AAAAAAAAAAQAgAAAAIgAAAGRycy9kb3ducmV2LnhtbFBLAQIUABQAAAAIAIdO4kDCeP8liwIA&#10;AP8EAAAOAAAAAAAAAAEAIAAAACgBAABkcnMvZTJvRG9jLnhtbFBLBQYAAAAABgAGAFkBAAAlBgAA&#10;AAA=&#10;" adj="19684,21121,5400">
                <v:fill on="t" focussize="0,0"/>
                <v:stroke weight="2pt" color="#000000 [3213]" joinstyle="round"/>
                <v:imagedata o:title=""/>
                <o:lock v:ext="edit" aspectratio="f"/>
              </v:shape>
            </w:pict>
          </mc:Fallback>
        </mc:AlternateContent>
      </w:r>
      <w:r>
        <w:rPr>
          <w:rFonts w:hint="default" w:ascii="Times New Roman" w:hAnsi="Times New Roman" w:eastAsia="仿宋" w:cs="Times New Roman"/>
        </w:rPr>
        <mc:AlternateContent>
          <mc:Choice Requires="wpg">
            <w:drawing>
              <wp:anchor distT="0" distB="0" distL="114300" distR="114300" simplePos="0" relativeHeight="251659264" behindDoc="0" locked="0" layoutInCell="1" allowOverlap="1">
                <wp:simplePos x="0" y="0"/>
                <wp:positionH relativeFrom="column">
                  <wp:posOffset>4062730</wp:posOffset>
                </wp:positionH>
                <wp:positionV relativeFrom="paragraph">
                  <wp:posOffset>3686810</wp:posOffset>
                </wp:positionV>
                <wp:extent cx="1371600" cy="704215"/>
                <wp:effectExtent l="0" t="6350" r="0" b="13335"/>
                <wp:wrapNone/>
                <wp:docPr id="4" name="组合 4"/>
                <wp:cNvGraphicFramePr/>
                <a:graphic xmlns:a="http://schemas.openxmlformats.org/drawingml/2006/main">
                  <a:graphicData uri="http://schemas.microsoft.com/office/word/2010/wordprocessingGroup">
                    <wpg:wgp>
                      <wpg:cNvGrpSpPr/>
                      <wpg:grpSpPr>
                        <a:xfrm>
                          <a:off x="0" y="0"/>
                          <a:ext cx="1371600" cy="704215"/>
                          <a:chOff x="12735" y="360269"/>
                          <a:chExt cx="2160" cy="1109"/>
                        </a:xfrm>
                      </wpg:grpSpPr>
                      <wps:wsp>
                        <wps:cNvPr id="1" name="文本框 1"/>
                        <wps:cNvSpPr txBox="1"/>
                        <wps:spPr>
                          <a:xfrm>
                            <a:off x="12735" y="360524"/>
                            <a:ext cx="2160" cy="8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A248967"/>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 name="直接连接符 2"/>
                        <wps:cNvCnPr/>
                        <wps:spPr>
                          <a:xfrm>
                            <a:off x="12960" y="360269"/>
                            <a:ext cx="4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 name="文本框 3"/>
                        <wps:cNvSpPr txBox="1"/>
                        <wps:spPr>
                          <a:xfrm>
                            <a:off x="12870" y="360299"/>
                            <a:ext cx="330" cy="3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AF14F36"/>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19.9pt;margin-top:290.3pt;height:55.45pt;width:108pt;z-index:251659264;mso-width-relative:page;mso-height-relative:page;" coordorigin="12735,360269" coordsize="2160,1109" o:gfxdata="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">
                <o:lock v:ext="edit" aspectratio="f"/>
                <v:shape id="_x0000_s1026" o:spid="_x0000_s1026" o:spt="202" type="#_x0000_t202" style="position:absolute;left:12735;top:360524;height:855;width:2160;" fillcolor="#FFFFFF [3201]" filled="t" stroked="f" coordsize="21600,21600" o:gfxdata="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Gk08f+zAAAA2gAAAA8AAAAA&#10;AAAAAQAgAAAAIgAAAGRycy9kb3ducmV2LnhtbFBLAQIUABQAAAAIAIdO4kAzLwWeOwAAADkAAAAQ&#10;AAAAAAAAAAEAIAAAAAIBAABkcnMvc2hhcGV4bWwueG1sUEsFBgAAAAAGAAYAWwEAAKwDAAAAAA==&#10;">
                  <v:fill on="t" focussize="0,0"/>
                  <v:stroke on="f" weight="0.5pt"/>
                  <v:imagedata o:title=""/>
                  <o:lock v:ext="edit" aspectratio="f"/>
                  <v:textbox>
                    <w:txbxContent>
                      <w:p w14:paraId="1A248967"/>
                    </w:txbxContent>
                  </v:textbox>
                </v:shape>
                <v:line id="_x0000_s1026" o:spid="_x0000_s1026" o:spt="20" style="position:absolute;left:12960;top:360269;height:0;width:480;" filled="f" stroked="t" coordsize="21600,21600" o:gfxdata="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qXNi8AAAA&#10;2gAAAA8AAAAAAAAAAQAgAAAAIgAAAGRycy9kb3ducmV2LnhtbFBLAQIUABQAAAAIAIdO4kAzLwWe&#10;OwAAADkAAAAQAAAAAAAAAAEAIAAAAAsBAABkcnMvc2hhcGV4bWwueG1sUEsFBgAAAAAGAAYAWwEA&#10;ALUDAAAAAA==&#10;">
                  <v:fill on="f" focussize="0,0"/>
                  <v:stroke weight="1pt" color="#000000 [3213]" joinstyle="round"/>
                  <v:imagedata o:title=""/>
                  <o:lock v:ext="edit" aspectratio="f"/>
                </v:line>
                <v:shape id="_x0000_s1026" o:spid="_x0000_s1026" o:spt="202" type="#_x0000_t202" style="position:absolute;left:12870;top:360299;height:330;width:330;" fillcolor="#FFFFFF [3201]" filled="t" stroked="f" coordsize="21600,21600" o:gfxdata="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2qsoTtwAAANoAAAAP&#10;AAAAAAAAAAEAIAAAACIAAABkcnMvZG93bnJldi54bWxQSwECFAAUAAAACACHTuJAMy8FnjsAAAA5&#10;AAAAEAAAAAAAAAABACAAAAAGAQAAZHJzL3NoYXBleG1sLnhtbFBLBQYAAAAABgAGAFsBAACwAwAA&#10;AAA=&#10;">
                  <v:fill on="t" focussize="0,0"/>
                  <v:stroke on="f" weight="0.5pt"/>
                  <v:imagedata o:title=""/>
                  <o:lock v:ext="edit" aspectratio="f"/>
                  <v:textbox>
                    <w:txbxContent>
                      <w:p w14:paraId="5AF14F36"/>
                    </w:txbxContent>
                  </v:textbox>
                </v:shape>
              </v:group>
            </w:pict>
          </mc:Fallback>
        </mc:AlternateContent>
      </w:r>
      <w:r>
        <w:rPr>
          <w:rFonts w:hint="default" w:ascii="Times New Roman" w:hAnsi="Times New Roman" w:eastAsia="仿宋" w:cs="Times New Roman"/>
        </w:rPr>
        <w:drawing>
          <wp:inline distT="0" distB="0" distL="114300" distR="114300">
            <wp:extent cx="5514975" cy="6115050"/>
            <wp:effectExtent l="0" t="0" r="9525" b="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1"/>
                    <a:stretch>
                      <a:fillRect/>
                    </a:stretch>
                  </pic:blipFill>
                  <pic:spPr>
                    <a:xfrm>
                      <a:off x="0" y="0"/>
                      <a:ext cx="5514975" cy="6115050"/>
                    </a:xfrm>
                    <a:prstGeom prst="rect">
                      <a:avLst/>
                    </a:prstGeom>
                    <a:noFill/>
                    <a:ln>
                      <a:noFill/>
                    </a:ln>
                  </pic:spPr>
                </pic:pic>
              </a:graphicData>
            </a:graphic>
          </wp:inline>
        </w:drawing>
      </w:r>
    </w:p>
    <w:p w14:paraId="32B4E862">
      <w:pPr>
        <w:jc w:val="center"/>
        <w:rPr>
          <w:rFonts w:hint="default" w:ascii="Times New Roman" w:hAnsi="Times New Roman" w:eastAsia="仿宋" w:cs="Times New Roman"/>
          <w:szCs w:val="24"/>
        </w:rPr>
        <w:sectPr>
          <w:pgSz w:w="11905" w:h="16838"/>
          <w:pgMar w:top="1440" w:right="1083" w:bottom="1440" w:left="1083" w:header="737" w:footer="567" w:gutter="0"/>
          <w:cols w:space="0" w:num="1"/>
          <w:rtlGutter w:val="0"/>
          <w:docGrid w:linePitch="0" w:charSpace="0"/>
        </w:sectPr>
      </w:pPr>
      <w:r>
        <w:rPr>
          <w:rFonts w:hint="default" w:ascii="Times New Roman" w:hAnsi="Times New Roman" w:eastAsia="仿宋" w:cs="Times New Roman"/>
          <w:szCs w:val="24"/>
        </w:rPr>
        <w:t>图4.2  应急响应流程图</w:t>
      </w:r>
    </w:p>
    <w:p w14:paraId="25F0C672">
      <w:pPr>
        <w:outlineLvl w:val="0"/>
        <w:rPr>
          <w:rFonts w:hint="default" w:ascii="Times New Roman" w:hAnsi="Times New Roman" w:eastAsia="仿宋" w:cs="Times New Roman"/>
          <w:b/>
          <w:bCs/>
          <w:szCs w:val="28"/>
        </w:rPr>
      </w:pPr>
      <w:bookmarkStart w:id="65" w:name="_Toc13237"/>
      <w:r>
        <w:rPr>
          <w:rFonts w:hint="default" w:ascii="Times New Roman" w:hAnsi="Times New Roman" w:eastAsia="仿宋" w:cs="Times New Roman"/>
          <w:b/>
          <w:bCs/>
          <w:szCs w:val="28"/>
        </w:rPr>
        <w:t>5.监测预警</w:t>
      </w:r>
      <w:bookmarkEnd w:id="62"/>
      <w:bookmarkEnd w:id="63"/>
      <w:bookmarkEnd w:id="65"/>
    </w:p>
    <w:p w14:paraId="20F9CDF8">
      <w:pPr>
        <w:outlineLvl w:val="1"/>
        <w:rPr>
          <w:rFonts w:hint="default" w:ascii="Times New Roman" w:hAnsi="Times New Roman" w:eastAsia="仿宋" w:cs="Times New Roman"/>
          <w:b/>
          <w:bCs/>
          <w:szCs w:val="28"/>
        </w:rPr>
      </w:pPr>
      <w:bookmarkStart w:id="66" w:name="_Toc21874"/>
      <w:r>
        <w:rPr>
          <w:rFonts w:hint="default" w:ascii="Times New Roman" w:hAnsi="Times New Roman" w:eastAsia="仿宋" w:cs="Times New Roman"/>
          <w:b/>
          <w:bCs/>
          <w:szCs w:val="28"/>
        </w:rPr>
        <w:t>5.1预警条件</w:t>
      </w:r>
      <w:bookmarkEnd w:id="66"/>
    </w:p>
    <w:p w14:paraId="2A5F72AB">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根据实际情况，突发环境事件预警条件为：突发安全事件，如泄漏、火灾/爆炸、废气治理设施失效，可能导致事故直接产生或次生污染物扩散至外环境；或周围其他公司突发安全事件，可能导致本公司次生环境事件或导致本公司员工受到危害。</w:t>
      </w:r>
    </w:p>
    <w:p w14:paraId="2ABEE037">
      <w:pPr>
        <w:outlineLvl w:val="1"/>
        <w:rPr>
          <w:rFonts w:hint="default" w:ascii="Times New Roman" w:hAnsi="Times New Roman" w:eastAsia="仿宋" w:cs="Times New Roman"/>
          <w:b/>
          <w:bCs/>
          <w:szCs w:val="28"/>
        </w:rPr>
      </w:pPr>
      <w:bookmarkStart w:id="67" w:name="_Toc21310"/>
      <w:r>
        <w:rPr>
          <w:rFonts w:hint="default" w:ascii="Times New Roman" w:hAnsi="Times New Roman" w:eastAsia="仿宋" w:cs="Times New Roman"/>
          <w:b/>
          <w:bCs/>
          <w:szCs w:val="28"/>
        </w:rPr>
        <w:t>5.2预警流程</w:t>
      </w:r>
      <w:bookmarkEnd w:id="67"/>
    </w:p>
    <w:p w14:paraId="77AC6C81">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（1）分析研判</w:t>
      </w:r>
    </w:p>
    <w:p w14:paraId="2CCB787E">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当应急指挥部获取事故报告时，首先由应急救援办公室对获取的信息进行分析研判，若判定不会发生突发环境事件，则无需预警；若判定可能发生公司级或社会级事件，则立即上报总指挥，由总指挥根据预警信息所涉及的潜在危害以及公司现有的应急能力判断相应的预警级别，确需预警的及时发布预警信息。</w:t>
      </w:r>
    </w:p>
    <w:p w14:paraId="14DA3558">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（2）预警发布</w:t>
      </w:r>
    </w:p>
    <w:p w14:paraId="123D33F5">
      <w:pPr>
        <w:ind w:firstLine="560"/>
        <w:rPr>
          <w:rFonts w:hint="default" w:ascii="Times New Roman" w:hAnsi="Times New Roman" w:eastAsia="仿宋" w:cs="Times New Roman"/>
          <w:szCs w:val="28"/>
        </w:rPr>
      </w:pPr>
      <w:r>
        <w:rPr>
          <w:rFonts w:hint="default" w:ascii="Times New Roman" w:hAnsi="Times New Roman" w:eastAsia="仿宋" w:cs="Times New Roman"/>
          <w:szCs w:val="28"/>
        </w:rPr>
        <w:t>应急指挥部总指挥判断应启动的预警级别后，及时通过应急救援办公室发布预警信息。</w:t>
      </w:r>
    </w:p>
    <w:p w14:paraId="50FF0051">
      <w:pPr>
        <w:ind w:firstLine="560"/>
        <w:rPr>
          <w:rFonts w:hint="default" w:ascii="Times New Roman" w:hAnsi="Times New Roman" w:eastAsia="仿宋" w:cs="Times New Roman"/>
          <w:szCs w:val="28"/>
        </w:rPr>
      </w:pPr>
      <w:r>
        <w:rPr>
          <w:rFonts w:hint="default" w:ascii="Times New Roman" w:hAnsi="Times New Roman" w:eastAsia="仿宋" w:cs="Times New Roman"/>
          <w:szCs w:val="28"/>
        </w:rPr>
        <w:t>应急救援办公室向各职能部门和应急处置小组电话通报，通过对讲机向现场人员通报。应急指挥组织成员必须24小时保持手机畅通，若遇特殊情况需要变更号码，需自变更之日起48小时内向应急救援办公室登记。</w:t>
      </w:r>
    </w:p>
    <w:p w14:paraId="61BBF3BF">
      <w:pPr>
        <w:ind w:firstLine="560"/>
        <w:rPr>
          <w:rFonts w:hint="default" w:ascii="Times New Roman" w:hAnsi="Times New Roman" w:eastAsia="仿宋" w:cs="Times New Roman"/>
          <w:szCs w:val="28"/>
        </w:rPr>
      </w:pPr>
      <w:r>
        <w:rPr>
          <w:rFonts w:hint="default" w:ascii="Times New Roman" w:hAnsi="Times New Roman" w:eastAsia="仿宋" w:cs="Times New Roman"/>
          <w:szCs w:val="28"/>
        </w:rPr>
        <w:t>（3）预警行动</w:t>
      </w:r>
    </w:p>
    <w:p w14:paraId="0282DBCE">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1）应急救援部总指挥根据预警级别指定事故监控负责人。事故监控负责人应密切关注事件的控制状况，并及时向总指挥报告事件状态。</w:t>
      </w:r>
    </w:p>
    <w:p w14:paraId="71371326">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2）各应急处置小组迅速到位，根据本预案要求并结合事件发展趋势做好应急准备。</w:t>
      </w:r>
    </w:p>
    <w:p w14:paraId="68E6842D">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3）已经进入预警状态的各应急小组及部门人员，在未接到应急指挥部下达的解除预警状态的指令时，不得离开工作岗位或指定位置。</w:t>
      </w:r>
    </w:p>
    <w:p w14:paraId="6E69AE5A">
      <w:pPr>
        <w:ind w:firstLine="560"/>
        <w:rPr>
          <w:rFonts w:hint="default" w:ascii="Times New Roman" w:hAnsi="Times New Roman" w:eastAsia="仿宋" w:cs="Times New Roman"/>
          <w:szCs w:val="28"/>
        </w:rPr>
      </w:pPr>
      <w:r>
        <w:rPr>
          <w:rFonts w:hint="default" w:ascii="Times New Roman" w:hAnsi="Times New Roman" w:eastAsia="仿宋" w:cs="Times New Roman"/>
          <w:szCs w:val="28"/>
        </w:rPr>
        <w:t>4）如果事件发生，立即启动本预案。</w:t>
      </w:r>
    </w:p>
    <w:p w14:paraId="6752A422">
      <w:pPr>
        <w:ind w:firstLine="560"/>
        <w:rPr>
          <w:rFonts w:hint="default" w:ascii="Times New Roman" w:hAnsi="Times New Roman" w:eastAsia="仿宋" w:cs="Times New Roman"/>
          <w:szCs w:val="28"/>
        </w:rPr>
      </w:pPr>
      <w:r>
        <w:rPr>
          <w:rFonts w:hint="default" w:ascii="Times New Roman" w:hAnsi="Times New Roman" w:eastAsia="仿宋" w:cs="Times New Roman"/>
          <w:szCs w:val="28"/>
        </w:rPr>
        <w:t>（4）预警调整、解除</w:t>
      </w:r>
    </w:p>
    <w:p w14:paraId="686FACDA">
      <w:pPr>
        <w:ind w:firstLine="560"/>
        <w:rPr>
          <w:rFonts w:hint="default" w:ascii="Times New Roman" w:hAnsi="Times New Roman" w:eastAsia="仿宋" w:cs="Times New Roman"/>
          <w:szCs w:val="28"/>
        </w:rPr>
      </w:pPr>
      <w:r>
        <w:rPr>
          <w:rFonts w:hint="default" w:ascii="Times New Roman" w:hAnsi="Times New Roman" w:eastAsia="仿宋" w:cs="Times New Roman"/>
          <w:szCs w:val="28"/>
        </w:rPr>
        <w:t>应急指挥部总指挥应随时跟踪事态的变化、发展：事件得到控制或危险状态得到消除，应急指挥部总指挥下达解除预警状态的指令；事件无法控制，即将引起事故时，应急指挥部总指挥下达启动本预案指令，并根据事故发展情况决定是否调整预警级别。</w:t>
      </w:r>
    </w:p>
    <w:p w14:paraId="1F4714BE">
      <w:pPr>
        <w:outlineLvl w:val="1"/>
        <w:rPr>
          <w:rFonts w:hint="default" w:ascii="Times New Roman" w:hAnsi="Times New Roman" w:eastAsia="仿宋" w:cs="Times New Roman"/>
          <w:b/>
          <w:bCs/>
          <w:szCs w:val="28"/>
        </w:rPr>
      </w:pPr>
      <w:bookmarkStart w:id="68" w:name="_Toc515"/>
      <w:r>
        <w:rPr>
          <w:rFonts w:hint="default" w:ascii="Times New Roman" w:hAnsi="Times New Roman" w:eastAsia="仿宋" w:cs="Times New Roman"/>
          <w:b/>
          <w:bCs/>
          <w:szCs w:val="28"/>
        </w:rPr>
        <w:t>5.3预警方案</w:t>
      </w:r>
      <w:bookmarkEnd w:id="68"/>
    </w:p>
    <w:p w14:paraId="04F385EF">
      <w:pPr>
        <w:jc w:val="center"/>
        <w:rPr>
          <w:rFonts w:hint="default" w:ascii="Times New Roman" w:hAnsi="Times New Roman" w:eastAsia="仿宋" w:cs="Times New Roman"/>
          <w:szCs w:val="24"/>
          <w:highlight w:val="none"/>
        </w:rPr>
      </w:pPr>
      <w:r>
        <w:rPr>
          <w:rFonts w:hint="default" w:ascii="Times New Roman" w:hAnsi="Times New Roman" w:eastAsia="仿宋" w:cs="Times New Roman"/>
          <w:szCs w:val="24"/>
          <w:highlight w:val="none"/>
        </w:rPr>
        <w:t>表5.1  预警方案一览表</w:t>
      </w:r>
    </w:p>
    <w:tbl>
      <w:tblPr>
        <w:tblStyle w:val="43"/>
        <w:tblW w:w="102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2476"/>
        <w:gridCol w:w="1780"/>
        <w:gridCol w:w="2878"/>
        <w:gridCol w:w="1949"/>
      </w:tblGrid>
      <w:tr w14:paraId="66AFB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07" w:type="dxa"/>
            <w:shd w:val="clear" w:color="auto" w:fill="D7D7D7"/>
            <w:vAlign w:val="center"/>
          </w:tcPr>
          <w:p w14:paraId="0D65CB30">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预警分级</w:t>
            </w:r>
          </w:p>
        </w:tc>
        <w:tc>
          <w:tcPr>
            <w:tcW w:w="2476" w:type="dxa"/>
            <w:shd w:val="clear" w:color="auto" w:fill="D7D7D7"/>
            <w:vAlign w:val="center"/>
          </w:tcPr>
          <w:p w14:paraId="1530AE1B">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预警条件</w:t>
            </w:r>
          </w:p>
        </w:tc>
        <w:tc>
          <w:tcPr>
            <w:tcW w:w="1780" w:type="dxa"/>
            <w:shd w:val="clear" w:color="auto" w:fill="D7D7D7"/>
            <w:vAlign w:val="center"/>
          </w:tcPr>
          <w:p w14:paraId="07940818">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应急响应级别</w:t>
            </w:r>
          </w:p>
        </w:tc>
        <w:tc>
          <w:tcPr>
            <w:tcW w:w="2878" w:type="dxa"/>
            <w:shd w:val="clear" w:color="auto" w:fill="D7D7D7"/>
            <w:vAlign w:val="center"/>
          </w:tcPr>
          <w:p w14:paraId="550742BB">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预警措施</w:t>
            </w:r>
          </w:p>
        </w:tc>
        <w:tc>
          <w:tcPr>
            <w:tcW w:w="1949" w:type="dxa"/>
            <w:shd w:val="clear" w:color="auto" w:fill="D7D7D7"/>
            <w:vAlign w:val="center"/>
          </w:tcPr>
          <w:p w14:paraId="1297DAC0">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预警解除条件</w:t>
            </w:r>
          </w:p>
        </w:tc>
      </w:tr>
      <w:tr w14:paraId="28B13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07" w:type="dxa"/>
            <w:vAlign w:val="center"/>
          </w:tcPr>
          <w:p w14:paraId="7D2317E9">
            <w:pPr>
              <w:adjustRightInd w:val="0"/>
              <w:spacing w:line="288" w:lineRule="auto"/>
              <w:jc w:val="center"/>
              <w:textAlignment w:val="baseline"/>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红色</w:t>
            </w:r>
          </w:p>
        </w:tc>
        <w:tc>
          <w:tcPr>
            <w:tcW w:w="2476" w:type="dxa"/>
            <w:vAlign w:val="center"/>
          </w:tcPr>
          <w:p w14:paraId="46593F1A">
            <w:pPr>
              <w:adjustRightInd w:val="0"/>
              <w:spacing w:line="288" w:lineRule="auto"/>
              <w:jc w:val="center"/>
              <w:textAlignment w:val="baseline"/>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风险物质引发火灾后，火情扩大</w:t>
            </w:r>
          </w:p>
        </w:tc>
        <w:tc>
          <w:tcPr>
            <w:tcW w:w="1780" w:type="dxa"/>
            <w:vAlign w:val="center"/>
          </w:tcPr>
          <w:p w14:paraId="68D6B337">
            <w:pPr>
              <w:adjustRightInd w:val="0"/>
              <w:spacing w:line="288" w:lineRule="auto"/>
              <w:jc w:val="center"/>
              <w:textAlignment w:val="baseline"/>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社会级</w:t>
            </w:r>
          </w:p>
        </w:tc>
        <w:tc>
          <w:tcPr>
            <w:tcW w:w="2878" w:type="dxa"/>
            <w:vAlign w:val="center"/>
          </w:tcPr>
          <w:p w14:paraId="0FA63EF8">
            <w:pPr>
              <w:adjustRightInd w:val="0"/>
              <w:spacing w:line="288" w:lineRule="auto"/>
              <w:jc w:val="center"/>
              <w:textAlignment w:val="baseline"/>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联系园区相关部门人员，做好联动</w:t>
            </w:r>
          </w:p>
        </w:tc>
        <w:tc>
          <w:tcPr>
            <w:tcW w:w="1949" w:type="dxa"/>
            <w:vAlign w:val="center"/>
          </w:tcPr>
          <w:p w14:paraId="77CA587A">
            <w:pPr>
              <w:adjustRightInd w:val="0"/>
              <w:spacing w:line="288" w:lineRule="auto"/>
              <w:jc w:val="center"/>
              <w:textAlignment w:val="baseline"/>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火灾被扑灭，且无再发生的可能</w:t>
            </w:r>
          </w:p>
        </w:tc>
      </w:tr>
      <w:tr w14:paraId="7900F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07" w:type="dxa"/>
            <w:vAlign w:val="center"/>
          </w:tcPr>
          <w:p w14:paraId="32784CD7">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橙色</w:t>
            </w:r>
          </w:p>
        </w:tc>
        <w:tc>
          <w:tcPr>
            <w:tcW w:w="2476" w:type="dxa"/>
            <w:vAlign w:val="center"/>
          </w:tcPr>
          <w:p w14:paraId="4C289F2F">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风险物质泄漏，可能燃烧发生火灾事故</w:t>
            </w:r>
          </w:p>
        </w:tc>
        <w:tc>
          <w:tcPr>
            <w:tcW w:w="1780" w:type="dxa"/>
            <w:vAlign w:val="center"/>
          </w:tcPr>
          <w:p w14:paraId="4D6FA810">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公司级</w:t>
            </w:r>
          </w:p>
        </w:tc>
        <w:tc>
          <w:tcPr>
            <w:tcW w:w="2878" w:type="dxa"/>
            <w:vAlign w:val="center"/>
          </w:tcPr>
          <w:p w14:paraId="4F8F4D6C">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准备危废收容桶及吸附材料；做好人员疏散，确保救援通道畅通</w:t>
            </w:r>
          </w:p>
        </w:tc>
        <w:tc>
          <w:tcPr>
            <w:tcW w:w="1949" w:type="dxa"/>
            <w:vAlign w:val="center"/>
          </w:tcPr>
          <w:p w14:paraId="4799F962">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没有发生火灾事故的可能</w:t>
            </w:r>
          </w:p>
        </w:tc>
      </w:tr>
      <w:tr w14:paraId="583CB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07" w:type="dxa"/>
            <w:vAlign w:val="center"/>
          </w:tcPr>
          <w:p w14:paraId="348D397A">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黄色</w:t>
            </w:r>
          </w:p>
        </w:tc>
        <w:tc>
          <w:tcPr>
            <w:tcW w:w="2476" w:type="dxa"/>
            <w:vAlign w:val="center"/>
          </w:tcPr>
          <w:p w14:paraId="28E2C687">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包装桶可能倾倒或摔碎</w:t>
            </w:r>
          </w:p>
        </w:tc>
        <w:tc>
          <w:tcPr>
            <w:tcW w:w="1780" w:type="dxa"/>
            <w:vAlign w:val="center"/>
          </w:tcPr>
          <w:p w14:paraId="1EE6EE47">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现场级</w:t>
            </w:r>
          </w:p>
        </w:tc>
        <w:tc>
          <w:tcPr>
            <w:tcW w:w="2878" w:type="dxa"/>
            <w:vAlign w:val="center"/>
          </w:tcPr>
          <w:p w14:paraId="1C4FED57">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加强重视，尽量保证不会倾倒或摔碎；准备危废收容桶及吸附材料</w:t>
            </w:r>
          </w:p>
        </w:tc>
        <w:tc>
          <w:tcPr>
            <w:tcW w:w="1949" w:type="dxa"/>
            <w:vAlign w:val="center"/>
          </w:tcPr>
          <w:p w14:paraId="4150EA63">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没有可能再倾倒或摔碎</w:t>
            </w:r>
          </w:p>
        </w:tc>
      </w:tr>
    </w:tbl>
    <w:p w14:paraId="2B8F3CBC">
      <w:pPr>
        <w:rPr>
          <w:rFonts w:hint="default" w:ascii="Times New Roman" w:hAnsi="Times New Roman" w:eastAsia="仿宋" w:cs="Times New Roman"/>
          <w:szCs w:val="28"/>
        </w:rPr>
      </w:pPr>
    </w:p>
    <w:p w14:paraId="3119B8F6">
      <w:pPr>
        <w:rPr>
          <w:rFonts w:hint="default" w:ascii="Times New Roman" w:hAnsi="Times New Roman" w:eastAsia="仿宋" w:cs="Times New Roman"/>
          <w:szCs w:val="28"/>
        </w:rPr>
      </w:pPr>
    </w:p>
    <w:p w14:paraId="3B02850C">
      <w:pPr>
        <w:rPr>
          <w:rFonts w:hint="default" w:ascii="Times New Roman" w:hAnsi="Times New Roman" w:eastAsia="仿宋" w:cs="Times New Roman"/>
          <w:szCs w:val="28"/>
        </w:rPr>
        <w:sectPr>
          <w:pgSz w:w="11905" w:h="16838"/>
          <w:pgMar w:top="1440" w:right="1083" w:bottom="1440" w:left="1083" w:header="737" w:footer="567" w:gutter="0"/>
          <w:cols w:space="0" w:num="1"/>
          <w:rtlGutter w:val="0"/>
          <w:docGrid w:linePitch="0" w:charSpace="0"/>
        </w:sectPr>
      </w:pPr>
    </w:p>
    <w:p w14:paraId="2DF06618">
      <w:pPr>
        <w:outlineLvl w:val="0"/>
        <w:rPr>
          <w:rFonts w:hint="default" w:ascii="Times New Roman" w:hAnsi="Times New Roman" w:eastAsia="仿宋" w:cs="Times New Roman"/>
          <w:b/>
          <w:bCs/>
          <w:szCs w:val="28"/>
        </w:rPr>
      </w:pPr>
      <w:bookmarkStart w:id="69" w:name="_Toc16062_WPSOffice_Level2"/>
      <w:bookmarkStart w:id="70" w:name="_Toc18859"/>
      <w:r>
        <w:rPr>
          <w:rFonts w:hint="default" w:ascii="Times New Roman" w:hAnsi="Times New Roman" w:eastAsia="仿宋" w:cs="Times New Roman"/>
          <w:b/>
          <w:bCs/>
          <w:szCs w:val="28"/>
        </w:rPr>
        <w:t>6.信息</w:t>
      </w:r>
      <w:bookmarkEnd w:id="69"/>
      <w:r>
        <w:rPr>
          <w:rFonts w:hint="default" w:ascii="Times New Roman" w:hAnsi="Times New Roman" w:eastAsia="仿宋" w:cs="Times New Roman"/>
          <w:b/>
          <w:bCs/>
          <w:szCs w:val="28"/>
        </w:rPr>
        <w:t>报告</w:t>
      </w:r>
      <w:bookmarkEnd w:id="70"/>
    </w:p>
    <w:p w14:paraId="7A896A27">
      <w:pPr>
        <w:outlineLvl w:val="1"/>
        <w:rPr>
          <w:rFonts w:hint="default" w:ascii="Times New Roman" w:hAnsi="Times New Roman" w:eastAsia="仿宋" w:cs="Times New Roman"/>
          <w:szCs w:val="28"/>
        </w:rPr>
      </w:pPr>
      <w:bookmarkStart w:id="71" w:name="_Toc20861"/>
      <w:r>
        <w:rPr>
          <w:rFonts w:hint="default" w:ascii="Times New Roman" w:hAnsi="Times New Roman" w:eastAsia="仿宋" w:cs="Times New Roman"/>
          <w:b/>
          <w:bCs/>
          <w:szCs w:val="28"/>
        </w:rPr>
        <w:t>6.1报警方式</w:t>
      </w:r>
      <w:bookmarkEnd w:id="71"/>
    </w:p>
    <w:p w14:paraId="04BA464B">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险情发现者应第一时间联系办公室，最快速有效的方法为直接当面报警。</w:t>
      </w:r>
    </w:p>
    <w:p w14:paraId="792762EA">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生产车间</w:t>
      </w:r>
      <w:r>
        <w:rPr>
          <w:rFonts w:hint="default" w:ascii="Times New Roman" w:hAnsi="Times New Roman" w:eastAsia="仿宋" w:cs="Times New Roman"/>
          <w:szCs w:val="28"/>
          <w:lang w:eastAsia="zh-CN"/>
        </w:rPr>
        <w:t>、</w:t>
      </w:r>
      <w:r>
        <w:rPr>
          <w:rFonts w:hint="default" w:ascii="Times New Roman" w:hAnsi="Times New Roman" w:eastAsia="仿宋" w:cs="Times New Roman"/>
          <w:szCs w:val="28"/>
        </w:rPr>
        <w:t>原辅料库、成品库设置可燃气体报警器和火灾自动报警系统，可在发生火灾后第一时间自动报警。</w:t>
      </w:r>
    </w:p>
    <w:p w14:paraId="770AA9A2">
      <w:pPr>
        <w:outlineLvl w:val="1"/>
        <w:rPr>
          <w:rFonts w:hint="default" w:ascii="Times New Roman" w:hAnsi="Times New Roman" w:eastAsia="仿宋" w:cs="Times New Roman"/>
          <w:b/>
          <w:bCs/>
          <w:szCs w:val="28"/>
        </w:rPr>
      </w:pPr>
      <w:bookmarkStart w:id="72" w:name="_Toc19861"/>
      <w:bookmarkStart w:id="73" w:name="_Toc20914"/>
      <w:r>
        <w:rPr>
          <w:rFonts w:hint="default" w:ascii="Times New Roman" w:hAnsi="Times New Roman" w:eastAsia="仿宋" w:cs="Times New Roman"/>
          <w:b/>
          <w:bCs/>
          <w:szCs w:val="28"/>
        </w:rPr>
        <w:t>6.2信息报告与处置</w:t>
      </w:r>
      <w:bookmarkEnd w:id="72"/>
    </w:p>
    <w:p w14:paraId="6F1AAB27">
      <w:pPr>
        <w:rPr>
          <w:rFonts w:hint="default" w:ascii="Times New Roman" w:hAnsi="Times New Roman" w:eastAsia="仿宋" w:cs="Times New Roman"/>
          <w:szCs w:val="28"/>
        </w:rPr>
      </w:pPr>
      <w:r>
        <w:rPr>
          <w:rFonts w:hint="default" w:ascii="Times New Roman" w:hAnsi="Times New Roman" w:eastAsia="仿宋" w:cs="Times New Roman"/>
          <w:b/>
          <w:bCs/>
          <w:szCs w:val="28"/>
        </w:rPr>
        <w:t>6.2.1企业内部报告</w:t>
      </w:r>
    </w:p>
    <w:p w14:paraId="6D24E862">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当班人员发现险情或判断可能发生险情后，及时向部门负责人或者应急救援办公室以电话形式报告或者当面报告，报告内容包括险情位置、险情类型、起因等。</w:t>
      </w:r>
    </w:p>
    <w:p w14:paraId="3BF3E320">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应急救援办公室接到险情报警后，迅速核查事件详情并通报事故发生部门，及时将信息上报总指挥。总指挥根据事态发展，发布预警信息、应急预案启动指令，并由应急救援办公室将信息传递给各应急队伍及各部门，做好应急准备。</w:t>
      </w:r>
    </w:p>
    <w:p w14:paraId="165D0F48">
      <w:pPr>
        <w:rPr>
          <w:rFonts w:hint="default" w:ascii="Times New Roman" w:hAnsi="Times New Roman" w:eastAsia="仿宋" w:cs="Times New Roman"/>
          <w:b/>
          <w:bCs/>
          <w:szCs w:val="28"/>
        </w:rPr>
      </w:pPr>
      <w:r>
        <w:rPr>
          <w:rFonts w:hint="default" w:ascii="Times New Roman" w:hAnsi="Times New Roman" w:eastAsia="仿宋" w:cs="Times New Roman"/>
          <w:b/>
          <w:bCs/>
          <w:szCs w:val="28"/>
        </w:rPr>
        <w:t>6.2.2企业外部报告-信息上报</w:t>
      </w:r>
    </w:p>
    <w:p w14:paraId="0B1FE9AB">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当事故影响在企业的范围内，应急办公室在接到事故报告后应立即启动相应等级事故应急预案，采取有效措施，组织抢救，防止事故扩大，减少人员伤亡和财产损失，并在1小时内向经开区区应急指挥中心（022-25201119）和经开区生态环境局（022-25201119）报告。</w:t>
      </w:r>
    </w:p>
    <w:p w14:paraId="6253F48D">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当事故影响超出单位的应急处置能力时，应急总指挥应立即向经开区区应急指挥中心（022-25201119）和经开区生态环境局（022-25201119）报告，报告事故情况（包括发生事故时间、地点、原因、对环境产生了什么影响等），同时指挥应急处置小组按照本预案进行先期处置工作。待上级部门应急力量到达后，接受上级部门的指挥，配合开展应急处置工作。</w:t>
      </w:r>
    </w:p>
    <w:p w14:paraId="49D99E3D">
      <w:pPr>
        <w:rPr>
          <w:rFonts w:hint="default" w:ascii="Times New Roman" w:hAnsi="Times New Roman" w:eastAsia="仿宋" w:cs="Times New Roman"/>
          <w:b/>
          <w:bCs/>
          <w:szCs w:val="28"/>
        </w:rPr>
      </w:pPr>
      <w:r>
        <w:rPr>
          <w:rFonts w:hint="default" w:ascii="Times New Roman" w:hAnsi="Times New Roman" w:eastAsia="仿宋" w:cs="Times New Roman"/>
          <w:b/>
          <w:bCs/>
          <w:szCs w:val="28"/>
        </w:rPr>
        <w:t>6.2.3企业外部报告-联系方式</w:t>
      </w:r>
    </w:p>
    <w:bookmarkEnd w:id="73"/>
    <w:p w14:paraId="7706FD09">
      <w:pPr>
        <w:ind w:firstLine="560" w:firstLineChars="200"/>
        <w:rPr>
          <w:rFonts w:hint="default" w:ascii="Times New Roman" w:hAnsi="Times New Roman" w:eastAsia="仿宋" w:cs="Times New Roman"/>
          <w:lang w:val="en-US" w:eastAsia="zh-CN"/>
        </w:rPr>
      </w:pPr>
      <w:r>
        <w:rPr>
          <w:rFonts w:hint="default" w:ascii="Times New Roman" w:hAnsi="Times New Roman" w:eastAsia="仿宋" w:cs="Times New Roman"/>
        </w:rPr>
        <w:t>突发环境事件已经或者可能涉及外部区域的，应急指挥部总指挥应当及时向附近居民、企业通报事件/事故简况，告知事故性质、对健康的影响、自我保护措施、注意事项等，并保持信息联络。</w:t>
      </w:r>
      <w:r>
        <w:rPr>
          <w:rFonts w:hint="default" w:ascii="Times New Roman" w:hAnsi="Times New Roman" w:eastAsia="仿宋" w:cs="Times New Roman"/>
          <w:lang w:val="en-US" w:eastAsia="zh-CN"/>
        </w:rPr>
        <w:t>若需应急互助单位及应急监测单位提供支持，需及时与其取得联系。外部单位联系人及联系电话见下表。</w:t>
      </w:r>
    </w:p>
    <w:p w14:paraId="3C0AB3A4">
      <w:pPr>
        <w:jc w:val="center"/>
        <w:rPr>
          <w:rFonts w:hint="default" w:ascii="Times New Roman" w:hAnsi="Times New Roman" w:eastAsia="仿宋" w:cs="Times New Roman"/>
          <w:szCs w:val="28"/>
          <w:highlight w:val="none"/>
        </w:rPr>
      </w:pPr>
      <w:r>
        <w:rPr>
          <w:rFonts w:hint="default" w:ascii="Times New Roman" w:hAnsi="Times New Roman" w:eastAsia="仿宋" w:cs="Times New Roman"/>
          <w:szCs w:val="28"/>
          <w:highlight w:val="none"/>
        </w:rPr>
        <w:t>表6.1  企业外部联系方式</w:t>
      </w:r>
    </w:p>
    <w:tbl>
      <w:tblPr>
        <w:tblStyle w:val="4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1"/>
        <w:gridCol w:w="4703"/>
        <w:gridCol w:w="3779"/>
      </w:tblGrid>
      <w:tr w14:paraId="4CBC5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39" w:type="pct"/>
            <w:shd w:val="clear" w:color="auto" w:fill="D7D7D7" w:themeFill="background1" w:themeFillShade="D8"/>
            <w:vAlign w:val="center"/>
          </w:tcPr>
          <w:p w14:paraId="019A64B0">
            <w:pPr>
              <w:spacing w:line="240" w:lineRule="auto"/>
              <w:jc w:val="center"/>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序号</w:t>
            </w:r>
          </w:p>
        </w:tc>
        <w:tc>
          <w:tcPr>
            <w:tcW w:w="2362" w:type="pct"/>
            <w:shd w:val="clear" w:color="auto" w:fill="D7D7D7" w:themeFill="background1" w:themeFillShade="D8"/>
            <w:vAlign w:val="center"/>
          </w:tcPr>
          <w:p w14:paraId="1B1559B4">
            <w:pPr>
              <w:spacing w:line="240" w:lineRule="auto"/>
              <w:jc w:val="center"/>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单位</w:t>
            </w:r>
          </w:p>
        </w:tc>
        <w:tc>
          <w:tcPr>
            <w:tcW w:w="1898" w:type="pct"/>
            <w:shd w:val="clear" w:color="auto" w:fill="D7D7D7" w:themeFill="background1" w:themeFillShade="D8"/>
            <w:vAlign w:val="center"/>
          </w:tcPr>
          <w:p w14:paraId="1D1F16DA">
            <w:pPr>
              <w:spacing w:line="240" w:lineRule="auto"/>
              <w:jc w:val="center"/>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联系电话</w:t>
            </w:r>
          </w:p>
        </w:tc>
      </w:tr>
      <w:tr w14:paraId="1BC6F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39" w:type="pct"/>
            <w:shd w:val="clear" w:color="auto" w:fill="auto"/>
            <w:vAlign w:val="center"/>
          </w:tcPr>
          <w:p w14:paraId="70ECF7B6">
            <w:pPr>
              <w:spacing w:line="240" w:lineRule="auto"/>
              <w:jc w:val="center"/>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1</w:t>
            </w:r>
          </w:p>
        </w:tc>
        <w:tc>
          <w:tcPr>
            <w:tcW w:w="4864" w:type="dxa"/>
            <w:shd w:val="clear" w:color="auto" w:fill="auto"/>
            <w:vAlign w:val="center"/>
          </w:tcPr>
          <w:p w14:paraId="4DE7EBF7">
            <w:pPr>
              <w:autoSpaceDE w:val="0"/>
              <w:autoSpaceDN w:val="0"/>
              <w:adjustRightInd w:val="0"/>
              <w:snapToGrid w:val="0"/>
              <w:jc w:val="center"/>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rPr>
              <w:t>中矿（天津）海外矿业服务有限公司</w:t>
            </w:r>
          </w:p>
        </w:tc>
        <w:tc>
          <w:tcPr>
            <w:tcW w:w="3908" w:type="dxa"/>
            <w:shd w:val="clear" w:color="auto" w:fill="auto"/>
            <w:vAlign w:val="center"/>
          </w:tcPr>
          <w:p w14:paraId="55543D78">
            <w:pPr>
              <w:autoSpaceDE w:val="0"/>
              <w:autoSpaceDN w:val="0"/>
              <w:adjustRightInd w:val="0"/>
              <w:snapToGrid w:val="0"/>
              <w:jc w:val="center"/>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lang w:val="en-US" w:eastAsia="zh-CN"/>
              </w:rPr>
              <w:t>022-59795566</w:t>
            </w:r>
          </w:p>
        </w:tc>
      </w:tr>
    </w:tbl>
    <w:p w14:paraId="7B62B8FA">
      <w:pPr>
        <w:jc w:val="center"/>
        <w:rPr>
          <w:rFonts w:hint="default" w:ascii="Times New Roman" w:hAnsi="Times New Roman" w:eastAsia="仿宋" w:cs="Times New Roman"/>
          <w:szCs w:val="28"/>
          <w:highlight w:val="none"/>
        </w:rPr>
      </w:pPr>
    </w:p>
    <w:p w14:paraId="3C0E3CE3">
      <w:pPr>
        <w:pStyle w:val="42"/>
        <w:ind w:left="0" w:leftChars="0" w:firstLine="0" w:firstLineChars="0"/>
        <w:rPr>
          <w:rFonts w:hint="default" w:ascii="Times New Roman" w:hAnsi="Times New Roman" w:eastAsia="仿宋" w:cs="Times New Roman"/>
          <w:highlight w:val="yellow"/>
        </w:rPr>
      </w:pPr>
    </w:p>
    <w:p w14:paraId="19362BB0">
      <w:pPr>
        <w:pStyle w:val="42"/>
        <w:ind w:left="0" w:leftChars="0" w:firstLine="0" w:firstLineChars="0"/>
        <w:rPr>
          <w:rFonts w:hint="default" w:ascii="Times New Roman" w:hAnsi="Times New Roman" w:eastAsia="仿宋" w:cs="Times New Roman"/>
          <w:highlight w:val="yellow"/>
        </w:rPr>
        <w:sectPr>
          <w:pgSz w:w="11905" w:h="16838"/>
          <w:pgMar w:top="1440" w:right="1083" w:bottom="1440" w:left="1083" w:header="737" w:footer="567" w:gutter="0"/>
          <w:cols w:space="0" w:num="1"/>
          <w:rtlGutter w:val="0"/>
          <w:docGrid w:linePitch="0" w:charSpace="0"/>
        </w:sectPr>
      </w:pPr>
    </w:p>
    <w:p w14:paraId="5ADA630B">
      <w:pPr>
        <w:pageBreakBefore w:val="0"/>
        <w:widowControl w:val="0"/>
        <w:kinsoku/>
        <w:wordWrap/>
        <w:overflowPunct/>
        <w:topLinePunct w:val="0"/>
        <w:autoSpaceDE/>
        <w:autoSpaceDN/>
        <w:bidi w:val="0"/>
        <w:outlineLvl w:val="0"/>
        <w:rPr>
          <w:rFonts w:hint="default" w:ascii="Times New Roman" w:hAnsi="Times New Roman" w:eastAsia="仿宋" w:cs="Times New Roman"/>
          <w:b/>
          <w:bCs/>
          <w:sz w:val="28"/>
          <w:szCs w:val="28"/>
          <w:highlight w:val="none"/>
        </w:rPr>
      </w:pPr>
      <w:bookmarkStart w:id="74" w:name="_Toc20178"/>
      <w:bookmarkStart w:id="75" w:name="_Toc14852"/>
      <w:bookmarkStart w:id="76" w:name="_Toc25902_WPSOffice_Level2"/>
      <w:bookmarkStart w:id="77" w:name="_Toc382151140"/>
      <w:r>
        <w:rPr>
          <w:rFonts w:hint="default" w:ascii="Times New Roman" w:hAnsi="Times New Roman" w:eastAsia="仿宋" w:cs="Times New Roman"/>
          <w:b/>
          <w:bCs/>
          <w:sz w:val="28"/>
          <w:szCs w:val="28"/>
          <w:highlight w:val="none"/>
        </w:rPr>
        <w:t>7.应急监测</w:t>
      </w:r>
      <w:bookmarkEnd w:id="74"/>
    </w:p>
    <w:p w14:paraId="09CBC338">
      <w:pPr>
        <w:pageBreakBefore w:val="0"/>
        <w:widowControl w:val="0"/>
        <w:kinsoku/>
        <w:wordWrap/>
        <w:overflowPunct/>
        <w:topLinePunct w:val="0"/>
        <w:autoSpaceDE/>
        <w:autoSpaceDN/>
        <w:bidi w:val="0"/>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若突发环境事件导致周边环境可能受到污染，则启动应急监测。应急监测是环境监测人员在事故现场，用小型、便携、简易、快速检测仪器和装置，在尽可能短的时间内对事故污染物质的种类、污染物质的浓度、污染的范围及可能造成的危害等做出判断的过程。</w:t>
      </w:r>
    </w:p>
    <w:p w14:paraId="349E75F6">
      <w:pPr>
        <w:pageBreakBefore w:val="0"/>
        <w:widowControl w:val="0"/>
        <w:kinsoku/>
        <w:wordWrap/>
        <w:overflowPunct/>
        <w:topLinePunct w:val="0"/>
        <w:autoSpaceDE/>
        <w:autoSpaceDN/>
        <w:bidi w:val="0"/>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本公司委托第三方专业机构承担突发环境事件应急监测工作，本公司为突发环境事件应急监测的责任主体。当发生社会级突发环境事件时，在启动应急监测的同时需第一时间</w:t>
      </w:r>
      <w:r>
        <w:rPr>
          <w:rFonts w:hint="default" w:ascii="Times New Roman" w:hAnsi="Times New Roman" w:eastAsia="仿宋" w:cs="Times New Roman"/>
          <w:sz w:val="28"/>
          <w:szCs w:val="28"/>
        </w:rPr>
        <w:t>将有关污染信息上报至</w:t>
      </w:r>
      <w:r>
        <w:rPr>
          <w:rFonts w:hint="default" w:ascii="Times New Roman" w:hAnsi="Times New Roman" w:eastAsia="仿宋" w:cs="Times New Roman"/>
          <w:sz w:val="28"/>
          <w:szCs w:val="28"/>
          <w:lang w:val="en-US" w:eastAsia="zh-CN"/>
        </w:rPr>
        <w:t>经开区</w:t>
      </w:r>
      <w:r>
        <w:rPr>
          <w:rFonts w:hint="default" w:ascii="Times New Roman" w:hAnsi="Times New Roman" w:eastAsia="仿宋" w:cs="Times New Roman"/>
          <w:sz w:val="28"/>
          <w:szCs w:val="28"/>
        </w:rPr>
        <w:t>生态环境局</w:t>
      </w:r>
      <w:r>
        <w:rPr>
          <w:rFonts w:hint="default" w:ascii="Times New Roman" w:hAnsi="Times New Roman" w:eastAsia="仿宋" w:cs="Times New Roman"/>
          <w:sz w:val="28"/>
          <w:szCs w:val="28"/>
          <w:lang w:eastAsia="zh-CN"/>
        </w:rPr>
        <w:t>，</w:t>
      </w:r>
      <w:r>
        <w:rPr>
          <w:rFonts w:hint="default" w:ascii="Times New Roman" w:hAnsi="Times New Roman" w:eastAsia="仿宋" w:cs="Times New Roman"/>
          <w:sz w:val="28"/>
          <w:szCs w:val="28"/>
          <w:lang w:val="en-US" w:eastAsia="zh-CN"/>
        </w:rPr>
        <w:t>并在政府部门的指挥下配合开展相应工作</w:t>
      </w:r>
      <w:r>
        <w:rPr>
          <w:rFonts w:hint="default" w:ascii="Times New Roman" w:hAnsi="Times New Roman" w:eastAsia="仿宋" w:cs="Times New Roman"/>
          <w:sz w:val="28"/>
          <w:szCs w:val="28"/>
        </w:rPr>
        <w:t>。</w:t>
      </w:r>
    </w:p>
    <w:p w14:paraId="41B9ED5F">
      <w:pPr>
        <w:pageBreakBefore w:val="0"/>
        <w:widowControl w:val="0"/>
        <w:kinsoku/>
        <w:wordWrap/>
        <w:overflowPunct/>
        <w:topLinePunct w:val="0"/>
        <w:autoSpaceDE/>
        <w:autoSpaceDN/>
        <w:bidi w:val="0"/>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应急</w:t>
      </w:r>
      <w:r>
        <w:rPr>
          <w:rFonts w:hint="default" w:ascii="Times New Roman" w:hAnsi="Times New Roman" w:eastAsia="仿宋" w:cs="Times New Roman"/>
          <w:sz w:val="28"/>
          <w:szCs w:val="28"/>
        </w:rPr>
        <w:t>监测方案根据《突发环境事件应急监测技术规范》（HJ589-2021）制定并执行。</w:t>
      </w:r>
    </w:p>
    <w:p w14:paraId="0C3CD1D2">
      <w:pPr>
        <w:pageBreakBefore w:val="0"/>
        <w:widowControl w:val="0"/>
        <w:kinsoku/>
        <w:wordWrap/>
        <w:overflowPunct/>
        <w:topLinePunct w:val="0"/>
        <w:autoSpaceDE/>
        <w:autoSpaceDN/>
        <w:bidi w:val="0"/>
        <w:outlineLvl w:val="1"/>
        <w:rPr>
          <w:rFonts w:hint="default" w:ascii="Times New Roman" w:hAnsi="Times New Roman" w:eastAsia="仿宋" w:cs="Times New Roman"/>
          <w:sz w:val="28"/>
          <w:szCs w:val="28"/>
          <w:lang w:val="en-US" w:eastAsia="zh-CN"/>
        </w:rPr>
      </w:pPr>
      <w:bookmarkStart w:id="78" w:name="_Toc6652"/>
      <w:r>
        <w:rPr>
          <w:rFonts w:hint="default" w:ascii="Times New Roman" w:hAnsi="Times New Roman" w:eastAsia="仿宋" w:cs="Times New Roman"/>
          <w:b/>
          <w:bCs/>
          <w:sz w:val="28"/>
          <w:szCs w:val="28"/>
        </w:rPr>
        <w:t>7.1</w:t>
      </w:r>
      <w:r>
        <w:rPr>
          <w:rFonts w:hint="default" w:ascii="Times New Roman" w:hAnsi="Times New Roman" w:eastAsia="仿宋" w:cs="Times New Roman"/>
          <w:b/>
          <w:bCs/>
          <w:sz w:val="28"/>
          <w:szCs w:val="28"/>
          <w:lang w:val="en-US" w:eastAsia="zh-CN"/>
        </w:rPr>
        <w:t xml:space="preserve"> 响应程序</w:t>
      </w:r>
      <w:bookmarkEnd w:id="78"/>
    </w:p>
    <w:p w14:paraId="5EABD7FF">
      <w:pPr>
        <w:pageBreakBefore w:val="0"/>
        <w:widowControl w:val="0"/>
        <w:kinsoku/>
        <w:wordWrap/>
        <w:overflowPunct/>
        <w:topLinePunct w:val="0"/>
        <w:autoSpaceDE/>
        <w:autoSpaceDN/>
        <w:bidi w:val="0"/>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（1）通知应急监测协议单位；</w:t>
      </w:r>
    </w:p>
    <w:p w14:paraId="0B4565DA">
      <w:pPr>
        <w:pageBreakBefore w:val="0"/>
        <w:widowControl w:val="0"/>
        <w:kinsoku/>
        <w:wordWrap/>
        <w:overflowPunct/>
        <w:topLinePunct w:val="0"/>
        <w:autoSpaceDE/>
        <w:autoSpaceDN/>
        <w:bidi w:val="0"/>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（2）了解现场情况，配合专业应急监测人员实施现场监测，快速报告结果；</w:t>
      </w:r>
    </w:p>
    <w:p w14:paraId="54649C16">
      <w:pPr>
        <w:pageBreakBefore w:val="0"/>
        <w:widowControl w:val="0"/>
        <w:kinsoku/>
        <w:wordWrap/>
        <w:overflowPunct/>
        <w:topLinePunct w:val="0"/>
        <w:autoSpaceDE/>
        <w:autoSpaceDN/>
        <w:bidi w:val="0"/>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（3）进行初步综合分析，提出跟踪监测和污染控制建议；</w:t>
      </w:r>
    </w:p>
    <w:p w14:paraId="6ED537D8">
      <w:pPr>
        <w:pageBreakBefore w:val="0"/>
        <w:widowControl w:val="0"/>
        <w:kinsoku/>
        <w:wordWrap/>
        <w:overflowPunct/>
        <w:topLinePunct w:val="0"/>
        <w:autoSpaceDE/>
        <w:autoSpaceDN/>
        <w:bidi w:val="0"/>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（4）实施跟踪监测，及时报告结果。</w:t>
      </w:r>
    </w:p>
    <w:p w14:paraId="1279E19B">
      <w:pPr>
        <w:pageBreakBefore w:val="0"/>
        <w:widowControl w:val="0"/>
        <w:kinsoku/>
        <w:wordWrap/>
        <w:overflowPunct/>
        <w:topLinePunct w:val="0"/>
        <w:autoSpaceDE/>
        <w:autoSpaceDN/>
        <w:bidi w:val="0"/>
        <w:outlineLvl w:val="1"/>
        <w:rPr>
          <w:rFonts w:hint="default" w:ascii="Times New Roman" w:hAnsi="Times New Roman" w:eastAsia="仿宋" w:cs="Times New Roman"/>
          <w:b/>
          <w:bCs/>
          <w:sz w:val="28"/>
          <w:szCs w:val="28"/>
        </w:rPr>
      </w:pPr>
      <w:bookmarkStart w:id="79" w:name="_Toc10776"/>
      <w:bookmarkStart w:id="80" w:name="_Toc32141"/>
      <w:r>
        <w:rPr>
          <w:rFonts w:hint="default" w:ascii="Times New Roman" w:hAnsi="Times New Roman" w:eastAsia="仿宋" w:cs="Times New Roman"/>
          <w:b/>
          <w:bCs/>
          <w:sz w:val="28"/>
          <w:szCs w:val="28"/>
          <w:lang w:val="en-US" w:eastAsia="zh-CN"/>
        </w:rPr>
        <w:t xml:space="preserve">7.2 </w:t>
      </w:r>
      <w:r>
        <w:rPr>
          <w:rFonts w:hint="default" w:ascii="Times New Roman" w:hAnsi="Times New Roman" w:eastAsia="仿宋" w:cs="Times New Roman"/>
          <w:b/>
          <w:bCs/>
          <w:sz w:val="28"/>
          <w:szCs w:val="28"/>
        </w:rPr>
        <w:t>布点</w:t>
      </w:r>
      <w:r>
        <w:rPr>
          <w:rFonts w:hint="default" w:ascii="Times New Roman" w:hAnsi="Times New Roman" w:eastAsia="仿宋" w:cs="Times New Roman"/>
          <w:b/>
          <w:bCs/>
          <w:sz w:val="28"/>
          <w:szCs w:val="28"/>
          <w:lang w:val="en-US" w:eastAsia="zh-CN"/>
        </w:rPr>
        <w:t>方案</w:t>
      </w:r>
      <w:bookmarkEnd w:id="79"/>
      <w:bookmarkEnd w:id="80"/>
    </w:p>
    <w:p w14:paraId="38D0FF22">
      <w:pPr>
        <w:pageBreakBefore w:val="0"/>
        <w:widowControl w:val="0"/>
        <w:kinsoku/>
        <w:wordWrap/>
        <w:overflowPunct/>
        <w:topLinePunct w:val="0"/>
        <w:autoSpaceDE/>
        <w:autoSpaceDN/>
        <w:bidi w:val="0"/>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由于突发环境污染事故发生时，污染物的分布极不均匀，时空变化大，对各环境要素的污染程度不同，因此采样点位的选择对于准确判断污染物浓度分布、分布范围和程度极为重要。点位的确定应考虑以下因素：</w:t>
      </w:r>
    </w:p>
    <w:p w14:paraId="7E6C0FA3">
      <w:pPr>
        <w:pageBreakBefore w:val="0"/>
        <w:widowControl w:val="0"/>
        <w:kinsoku/>
        <w:wordWrap/>
        <w:overflowPunct/>
        <w:topLinePunct w:val="0"/>
        <w:autoSpaceDE/>
        <w:autoSpaceDN/>
        <w:bidi w:val="0"/>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（1）事故的类型、严重程度与影响范围；</w:t>
      </w:r>
    </w:p>
    <w:p w14:paraId="51B0B8EE">
      <w:pPr>
        <w:pageBreakBefore w:val="0"/>
        <w:widowControl w:val="0"/>
        <w:kinsoku/>
        <w:wordWrap/>
        <w:overflowPunct/>
        <w:topLinePunct w:val="0"/>
        <w:autoSpaceDE/>
        <w:autoSpaceDN/>
        <w:bidi w:val="0"/>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（2）事故发生的地点的水文地质情况；</w:t>
      </w:r>
    </w:p>
    <w:p w14:paraId="36A44963">
      <w:pPr>
        <w:pageBreakBefore w:val="0"/>
        <w:widowControl w:val="0"/>
        <w:kinsoku/>
        <w:wordWrap/>
        <w:overflowPunct/>
        <w:topLinePunct w:val="0"/>
        <w:autoSpaceDE/>
        <w:autoSpaceDN/>
        <w:bidi w:val="0"/>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（3）事故发生时的天气情况，尤其是风向、风速及其变化情况。</w:t>
      </w:r>
    </w:p>
    <w:p w14:paraId="1C88458F">
      <w:pPr>
        <w:pageBreakBefore w:val="0"/>
        <w:widowControl w:val="0"/>
        <w:kinsoku/>
        <w:wordWrap/>
        <w:overflowPunct/>
        <w:topLinePunct w:val="0"/>
        <w:autoSpaceDE/>
        <w:autoSpaceDN/>
        <w:bidi w:val="0"/>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大气和地表水采用如下采样布点方案：</w:t>
      </w:r>
    </w:p>
    <w:p w14:paraId="61906809">
      <w:pPr>
        <w:pageBreakBefore w:val="0"/>
        <w:widowControl w:val="0"/>
        <w:kinsoku/>
        <w:wordWrap/>
        <w:overflowPunct/>
        <w:topLinePunct w:val="0"/>
        <w:autoSpaceDE/>
        <w:autoSpaceDN/>
        <w:bidi w:val="0"/>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大气：应尽可能在事故发生地就近采样，并以事故点为中心，在事故发生时下风向50m、100m、400m和最近环境保护目标处。采样时，应同时记录气温、气压、风向和风速，采样总体积应换算成标准状态下的体积。采样过程中应注意风向的变化，及时调整采样点位置。对于应急监测采样器，应经常予以校正，以免情况紧急时没有时间进行校正。</w:t>
      </w:r>
    </w:p>
    <w:p w14:paraId="2E09E67C">
      <w:pPr>
        <w:pageBreakBefore w:val="0"/>
        <w:widowControl w:val="0"/>
        <w:kinsoku/>
        <w:wordWrap/>
        <w:overflowPunct/>
        <w:topLinePunct w:val="0"/>
        <w:autoSpaceDE/>
        <w:autoSpaceDN/>
        <w:bidi w:val="0"/>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（2）地表水：监测点位于</w:t>
      </w:r>
      <w:r>
        <w:rPr>
          <w:rFonts w:hint="default" w:ascii="Times New Roman" w:hAnsi="Times New Roman" w:eastAsia="仿宋" w:cs="Times New Roman"/>
          <w:sz w:val="28"/>
          <w:szCs w:val="28"/>
          <w:lang w:val="en-US" w:eastAsia="zh-CN"/>
        </w:rPr>
        <w:t>园区河道，在排入点及下游500米布设点位，</w:t>
      </w:r>
      <w:r>
        <w:rPr>
          <w:rFonts w:hint="default" w:ascii="Times New Roman" w:hAnsi="Times New Roman" w:eastAsia="仿宋" w:cs="Times New Roman"/>
          <w:sz w:val="28"/>
          <w:szCs w:val="28"/>
        </w:rPr>
        <w:t>同时在上游500m处设置参照点。采样器具应洁净并应避免交叉感染，现场可采集平行双样，一份供现场快速测定，另一份现场立即加入保护剂，尽快送至实验室进行分析。</w:t>
      </w:r>
    </w:p>
    <w:p w14:paraId="010A8E0D">
      <w:pPr>
        <w:pStyle w:val="3"/>
        <w:pageBreakBefore w:val="0"/>
        <w:widowControl w:val="0"/>
        <w:kinsoku/>
        <w:wordWrap/>
        <w:overflowPunct/>
        <w:topLinePunct w:val="0"/>
        <w:autoSpaceDE/>
        <w:autoSpaceDN/>
        <w:bidi w:val="0"/>
        <w:ind w:left="0" w:leftChars="0" w:firstLine="0" w:firstLineChars="0"/>
        <w:outlineLvl w:val="1"/>
        <w:rPr>
          <w:rFonts w:hint="default" w:ascii="Times New Roman" w:hAnsi="Times New Roman" w:eastAsia="仿宋" w:cs="Times New Roman"/>
          <w:b/>
          <w:bCs/>
          <w:sz w:val="28"/>
          <w:szCs w:val="28"/>
          <w:lang w:val="en-US" w:eastAsia="zh-CN"/>
        </w:rPr>
      </w:pPr>
      <w:bookmarkStart w:id="81" w:name="_Toc24263"/>
      <w:bookmarkStart w:id="82" w:name="_Toc11935"/>
      <w:r>
        <w:rPr>
          <w:rFonts w:hint="default" w:ascii="Times New Roman" w:hAnsi="Times New Roman" w:eastAsia="仿宋" w:cs="Times New Roman"/>
          <w:b/>
          <w:bCs/>
          <w:sz w:val="28"/>
          <w:szCs w:val="28"/>
          <w:lang w:val="en-US" w:eastAsia="zh-CN"/>
        </w:rPr>
        <w:t>7.3 监测频次</w:t>
      </w:r>
      <w:bookmarkEnd w:id="81"/>
      <w:bookmarkEnd w:id="82"/>
    </w:p>
    <w:p w14:paraId="64F7A90F">
      <w:pPr>
        <w:pageBreakBefore w:val="0"/>
        <w:widowControl w:val="0"/>
        <w:kinsoku/>
        <w:wordWrap/>
        <w:overflowPunct/>
        <w:topLinePunct w:val="0"/>
        <w:autoSpaceDE/>
        <w:autoSpaceDN/>
        <w:bidi w:val="0"/>
        <w:ind w:firstLine="560" w:firstLineChars="20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监测频次主要根据现场污染状况确定。事件刚发生时，监测频次可适当增加，待摸清污染变化规律后，可适当减少监测频次。依据不同的环境区域功能和现场具体污染状况，力求以最合理的监测频次，取得具有足够时空代表性的监测结果，做到既有代表性、能满足应急工作要求，又切实可行。</w:t>
      </w:r>
    </w:p>
    <w:p w14:paraId="567C94E7">
      <w:pPr>
        <w:pStyle w:val="3"/>
        <w:pageBreakBefore w:val="0"/>
        <w:widowControl w:val="0"/>
        <w:kinsoku/>
        <w:wordWrap/>
        <w:overflowPunct/>
        <w:topLinePunct w:val="0"/>
        <w:autoSpaceDE/>
        <w:autoSpaceDN/>
        <w:bidi w:val="0"/>
        <w:ind w:left="0" w:leftChars="0" w:firstLine="0" w:firstLineChars="0"/>
        <w:outlineLvl w:val="1"/>
        <w:rPr>
          <w:rFonts w:hint="default" w:ascii="Times New Roman" w:hAnsi="Times New Roman" w:eastAsia="仿宋" w:cs="Times New Roman"/>
          <w:b/>
          <w:bCs/>
          <w:sz w:val="28"/>
          <w:szCs w:val="28"/>
          <w:lang w:val="en-US" w:eastAsia="zh-CN"/>
        </w:rPr>
      </w:pPr>
      <w:bookmarkStart w:id="83" w:name="_Toc20362"/>
      <w:bookmarkStart w:id="84" w:name="_Toc18246"/>
      <w:r>
        <w:rPr>
          <w:rFonts w:hint="default" w:ascii="Times New Roman" w:hAnsi="Times New Roman" w:eastAsia="仿宋" w:cs="Times New Roman"/>
          <w:b/>
          <w:bCs/>
          <w:sz w:val="28"/>
          <w:szCs w:val="28"/>
          <w:lang w:val="en-US" w:eastAsia="zh-CN"/>
        </w:rPr>
        <w:t>7.4 监测项目</w:t>
      </w:r>
      <w:bookmarkEnd w:id="83"/>
      <w:bookmarkEnd w:id="84"/>
    </w:p>
    <w:p w14:paraId="20EF132C">
      <w:pPr>
        <w:pageBreakBefore w:val="0"/>
        <w:widowControl w:val="0"/>
        <w:kinsoku/>
        <w:wordWrap/>
        <w:overflowPunct/>
        <w:topLinePunct w:val="0"/>
        <w:autoSpaceDE/>
        <w:autoSpaceDN/>
        <w:bidi w:val="0"/>
        <w:ind w:firstLine="560" w:firstLineChars="20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监测频次根据事故处置情况判定，监测因子应根据突发环境事件的类型、涉及的环境风险物质确定。对于未知污染物监测项目，可结合事故现场特征及感官判断，或结合生产运行记录判定。</w:t>
      </w:r>
    </w:p>
    <w:p w14:paraId="53AC9D69">
      <w:pPr>
        <w:pageBreakBefore w:val="0"/>
        <w:widowControl w:val="0"/>
        <w:kinsoku/>
        <w:wordWrap/>
        <w:overflowPunct/>
        <w:topLinePunct w:val="0"/>
        <w:autoSpaceDE/>
        <w:autoSpaceDN/>
        <w:bidi w:val="0"/>
        <w:ind w:firstLine="560" w:firstLineChars="20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对于已知污染物监测项目，监测项目如下：</w:t>
      </w:r>
    </w:p>
    <w:p w14:paraId="52F62032">
      <w:pPr>
        <w:pageBreakBefore w:val="0"/>
        <w:widowControl w:val="0"/>
        <w:kinsoku/>
        <w:wordWrap/>
        <w:overflowPunct/>
        <w:topLinePunct w:val="0"/>
        <w:autoSpaceDE/>
        <w:autoSpaceDN/>
        <w:bidi w:val="0"/>
        <w:ind w:firstLine="560" w:firstLineChars="20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（1）大气</w:t>
      </w:r>
    </w:p>
    <w:p w14:paraId="6F1B1EDE">
      <w:pPr>
        <w:pageBreakBefore w:val="0"/>
        <w:widowControl w:val="0"/>
        <w:kinsoku/>
        <w:wordWrap/>
        <w:overflowPunct/>
        <w:topLinePunct w:val="0"/>
        <w:autoSpaceDE/>
        <w:autoSpaceDN/>
        <w:bidi w:val="0"/>
        <w:ind w:firstLine="560" w:firstLineChars="20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当发生天然气泄漏事故，如需开展应急监测，监测因子为甲烷。</w:t>
      </w:r>
    </w:p>
    <w:p w14:paraId="529DD0CB">
      <w:pPr>
        <w:pageBreakBefore w:val="0"/>
        <w:widowControl w:val="0"/>
        <w:kinsoku/>
        <w:wordWrap/>
        <w:overflowPunct/>
        <w:topLinePunct w:val="0"/>
        <w:autoSpaceDE/>
        <w:autoSpaceDN/>
        <w:bidi w:val="0"/>
        <w:ind w:firstLine="560" w:firstLineChars="20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当发生天然气管线或烘干炉爆炸事故，如需开展应急监测，监测因子为甲烷、一氧化碳。</w:t>
      </w:r>
    </w:p>
    <w:p w14:paraId="2A83A9AE">
      <w:pPr>
        <w:pageBreakBefore w:val="0"/>
        <w:widowControl w:val="0"/>
        <w:kinsoku/>
        <w:wordWrap/>
        <w:overflowPunct/>
        <w:topLinePunct w:val="0"/>
        <w:autoSpaceDE/>
        <w:autoSpaceDN/>
        <w:bidi w:val="0"/>
        <w:ind w:firstLine="560" w:firstLineChars="20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（2）地表水</w:t>
      </w:r>
    </w:p>
    <w:p w14:paraId="126A6896">
      <w:pPr>
        <w:pageBreakBefore w:val="0"/>
        <w:widowControl w:val="0"/>
        <w:kinsoku/>
        <w:wordWrap/>
        <w:overflowPunct/>
        <w:topLinePunct w:val="0"/>
        <w:autoSpaceDE/>
        <w:autoSpaceDN/>
        <w:bidi w:val="0"/>
        <w:ind w:firstLine="560" w:firstLineChars="20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监测因子主要为pH值、COD</w:t>
      </w:r>
      <w:r>
        <w:rPr>
          <w:rFonts w:hint="default" w:ascii="Times New Roman" w:hAnsi="Times New Roman" w:eastAsia="仿宋" w:cs="Times New Roman"/>
          <w:sz w:val="28"/>
          <w:szCs w:val="28"/>
          <w:vertAlign w:val="subscript"/>
          <w:lang w:val="en-US" w:eastAsia="zh-CN"/>
        </w:rPr>
        <w:t>Cr</w:t>
      </w:r>
      <w:r>
        <w:rPr>
          <w:rFonts w:hint="default" w:ascii="Times New Roman" w:hAnsi="Times New Roman" w:eastAsia="仿宋" w:cs="Times New Roman"/>
          <w:sz w:val="28"/>
          <w:szCs w:val="28"/>
          <w:lang w:val="en-US" w:eastAsia="zh-CN"/>
        </w:rPr>
        <w:t>、氨氮、总磷、总氮、SS、石油类等。</w:t>
      </w:r>
    </w:p>
    <w:p w14:paraId="7A35E7CB">
      <w:pPr>
        <w:pStyle w:val="3"/>
        <w:pageBreakBefore w:val="0"/>
        <w:widowControl w:val="0"/>
        <w:kinsoku/>
        <w:wordWrap/>
        <w:overflowPunct/>
        <w:topLinePunct w:val="0"/>
        <w:autoSpaceDE/>
        <w:autoSpaceDN/>
        <w:bidi w:val="0"/>
        <w:ind w:left="0" w:leftChars="0" w:firstLine="0" w:firstLineChars="0"/>
        <w:outlineLvl w:val="1"/>
        <w:rPr>
          <w:rFonts w:hint="default" w:ascii="Times New Roman" w:hAnsi="Times New Roman" w:eastAsia="仿宋" w:cs="Times New Roman"/>
          <w:b/>
          <w:bCs/>
          <w:sz w:val="28"/>
          <w:szCs w:val="28"/>
        </w:rPr>
      </w:pPr>
      <w:bookmarkStart w:id="85" w:name="_Toc11005"/>
      <w:bookmarkStart w:id="86" w:name="_Toc31784"/>
      <w:r>
        <w:rPr>
          <w:rFonts w:hint="default" w:ascii="Times New Roman" w:hAnsi="Times New Roman" w:eastAsia="仿宋" w:cs="Times New Roman"/>
          <w:b/>
          <w:bCs/>
          <w:sz w:val="28"/>
          <w:szCs w:val="28"/>
          <w:lang w:val="en-US" w:eastAsia="zh-CN"/>
        </w:rPr>
        <w:t xml:space="preserve">7.5 </w:t>
      </w:r>
      <w:r>
        <w:rPr>
          <w:rFonts w:hint="default" w:ascii="Times New Roman" w:hAnsi="Times New Roman" w:eastAsia="仿宋" w:cs="Times New Roman"/>
          <w:b/>
          <w:bCs/>
          <w:sz w:val="28"/>
          <w:szCs w:val="28"/>
        </w:rPr>
        <w:t>报告内容</w:t>
      </w:r>
      <w:bookmarkEnd w:id="85"/>
      <w:bookmarkEnd w:id="86"/>
    </w:p>
    <w:p w14:paraId="5BCFCC9B">
      <w:pPr>
        <w:pageBreakBefore w:val="0"/>
        <w:widowControl w:val="0"/>
        <w:kinsoku/>
        <w:wordWrap/>
        <w:overflowPunct/>
        <w:topLinePunct w:val="0"/>
        <w:autoSpaceDE/>
        <w:autoSpaceDN/>
        <w:bidi w:val="0"/>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应急监测报告有速报、确报、最终确报几种形式。报告的手段可采用电话、传真、电子邮件、监测快报、简报、应急监测报告等方式进行。根据现场情况和监测结果，编写现场监测报告并迅速上报应急指挥部。</w:t>
      </w:r>
    </w:p>
    <w:p w14:paraId="3668E150">
      <w:pPr>
        <w:pageBreakBefore w:val="0"/>
        <w:widowControl w:val="0"/>
        <w:kinsoku/>
        <w:wordWrap/>
        <w:overflowPunct/>
        <w:topLinePunct w:val="0"/>
        <w:autoSpaceDE/>
        <w:autoSpaceDN/>
        <w:bidi w:val="0"/>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应急监测报告的主要内容包括：</w:t>
      </w:r>
    </w:p>
    <w:p w14:paraId="7D0BC7EB">
      <w:pPr>
        <w:pageBreakBefore w:val="0"/>
        <w:widowControl w:val="0"/>
        <w:kinsoku/>
        <w:wordWrap/>
        <w:overflowPunct/>
        <w:topLinePunct w:val="0"/>
        <w:autoSpaceDE/>
        <w:autoSpaceDN/>
        <w:bidi w:val="0"/>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①事故发生的时间，接到通知的时间，到达现场监测时间；</w:t>
      </w:r>
    </w:p>
    <w:p w14:paraId="254E32F5">
      <w:pPr>
        <w:pageBreakBefore w:val="0"/>
        <w:widowControl w:val="0"/>
        <w:kinsoku/>
        <w:wordWrap/>
        <w:overflowPunct/>
        <w:topLinePunct w:val="0"/>
        <w:autoSpaceDE/>
        <w:autoSpaceDN/>
        <w:bidi w:val="0"/>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②事故发生的具体地点及周边的自然环境；</w:t>
      </w:r>
    </w:p>
    <w:p w14:paraId="79018657">
      <w:pPr>
        <w:pageBreakBefore w:val="0"/>
        <w:widowControl w:val="0"/>
        <w:kinsoku/>
        <w:wordWrap/>
        <w:overflowPunct/>
        <w:topLinePunct w:val="0"/>
        <w:autoSpaceDE/>
        <w:autoSpaceDN/>
        <w:bidi w:val="0"/>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③事故发生的性质与类型；</w:t>
      </w:r>
    </w:p>
    <w:p w14:paraId="0EA7FDC8">
      <w:pPr>
        <w:pageBreakBefore w:val="0"/>
        <w:widowControl w:val="0"/>
        <w:kinsoku/>
        <w:wordWrap/>
        <w:overflowPunct/>
        <w:topLinePunct w:val="0"/>
        <w:autoSpaceDE/>
        <w:autoSpaceDN/>
        <w:bidi w:val="0"/>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④采样断面（点位）、监测频次、监测方法；</w:t>
      </w:r>
    </w:p>
    <w:p w14:paraId="74176C33">
      <w:pPr>
        <w:pageBreakBefore w:val="0"/>
        <w:widowControl w:val="0"/>
        <w:kinsoku/>
        <w:wordWrap/>
        <w:overflowPunct/>
        <w:topLinePunct w:val="0"/>
        <w:autoSpaceDE/>
        <w:autoSpaceDN/>
        <w:bidi w:val="0"/>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⑤污染事故的性质，主要污染物的种类、排放量、浓度及影响范围；</w:t>
      </w:r>
    </w:p>
    <w:p w14:paraId="71A999D8">
      <w:pPr>
        <w:pageBreakBefore w:val="0"/>
        <w:widowControl w:val="0"/>
        <w:kinsoku/>
        <w:wordWrap/>
        <w:overflowPunct/>
        <w:topLinePunct w:val="0"/>
        <w:autoSpaceDE/>
        <w:autoSpaceDN/>
        <w:bidi w:val="0"/>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⑥污染事故的危害与损失，包括人员伤亡、事故原因等；</w:t>
      </w:r>
    </w:p>
    <w:p w14:paraId="1B7F8463">
      <w:pPr>
        <w:pageBreakBefore w:val="0"/>
        <w:widowControl w:val="0"/>
        <w:kinsoku/>
        <w:wordWrap/>
        <w:overflowPunct/>
        <w:topLinePunct w:val="0"/>
        <w:autoSpaceDE/>
        <w:autoSpaceDN/>
        <w:bidi w:val="0"/>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⑦简要说明污染物的危害特性及处理处置建议；</w:t>
      </w:r>
    </w:p>
    <w:p w14:paraId="43787A08">
      <w:pPr>
        <w:pageBreakBefore w:val="0"/>
        <w:widowControl w:val="0"/>
        <w:kinsoku/>
        <w:wordWrap/>
        <w:overflowPunct/>
        <w:topLinePunct w:val="0"/>
        <w:autoSpaceDE/>
        <w:autoSpaceDN/>
        <w:bidi w:val="0"/>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⑧应急监测现场负责人签字。</w:t>
      </w:r>
    </w:p>
    <w:p w14:paraId="57EDD498">
      <w:pPr>
        <w:pageBreakBefore w:val="0"/>
        <w:widowControl w:val="0"/>
        <w:numPr>
          <w:ilvl w:val="0"/>
          <w:numId w:val="0"/>
        </w:numPr>
        <w:kinsoku/>
        <w:wordWrap/>
        <w:overflowPunct/>
        <w:topLinePunct w:val="0"/>
        <w:autoSpaceDE/>
        <w:autoSpaceDN/>
        <w:bidi w:val="0"/>
        <w:ind w:firstLine="560" w:firstLineChars="200"/>
        <w:outlineLvl w:val="9"/>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一般要求在到达现场后及时出具第一份监测报告，然后根据监测数据跟踪预测预测污染迁移强度、速度和影响范围以及主管部门的意见定时编制报告，并报告应急处置小组作为事故处理的技术依据，直至环境污染状况消除。</w:t>
      </w:r>
    </w:p>
    <w:p w14:paraId="79201822">
      <w:pPr>
        <w:pageBreakBefore w:val="0"/>
        <w:widowControl w:val="0"/>
        <w:kinsoku/>
        <w:wordWrap/>
        <w:overflowPunct/>
        <w:topLinePunct w:val="0"/>
        <w:autoSpaceDE/>
        <w:autoSpaceDN/>
        <w:bidi w:val="0"/>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br w:type="page"/>
      </w:r>
    </w:p>
    <w:p w14:paraId="6C5BEE84">
      <w:pPr>
        <w:numPr>
          <w:ilvl w:val="0"/>
          <w:numId w:val="5"/>
        </w:numPr>
        <w:outlineLvl w:val="0"/>
        <w:rPr>
          <w:rFonts w:hint="default" w:ascii="Times New Roman" w:hAnsi="Times New Roman" w:eastAsia="仿宋" w:cs="Times New Roman"/>
          <w:b/>
          <w:bCs/>
          <w:szCs w:val="28"/>
        </w:rPr>
      </w:pPr>
      <w:bookmarkStart w:id="87" w:name="_Toc6576"/>
      <w:r>
        <w:rPr>
          <w:rFonts w:hint="default" w:ascii="Times New Roman" w:hAnsi="Times New Roman" w:eastAsia="仿宋" w:cs="Times New Roman"/>
          <w:b/>
          <w:bCs/>
          <w:szCs w:val="28"/>
        </w:rPr>
        <w:t>应对流程和措施</w:t>
      </w:r>
      <w:bookmarkEnd w:id="75"/>
      <w:bookmarkEnd w:id="76"/>
      <w:bookmarkEnd w:id="77"/>
      <w:bookmarkEnd w:id="87"/>
    </w:p>
    <w:p w14:paraId="54F1BFEC">
      <w:pPr>
        <w:outlineLvl w:val="1"/>
        <w:rPr>
          <w:rFonts w:hint="default" w:ascii="Times New Roman" w:hAnsi="Times New Roman" w:eastAsia="仿宋" w:cs="Times New Roman"/>
          <w:b/>
          <w:bCs/>
          <w:szCs w:val="28"/>
          <w:highlight w:val="none"/>
          <w:lang w:val="en-US" w:eastAsia="zh-CN"/>
        </w:rPr>
      </w:pPr>
      <w:bookmarkStart w:id="88" w:name="_Toc8832"/>
      <w:r>
        <w:rPr>
          <w:rFonts w:hint="default" w:ascii="Times New Roman" w:hAnsi="Times New Roman" w:eastAsia="仿宋" w:cs="Times New Roman"/>
          <w:b/>
          <w:bCs/>
          <w:szCs w:val="28"/>
          <w:highlight w:val="none"/>
        </w:rPr>
        <w:t>8.</w:t>
      </w:r>
      <w:r>
        <w:rPr>
          <w:rFonts w:hint="eastAsia" w:ascii="Times New Roman" w:hAnsi="Times New Roman" w:cs="Times New Roman"/>
          <w:b/>
          <w:bCs/>
          <w:szCs w:val="28"/>
          <w:highlight w:val="none"/>
          <w:lang w:val="en-US" w:eastAsia="zh-CN"/>
        </w:rPr>
        <w:t>1</w:t>
      </w:r>
      <w:r>
        <w:rPr>
          <w:rFonts w:hint="default" w:ascii="Times New Roman" w:hAnsi="Times New Roman" w:eastAsia="仿宋" w:cs="Times New Roman"/>
          <w:b/>
          <w:bCs/>
          <w:szCs w:val="28"/>
          <w:highlight w:val="none"/>
        </w:rPr>
        <w:t>应急处置</w:t>
      </w:r>
      <w:r>
        <w:rPr>
          <w:rFonts w:hint="default" w:ascii="Times New Roman" w:hAnsi="Times New Roman" w:eastAsia="仿宋" w:cs="Times New Roman"/>
          <w:b/>
          <w:bCs/>
          <w:szCs w:val="28"/>
          <w:highlight w:val="none"/>
          <w:lang w:val="en-US" w:eastAsia="zh-CN"/>
        </w:rPr>
        <w:t>措施</w:t>
      </w:r>
      <w:bookmarkEnd w:id="88"/>
    </w:p>
    <w:p w14:paraId="4213ABD9">
      <w:pPr>
        <w:ind w:firstLine="560" w:firstLineChars="200"/>
        <w:rPr>
          <w:rFonts w:hint="default" w:ascii="Times New Roman" w:hAnsi="Times New Roman" w:eastAsia="仿宋" w:cs="Times New Roman"/>
        </w:rPr>
      </w:pPr>
      <w:r>
        <w:rPr>
          <w:rFonts w:hint="default" w:ascii="Times New Roman" w:hAnsi="Times New Roman" w:eastAsia="仿宋" w:cs="Times New Roman"/>
          <w:szCs w:val="28"/>
        </w:rPr>
        <w:t>企业可能发生的突发环境事件主要包括包装桶破损或者倾倒引发的泄漏、泄漏物燃烧发生火灾/爆炸事故以及天然气管道破损、阀门故障引发的泄漏。</w:t>
      </w:r>
      <w:r>
        <w:rPr>
          <w:rFonts w:hint="default" w:ascii="Times New Roman" w:hAnsi="Times New Roman" w:eastAsia="仿宋" w:cs="Times New Roman"/>
          <w:lang w:val="en-US" w:eastAsia="zh-CN"/>
        </w:rPr>
        <w:t>各情景响应措施如下。</w:t>
      </w:r>
    </w:p>
    <w:p w14:paraId="595C915B">
      <w:pPr>
        <w:jc w:val="center"/>
        <w:rPr>
          <w:rFonts w:hint="default" w:ascii="Times New Roman" w:hAnsi="Times New Roman" w:eastAsia="仿宋" w:cs="Times New Roman"/>
          <w:szCs w:val="24"/>
          <w:highlight w:val="red"/>
        </w:rPr>
      </w:pPr>
      <w:r>
        <w:rPr>
          <w:rFonts w:hint="default" w:ascii="Times New Roman" w:hAnsi="Times New Roman" w:eastAsia="仿宋" w:cs="Times New Roman"/>
          <w:szCs w:val="24"/>
        </w:rPr>
        <w:t>表8.1  突发环境事件应急处置流程</w:t>
      </w:r>
    </w:p>
    <w:tbl>
      <w:tblPr>
        <w:tblStyle w:val="43"/>
        <w:tblW w:w="10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1"/>
        <w:gridCol w:w="1520"/>
        <w:gridCol w:w="850"/>
        <w:gridCol w:w="5329"/>
        <w:gridCol w:w="1304"/>
        <w:gridCol w:w="794"/>
      </w:tblGrid>
      <w:tr w14:paraId="72DC3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71" w:type="dxa"/>
            <w:gridSpan w:val="2"/>
            <w:shd w:val="clear" w:color="auto" w:fill="D7D7D7"/>
            <w:vAlign w:val="center"/>
          </w:tcPr>
          <w:p w14:paraId="4F413AFB">
            <w:pPr>
              <w:pStyle w:val="52"/>
              <w:rPr>
                <w:rFonts w:hint="default" w:ascii="Times New Roman" w:hAnsi="Times New Roman" w:eastAsia="仿宋" w:cs="Times New Roman"/>
              </w:rPr>
            </w:pPr>
            <w:r>
              <w:rPr>
                <w:rFonts w:hint="default" w:ascii="Times New Roman" w:hAnsi="Times New Roman" w:eastAsia="仿宋" w:cs="Times New Roman"/>
              </w:rPr>
              <w:t>源项</w:t>
            </w:r>
          </w:p>
        </w:tc>
        <w:tc>
          <w:tcPr>
            <w:tcW w:w="850" w:type="dxa"/>
            <w:shd w:val="clear" w:color="auto" w:fill="D7D7D7"/>
            <w:vAlign w:val="center"/>
          </w:tcPr>
          <w:p w14:paraId="148090BE">
            <w:pPr>
              <w:pStyle w:val="52"/>
              <w:rPr>
                <w:rFonts w:hint="default" w:ascii="Times New Roman" w:hAnsi="Times New Roman" w:eastAsia="仿宋" w:cs="Times New Roman"/>
              </w:rPr>
            </w:pPr>
            <w:r>
              <w:rPr>
                <w:rFonts w:hint="default" w:ascii="Times New Roman" w:hAnsi="Times New Roman" w:eastAsia="仿宋" w:cs="Times New Roman"/>
              </w:rPr>
              <w:t>响应级别</w:t>
            </w:r>
          </w:p>
        </w:tc>
        <w:tc>
          <w:tcPr>
            <w:tcW w:w="5329" w:type="dxa"/>
            <w:shd w:val="clear" w:color="auto" w:fill="D7D7D7"/>
            <w:vAlign w:val="center"/>
          </w:tcPr>
          <w:p w14:paraId="233D8F88">
            <w:pPr>
              <w:pStyle w:val="52"/>
              <w:rPr>
                <w:rFonts w:hint="default" w:ascii="Times New Roman" w:hAnsi="Times New Roman" w:eastAsia="仿宋" w:cs="Times New Roman"/>
              </w:rPr>
            </w:pPr>
            <w:r>
              <w:rPr>
                <w:rFonts w:hint="default" w:ascii="Times New Roman" w:hAnsi="Times New Roman" w:eastAsia="仿宋" w:cs="Times New Roman"/>
              </w:rPr>
              <w:t>应急措施</w:t>
            </w:r>
          </w:p>
        </w:tc>
        <w:tc>
          <w:tcPr>
            <w:tcW w:w="1304" w:type="dxa"/>
            <w:shd w:val="clear" w:color="auto" w:fill="D7D7D7"/>
            <w:vAlign w:val="center"/>
          </w:tcPr>
          <w:p w14:paraId="0BB82B54">
            <w:pPr>
              <w:pStyle w:val="52"/>
              <w:rPr>
                <w:rFonts w:hint="default" w:ascii="Times New Roman" w:hAnsi="Times New Roman" w:eastAsia="仿宋" w:cs="Times New Roman"/>
              </w:rPr>
            </w:pPr>
            <w:r>
              <w:rPr>
                <w:rFonts w:hint="default" w:ascii="Times New Roman" w:hAnsi="Times New Roman" w:eastAsia="仿宋" w:cs="Times New Roman"/>
              </w:rPr>
              <w:t>应急物资</w:t>
            </w:r>
          </w:p>
        </w:tc>
        <w:tc>
          <w:tcPr>
            <w:tcW w:w="794" w:type="dxa"/>
            <w:shd w:val="clear" w:color="auto" w:fill="D7D7D7"/>
            <w:vAlign w:val="center"/>
          </w:tcPr>
          <w:p w14:paraId="3362DD9A">
            <w:pPr>
              <w:pStyle w:val="52"/>
              <w:rPr>
                <w:rFonts w:hint="default" w:ascii="Times New Roman" w:hAnsi="Times New Roman" w:eastAsia="仿宋" w:cs="Times New Roman"/>
              </w:rPr>
            </w:pPr>
            <w:r>
              <w:rPr>
                <w:rFonts w:hint="default" w:ascii="Times New Roman" w:hAnsi="Times New Roman" w:eastAsia="仿宋" w:cs="Times New Roman"/>
              </w:rPr>
              <w:t>责任人</w:t>
            </w:r>
          </w:p>
        </w:tc>
      </w:tr>
      <w:tr w14:paraId="2F073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 w:type="dxa"/>
            <w:vMerge w:val="restart"/>
            <w:vAlign w:val="center"/>
          </w:tcPr>
          <w:p w14:paraId="063422ED">
            <w:pPr>
              <w:pStyle w:val="52"/>
              <w:rPr>
                <w:rFonts w:hint="default" w:ascii="Times New Roman" w:hAnsi="Times New Roman" w:eastAsia="仿宋" w:cs="Times New Roman"/>
              </w:rPr>
            </w:pPr>
            <w:r>
              <w:rPr>
                <w:rFonts w:hint="default" w:ascii="Times New Roman" w:hAnsi="Times New Roman" w:eastAsia="仿宋" w:cs="Times New Roman"/>
              </w:rPr>
              <w:t>泄漏</w:t>
            </w:r>
          </w:p>
        </w:tc>
        <w:tc>
          <w:tcPr>
            <w:tcW w:w="1520" w:type="dxa"/>
            <w:vAlign w:val="center"/>
          </w:tcPr>
          <w:p w14:paraId="192C99D1">
            <w:pPr>
              <w:pStyle w:val="52"/>
              <w:rPr>
                <w:rFonts w:hint="default" w:ascii="Times New Roman" w:hAnsi="Times New Roman" w:eastAsia="仿宋" w:cs="Times New Roman"/>
              </w:rPr>
            </w:pPr>
            <w:r>
              <w:rPr>
                <w:rFonts w:hint="default" w:ascii="Times New Roman" w:hAnsi="Times New Roman" w:eastAsia="仿宋" w:cs="Times New Roman"/>
              </w:rPr>
              <w:t>包装桶破损、内容物流出</w:t>
            </w:r>
          </w:p>
        </w:tc>
        <w:tc>
          <w:tcPr>
            <w:tcW w:w="850" w:type="dxa"/>
            <w:vAlign w:val="center"/>
          </w:tcPr>
          <w:p w14:paraId="5F15B7D9">
            <w:pPr>
              <w:pStyle w:val="52"/>
              <w:rPr>
                <w:rFonts w:hint="default" w:ascii="Times New Roman" w:hAnsi="Times New Roman" w:eastAsia="仿宋" w:cs="Times New Roman"/>
              </w:rPr>
            </w:pPr>
            <w:r>
              <w:rPr>
                <w:rFonts w:hint="default" w:ascii="Times New Roman" w:hAnsi="Times New Roman" w:eastAsia="仿宋" w:cs="Times New Roman"/>
              </w:rPr>
              <w:t>现场级</w:t>
            </w:r>
          </w:p>
        </w:tc>
        <w:tc>
          <w:tcPr>
            <w:tcW w:w="5329" w:type="dxa"/>
            <w:vAlign w:val="center"/>
          </w:tcPr>
          <w:p w14:paraId="5F3AE043">
            <w:pPr>
              <w:pStyle w:val="52"/>
              <w:jc w:val="both"/>
              <w:rPr>
                <w:rFonts w:hint="default" w:ascii="Times New Roman" w:hAnsi="Times New Roman" w:eastAsia="仿宋" w:cs="Times New Roman"/>
              </w:rPr>
            </w:pPr>
            <w:r>
              <w:rPr>
                <w:rFonts w:hint="default" w:ascii="Times New Roman" w:hAnsi="Times New Roman" w:eastAsia="仿宋" w:cs="Times New Roman"/>
              </w:rPr>
              <w:t>1.现场巡查人员发现，启动相应级别的响应</w:t>
            </w:r>
          </w:p>
          <w:p w14:paraId="70BA61C6">
            <w:pPr>
              <w:pStyle w:val="52"/>
              <w:jc w:val="both"/>
              <w:rPr>
                <w:rFonts w:hint="default" w:ascii="Times New Roman" w:hAnsi="Times New Roman" w:eastAsia="仿宋" w:cs="Times New Roman"/>
              </w:rPr>
            </w:pPr>
            <w:r>
              <w:rPr>
                <w:rFonts w:hint="default" w:ascii="Times New Roman" w:hAnsi="Times New Roman" w:eastAsia="仿宋" w:cs="Times New Roman"/>
              </w:rPr>
              <w:t>2.现场人员做好防护措施，使用吸附材料清理泄漏物料</w:t>
            </w:r>
          </w:p>
          <w:p w14:paraId="3945D74D">
            <w:pPr>
              <w:pStyle w:val="52"/>
              <w:jc w:val="both"/>
              <w:rPr>
                <w:rFonts w:hint="default" w:ascii="Times New Roman" w:hAnsi="Times New Roman" w:eastAsia="仿宋" w:cs="Times New Roman"/>
              </w:rPr>
            </w:pPr>
            <w:r>
              <w:rPr>
                <w:rFonts w:hint="default" w:ascii="Times New Roman" w:hAnsi="Times New Roman" w:eastAsia="仿宋" w:cs="Times New Roman"/>
              </w:rPr>
              <w:t>3.将吸附后废物收纳存放在事故应急桶，作为危险废弃物处理。</w:t>
            </w:r>
          </w:p>
        </w:tc>
        <w:tc>
          <w:tcPr>
            <w:tcW w:w="1304" w:type="dxa"/>
            <w:vAlign w:val="center"/>
          </w:tcPr>
          <w:p w14:paraId="47616DE1">
            <w:pPr>
              <w:pStyle w:val="52"/>
              <w:rPr>
                <w:rFonts w:hint="default" w:ascii="Times New Roman" w:hAnsi="Times New Roman" w:eastAsia="仿宋" w:cs="Times New Roman"/>
              </w:rPr>
            </w:pPr>
            <w:r>
              <w:rPr>
                <w:rFonts w:hint="default" w:ascii="Times New Roman" w:hAnsi="Times New Roman" w:eastAsia="仿宋" w:cs="Times New Roman"/>
              </w:rPr>
              <w:t>消防沙、手套、危废收容桶、防护服、吸附材料</w:t>
            </w:r>
          </w:p>
        </w:tc>
        <w:tc>
          <w:tcPr>
            <w:tcW w:w="794" w:type="dxa"/>
            <w:vAlign w:val="center"/>
          </w:tcPr>
          <w:p w14:paraId="7FC12075">
            <w:pPr>
              <w:pStyle w:val="52"/>
              <w:rPr>
                <w:rFonts w:hint="default" w:ascii="Times New Roman" w:hAnsi="Times New Roman" w:eastAsia="仿宋" w:cs="Times New Roman"/>
              </w:rPr>
            </w:pPr>
            <w:r>
              <w:rPr>
                <w:rFonts w:hint="default" w:ascii="Times New Roman" w:hAnsi="Times New Roman" w:eastAsia="仿宋" w:cs="Times New Roman"/>
              </w:rPr>
              <w:t>现场人员</w:t>
            </w:r>
          </w:p>
        </w:tc>
      </w:tr>
      <w:tr w14:paraId="1E713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 w:type="dxa"/>
            <w:vMerge w:val="continue"/>
            <w:vAlign w:val="center"/>
          </w:tcPr>
          <w:p w14:paraId="423867EA">
            <w:pPr>
              <w:pStyle w:val="52"/>
              <w:rPr>
                <w:rFonts w:hint="default" w:ascii="Times New Roman" w:hAnsi="Times New Roman" w:eastAsia="仿宋" w:cs="Times New Roman"/>
              </w:rPr>
            </w:pPr>
          </w:p>
        </w:tc>
        <w:tc>
          <w:tcPr>
            <w:tcW w:w="1520" w:type="dxa"/>
            <w:vAlign w:val="center"/>
          </w:tcPr>
          <w:p w14:paraId="08F744FE">
            <w:pPr>
              <w:pStyle w:val="52"/>
              <w:rPr>
                <w:rFonts w:hint="default" w:ascii="Times New Roman" w:hAnsi="Times New Roman" w:eastAsia="仿宋" w:cs="Times New Roman"/>
              </w:rPr>
            </w:pPr>
            <w:r>
              <w:rPr>
                <w:rFonts w:hint="default" w:ascii="Times New Roman" w:hAnsi="Times New Roman" w:eastAsia="仿宋" w:cs="Times New Roman"/>
              </w:rPr>
              <w:t>包装桶倾倒，内容物流出</w:t>
            </w:r>
          </w:p>
        </w:tc>
        <w:tc>
          <w:tcPr>
            <w:tcW w:w="850" w:type="dxa"/>
            <w:vAlign w:val="center"/>
          </w:tcPr>
          <w:p w14:paraId="111E749B">
            <w:pPr>
              <w:pStyle w:val="52"/>
              <w:rPr>
                <w:rFonts w:hint="default" w:ascii="Times New Roman" w:hAnsi="Times New Roman" w:eastAsia="仿宋" w:cs="Times New Roman"/>
              </w:rPr>
            </w:pPr>
            <w:r>
              <w:rPr>
                <w:rFonts w:hint="default" w:ascii="Times New Roman" w:hAnsi="Times New Roman" w:eastAsia="仿宋" w:cs="Times New Roman"/>
              </w:rPr>
              <w:t>现场级</w:t>
            </w:r>
          </w:p>
        </w:tc>
        <w:tc>
          <w:tcPr>
            <w:tcW w:w="5329" w:type="dxa"/>
            <w:vAlign w:val="center"/>
          </w:tcPr>
          <w:p w14:paraId="586C17DA">
            <w:pPr>
              <w:pStyle w:val="52"/>
              <w:jc w:val="both"/>
              <w:rPr>
                <w:rFonts w:hint="default" w:ascii="Times New Roman" w:hAnsi="Times New Roman" w:eastAsia="仿宋" w:cs="Times New Roman"/>
              </w:rPr>
            </w:pPr>
            <w:r>
              <w:rPr>
                <w:rFonts w:hint="default" w:ascii="Times New Roman" w:hAnsi="Times New Roman" w:eastAsia="仿宋" w:cs="Times New Roman"/>
              </w:rPr>
              <w:t>1.现场巡查人员发现，启动相应级别的响应</w:t>
            </w:r>
          </w:p>
          <w:p w14:paraId="45DBF337">
            <w:pPr>
              <w:pStyle w:val="52"/>
              <w:jc w:val="both"/>
              <w:rPr>
                <w:rFonts w:hint="default" w:ascii="Times New Roman" w:hAnsi="Times New Roman" w:eastAsia="仿宋" w:cs="Times New Roman"/>
              </w:rPr>
            </w:pPr>
            <w:r>
              <w:rPr>
                <w:rFonts w:hint="default" w:ascii="Times New Roman" w:hAnsi="Times New Roman" w:eastAsia="仿宋" w:cs="Times New Roman"/>
              </w:rPr>
              <w:t>2.现场人员做好防护措施，使用吸附材料清理泄漏物料</w:t>
            </w:r>
          </w:p>
          <w:p w14:paraId="220E69D6">
            <w:pPr>
              <w:pStyle w:val="52"/>
              <w:jc w:val="both"/>
              <w:rPr>
                <w:rFonts w:hint="default" w:ascii="Times New Roman" w:hAnsi="Times New Roman" w:eastAsia="仿宋" w:cs="Times New Roman"/>
              </w:rPr>
            </w:pPr>
            <w:r>
              <w:rPr>
                <w:rFonts w:hint="default" w:ascii="Times New Roman" w:hAnsi="Times New Roman" w:eastAsia="仿宋" w:cs="Times New Roman"/>
              </w:rPr>
              <w:t>3、将吸附后废物收纳存放在事故应急桶，作为危险废弃物处理。</w:t>
            </w:r>
          </w:p>
        </w:tc>
        <w:tc>
          <w:tcPr>
            <w:tcW w:w="1304" w:type="dxa"/>
            <w:vAlign w:val="center"/>
          </w:tcPr>
          <w:p w14:paraId="1DFEFCF4">
            <w:pPr>
              <w:pStyle w:val="52"/>
              <w:rPr>
                <w:rFonts w:hint="default" w:ascii="Times New Roman" w:hAnsi="Times New Roman" w:eastAsia="仿宋" w:cs="Times New Roman"/>
              </w:rPr>
            </w:pPr>
            <w:r>
              <w:rPr>
                <w:rFonts w:hint="default" w:ascii="Times New Roman" w:hAnsi="Times New Roman" w:eastAsia="仿宋" w:cs="Times New Roman"/>
              </w:rPr>
              <w:t>消防沙、手套、危废收容桶、防护服、吸附材料</w:t>
            </w:r>
          </w:p>
        </w:tc>
        <w:tc>
          <w:tcPr>
            <w:tcW w:w="794" w:type="dxa"/>
            <w:vAlign w:val="center"/>
          </w:tcPr>
          <w:p w14:paraId="5A3AD7AF">
            <w:pPr>
              <w:pStyle w:val="52"/>
              <w:rPr>
                <w:rFonts w:hint="default" w:ascii="Times New Roman" w:hAnsi="Times New Roman" w:eastAsia="仿宋" w:cs="Times New Roman"/>
              </w:rPr>
            </w:pPr>
            <w:r>
              <w:rPr>
                <w:rFonts w:hint="default" w:ascii="Times New Roman" w:hAnsi="Times New Roman" w:eastAsia="仿宋" w:cs="Times New Roman"/>
              </w:rPr>
              <w:t>现场人员</w:t>
            </w:r>
          </w:p>
        </w:tc>
      </w:tr>
      <w:tr w14:paraId="33273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 w:type="dxa"/>
            <w:vMerge w:val="continue"/>
            <w:vAlign w:val="center"/>
          </w:tcPr>
          <w:p w14:paraId="1EBDB107">
            <w:pPr>
              <w:pStyle w:val="52"/>
              <w:rPr>
                <w:rFonts w:hint="default" w:ascii="Times New Roman" w:hAnsi="Times New Roman" w:eastAsia="仿宋" w:cs="Times New Roman"/>
              </w:rPr>
            </w:pPr>
          </w:p>
        </w:tc>
        <w:tc>
          <w:tcPr>
            <w:tcW w:w="1520" w:type="dxa"/>
            <w:vAlign w:val="center"/>
          </w:tcPr>
          <w:p w14:paraId="6E3D1B67">
            <w:pPr>
              <w:pStyle w:val="52"/>
              <w:rPr>
                <w:rFonts w:hint="default" w:ascii="Times New Roman" w:hAnsi="Times New Roman" w:eastAsia="仿宋" w:cs="Times New Roman"/>
              </w:rPr>
            </w:pPr>
            <w:r>
              <w:rPr>
                <w:rFonts w:hint="default" w:ascii="Times New Roman" w:hAnsi="Times New Roman" w:eastAsia="仿宋" w:cs="Times New Roman"/>
              </w:rPr>
              <w:t>天然气管道破损、阀门故障引发的天然气泄漏</w:t>
            </w:r>
          </w:p>
        </w:tc>
        <w:tc>
          <w:tcPr>
            <w:tcW w:w="850" w:type="dxa"/>
            <w:vAlign w:val="center"/>
          </w:tcPr>
          <w:p w14:paraId="395131A9">
            <w:pPr>
              <w:pStyle w:val="52"/>
              <w:rPr>
                <w:rFonts w:hint="default" w:ascii="Times New Roman" w:hAnsi="Times New Roman" w:eastAsia="仿宋" w:cs="Times New Roman"/>
              </w:rPr>
            </w:pPr>
            <w:r>
              <w:rPr>
                <w:rFonts w:hint="default" w:ascii="Times New Roman" w:hAnsi="Times New Roman" w:eastAsia="仿宋" w:cs="Times New Roman"/>
              </w:rPr>
              <w:t>社会级</w:t>
            </w:r>
          </w:p>
        </w:tc>
        <w:tc>
          <w:tcPr>
            <w:tcW w:w="5329" w:type="dxa"/>
            <w:vAlign w:val="center"/>
          </w:tcPr>
          <w:p w14:paraId="43FE7714">
            <w:pPr>
              <w:pStyle w:val="52"/>
              <w:jc w:val="both"/>
              <w:rPr>
                <w:rFonts w:hint="default" w:ascii="Times New Roman" w:hAnsi="Times New Roman" w:eastAsia="仿宋" w:cs="Times New Roman"/>
              </w:rPr>
            </w:pPr>
            <w:r>
              <w:rPr>
                <w:rFonts w:hint="default" w:ascii="Times New Roman" w:hAnsi="Times New Roman" w:eastAsia="仿宋" w:cs="Times New Roman"/>
              </w:rPr>
              <w:t>1.</w:t>
            </w:r>
            <w:r>
              <w:rPr>
                <w:rFonts w:hint="default" w:ascii="Times New Roman" w:hAnsi="Times New Roman" w:eastAsia="仿宋" w:cs="Times New Roman"/>
              </w:rPr>
              <w:tab/>
            </w:r>
            <w:r>
              <w:rPr>
                <w:rFonts w:hint="default" w:ascii="Times New Roman" w:hAnsi="Times New Roman" w:eastAsia="仿宋" w:cs="Times New Roman"/>
              </w:rPr>
              <w:t>火灾发生后，现场人员立即到室外上报应急救援办公室，同时应急保障组提供救援物资；</w:t>
            </w:r>
          </w:p>
          <w:p w14:paraId="656E95A4">
            <w:pPr>
              <w:pStyle w:val="52"/>
              <w:jc w:val="both"/>
              <w:rPr>
                <w:rFonts w:hint="default" w:ascii="Times New Roman" w:hAnsi="Times New Roman" w:eastAsia="仿宋" w:cs="Times New Roman"/>
              </w:rPr>
            </w:pPr>
            <w:r>
              <w:rPr>
                <w:rFonts w:hint="default" w:ascii="Times New Roman" w:hAnsi="Times New Roman" w:eastAsia="仿宋" w:cs="Times New Roman"/>
              </w:rPr>
              <w:t>2.</w:t>
            </w:r>
            <w:r>
              <w:rPr>
                <w:rFonts w:hint="default" w:ascii="Times New Roman" w:hAnsi="Times New Roman" w:eastAsia="仿宋" w:cs="Times New Roman"/>
              </w:rPr>
              <w:tab/>
            </w:r>
            <w:r>
              <w:rPr>
                <w:rFonts w:hint="default" w:ascii="Times New Roman" w:hAnsi="Times New Roman" w:eastAsia="仿宋" w:cs="Times New Roman"/>
              </w:rPr>
              <w:t>应急救援办公室启动相对级别的响应，并向经开区区应急指挥中心和经开区生态环境局报告；</w:t>
            </w:r>
          </w:p>
          <w:p w14:paraId="5E6F917D">
            <w:pPr>
              <w:pStyle w:val="52"/>
              <w:jc w:val="both"/>
              <w:rPr>
                <w:rFonts w:hint="default" w:ascii="Times New Roman" w:hAnsi="Times New Roman" w:eastAsia="仿宋" w:cs="Times New Roman"/>
              </w:rPr>
            </w:pPr>
            <w:r>
              <w:rPr>
                <w:rFonts w:hint="default" w:ascii="Times New Roman" w:hAnsi="Times New Roman" w:eastAsia="仿宋" w:cs="Times New Roman"/>
              </w:rPr>
              <w:t>3. 立即疏散与应急无关人员撤离，拦阻外部人员、实时监控警戒线处检测数据、监护危险区域内的应急人员；</w:t>
            </w:r>
          </w:p>
          <w:p w14:paraId="4ED1F75B">
            <w:pPr>
              <w:pStyle w:val="52"/>
              <w:jc w:val="both"/>
              <w:rPr>
                <w:rFonts w:hint="default" w:ascii="Times New Roman" w:hAnsi="Times New Roman" w:eastAsia="仿宋" w:cs="Times New Roman"/>
              </w:rPr>
            </w:pPr>
            <w:r>
              <w:rPr>
                <w:rFonts w:hint="default" w:ascii="Times New Roman" w:hAnsi="Times New Roman" w:eastAsia="仿宋" w:cs="Times New Roman"/>
              </w:rPr>
              <w:t>4.现场处置组做好防护措施，对事故现场进行应急处理，现场熄灭周围明火，严禁启闭任何电器设备，同时打开门窗进行自然通风。</w:t>
            </w:r>
          </w:p>
          <w:p w14:paraId="1EC2BBDC">
            <w:pPr>
              <w:pStyle w:val="52"/>
              <w:jc w:val="both"/>
              <w:rPr>
                <w:rFonts w:hint="default" w:ascii="Times New Roman" w:hAnsi="Times New Roman" w:eastAsia="仿宋" w:cs="Times New Roman"/>
              </w:rPr>
            </w:pPr>
            <w:r>
              <w:rPr>
                <w:rFonts w:hint="default" w:ascii="Times New Roman" w:hAnsi="Times New Roman" w:eastAsia="仿宋" w:cs="Times New Roman"/>
              </w:rPr>
              <w:t>5. 查找确定泄漏点、进行抢维修。</w:t>
            </w:r>
          </w:p>
          <w:p w14:paraId="7AEAE1F4">
            <w:pPr>
              <w:pStyle w:val="52"/>
              <w:jc w:val="both"/>
              <w:rPr>
                <w:rFonts w:hint="default" w:ascii="Times New Roman" w:hAnsi="Times New Roman" w:eastAsia="仿宋" w:cs="Times New Roman"/>
              </w:rPr>
            </w:pPr>
            <w:r>
              <w:rPr>
                <w:rFonts w:hint="default" w:ascii="Times New Roman" w:hAnsi="Times New Roman" w:eastAsia="仿宋" w:cs="Times New Roman"/>
              </w:rPr>
              <w:t>6.应急结束后对事故点及周边进行全面检查。</w:t>
            </w:r>
          </w:p>
        </w:tc>
        <w:tc>
          <w:tcPr>
            <w:tcW w:w="1304" w:type="dxa"/>
            <w:vAlign w:val="center"/>
          </w:tcPr>
          <w:p w14:paraId="1FEB4B5F">
            <w:pPr>
              <w:pStyle w:val="52"/>
              <w:rPr>
                <w:rFonts w:hint="default" w:ascii="Times New Roman" w:hAnsi="Times New Roman" w:eastAsia="仿宋" w:cs="Times New Roman"/>
              </w:rPr>
            </w:pPr>
            <w:r>
              <w:rPr>
                <w:rFonts w:hint="default" w:ascii="Times New Roman" w:hAnsi="Times New Roman" w:eastAsia="仿宋" w:cs="Times New Roman"/>
              </w:rPr>
              <w:t>防护服、急救箱</w:t>
            </w:r>
          </w:p>
        </w:tc>
        <w:tc>
          <w:tcPr>
            <w:tcW w:w="794" w:type="dxa"/>
            <w:vAlign w:val="center"/>
          </w:tcPr>
          <w:p w14:paraId="20B74D8F">
            <w:pPr>
              <w:pStyle w:val="52"/>
              <w:rPr>
                <w:rFonts w:hint="default" w:ascii="Times New Roman" w:hAnsi="Times New Roman" w:eastAsia="仿宋" w:cs="Times New Roman"/>
              </w:rPr>
            </w:pPr>
            <w:r>
              <w:rPr>
                <w:rFonts w:hint="default" w:ascii="Times New Roman" w:hAnsi="Times New Roman" w:eastAsia="仿宋" w:cs="Times New Roman"/>
              </w:rPr>
              <w:t>应急总指挥</w:t>
            </w:r>
          </w:p>
        </w:tc>
      </w:tr>
      <w:tr w14:paraId="51C14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 w:type="dxa"/>
            <w:vMerge w:val="restart"/>
            <w:vAlign w:val="center"/>
          </w:tcPr>
          <w:p w14:paraId="77D1E162">
            <w:pPr>
              <w:pStyle w:val="52"/>
              <w:rPr>
                <w:rFonts w:hint="default" w:ascii="Times New Roman" w:hAnsi="Times New Roman" w:eastAsia="仿宋" w:cs="Times New Roman"/>
              </w:rPr>
            </w:pPr>
            <w:r>
              <w:rPr>
                <w:rFonts w:hint="default" w:ascii="Times New Roman" w:hAnsi="Times New Roman" w:eastAsia="仿宋" w:cs="Times New Roman"/>
              </w:rPr>
              <w:t>火灾、爆炸</w:t>
            </w:r>
          </w:p>
        </w:tc>
        <w:tc>
          <w:tcPr>
            <w:tcW w:w="1520" w:type="dxa"/>
            <w:vAlign w:val="center"/>
          </w:tcPr>
          <w:p w14:paraId="49C060AA">
            <w:pPr>
              <w:pStyle w:val="52"/>
              <w:rPr>
                <w:rFonts w:hint="default" w:ascii="Times New Roman" w:hAnsi="Times New Roman" w:eastAsia="仿宋" w:cs="Times New Roman"/>
              </w:rPr>
            </w:pPr>
            <w:r>
              <w:rPr>
                <w:rFonts w:hint="default" w:ascii="Times New Roman" w:hAnsi="Times New Roman" w:eastAsia="仿宋" w:cs="Times New Roman"/>
              </w:rPr>
              <w:t>风险物质泄漏后，遇明火发生火灾事故</w:t>
            </w:r>
          </w:p>
        </w:tc>
        <w:tc>
          <w:tcPr>
            <w:tcW w:w="850" w:type="dxa"/>
            <w:vAlign w:val="center"/>
          </w:tcPr>
          <w:p w14:paraId="74494188">
            <w:pPr>
              <w:pStyle w:val="52"/>
              <w:rPr>
                <w:rFonts w:hint="default" w:ascii="Times New Roman" w:hAnsi="Times New Roman" w:eastAsia="仿宋" w:cs="Times New Roman"/>
              </w:rPr>
            </w:pPr>
            <w:r>
              <w:rPr>
                <w:rFonts w:hint="default" w:ascii="Times New Roman" w:hAnsi="Times New Roman" w:eastAsia="仿宋" w:cs="Times New Roman"/>
              </w:rPr>
              <w:t>公司级</w:t>
            </w:r>
          </w:p>
        </w:tc>
        <w:tc>
          <w:tcPr>
            <w:tcW w:w="5329" w:type="dxa"/>
            <w:vAlign w:val="center"/>
          </w:tcPr>
          <w:p w14:paraId="3963EE33">
            <w:pPr>
              <w:pStyle w:val="52"/>
              <w:jc w:val="both"/>
              <w:rPr>
                <w:rFonts w:hint="default" w:ascii="Times New Roman" w:hAnsi="Times New Roman" w:eastAsia="仿宋" w:cs="Times New Roman"/>
              </w:rPr>
            </w:pPr>
            <w:r>
              <w:rPr>
                <w:rFonts w:hint="default" w:ascii="Times New Roman" w:hAnsi="Times New Roman" w:eastAsia="仿宋" w:cs="Times New Roman"/>
              </w:rPr>
              <w:t>1.火灾发生后，现场人员立即上报应急救援办公室，同时应急保障组提供救援物资；</w:t>
            </w:r>
          </w:p>
          <w:p w14:paraId="49B5F4AA">
            <w:pPr>
              <w:pStyle w:val="52"/>
              <w:jc w:val="both"/>
              <w:rPr>
                <w:rFonts w:hint="default" w:ascii="Times New Roman" w:hAnsi="Times New Roman" w:eastAsia="仿宋" w:cs="Times New Roman"/>
              </w:rPr>
            </w:pPr>
            <w:r>
              <w:rPr>
                <w:rFonts w:hint="default" w:ascii="Times New Roman" w:hAnsi="Times New Roman" w:eastAsia="仿宋" w:cs="Times New Roman"/>
              </w:rPr>
              <w:t>2.应急救援办公室启动相对级别的响应；</w:t>
            </w:r>
          </w:p>
          <w:p w14:paraId="64780B4D">
            <w:pPr>
              <w:pStyle w:val="52"/>
              <w:jc w:val="both"/>
              <w:rPr>
                <w:rFonts w:hint="default" w:ascii="Times New Roman" w:hAnsi="Times New Roman" w:eastAsia="仿宋" w:cs="Times New Roman"/>
              </w:rPr>
            </w:pPr>
            <w:r>
              <w:rPr>
                <w:rFonts w:hint="default" w:ascii="Times New Roman" w:hAnsi="Times New Roman" w:eastAsia="仿宋" w:cs="Times New Roman"/>
              </w:rPr>
              <w:t>3.现场处置组做好防护措施，对事故现场进行应急处理，开展灭火措施；</w:t>
            </w:r>
          </w:p>
          <w:p w14:paraId="6C56783D">
            <w:pPr>
              <w:pStyle w:val="52"/>
              <w:jc w:val="both"/>
              <w:rPr>
                <w:rFonts w:hint="default" w:ascii="Times New Roman" w:hAnsi="Times New Roman" w:eastAsia="仿宋" w:cs="Times New Roman"/>
              </w:rPr>
            </w:pPr>
            <w:r>
              <w:rPr>
                <w:rFonts w:hint="default" w:ascii="Times New Roman" w:hAnsi="Times New Roman" w:eastAsia="仿宋" w:cs="Times New Roman"/>
              </w:rPr>
              <w:t>4、应急结束后对现场废物进行收集处置。</w:t>
            </w:r>
          </w:p>
        </w:tc>
        <w:tc>
          <w:tcPr>
            <w:tcW w:w="1304" w:type="dxa"/>
            <w:vAlign w:val="center"/>
          </w:tcPr>
          <w:p w14:paraId="4C4FB23F">
            <w:pPr>
              <w:pStyle w:val="52"/>
              <w:rPr>
                <w:rFonts w:hint="default" w:ascii="Times New Roman" w:hAnsi="Times New Roman" w:eastAsia="仿宋" w:cs="Times New Roman"/>
              </w:rPr>
            </w:pPr>
            <w:r>
              <w:rPr>
                <w:rFonts w:hint="default" w:ascii="Times New Roman" w:hAnsi="Times New Roman" w:eastAsia="仿宋" w:cs="Times New Roman"/>
              </w:rPr>
              <w:t>消防沙、手套、危废收容桶、防护服</w:t>
            </w:r>
          </w:p>
        </w:tc>
        <w:tc>
          <w:tcPr>
            <w:tcW w:w="794" w:type="dxa"/>
            <w:vAlign w:val="center"/>
          </w:tcPr>
          <w:p w14:paraId="2875FEEB">
            <w:pPr>
              <w:pStyle w:val="52"/>
              <w:rPr>
                <w:rFonts w:hint="default" w:ascii="Times New Roman" w:hAnsi="Times New Roman" w:eastAsia="仿宋" w:cs="Times New Roman"/>
              </w:rPr>
            </w:pPr>
            <w:r>
              <w:rPr>
                <w:rFonts w:hint="default" w:ascii="Times New Roman" w:hAnsi="Times New Roman" w:eastAsia="仿宋" w:cs="Times New Roman"/>
              </w:rPr>
              <w:t>应急总指挥</w:t>
            </w:r>
          </w:p>
        </w:tc>
      </w:tr>
      <w:tr w14:paraId="583B8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 w:type="dxa"/>
            <w:vMerge w:val="continue"/>
            <w:vAlign w:val="center"/>
          </w:tcPr>
          <w:p w14:paraId="7E4D460A">
            <w:pPr>
              <w:pStyle w:val="52"/>
              <w:rPr>
                <w:rFonts w:hint="default" w:ascii="Times New Roman" w:hAnsi="Times New Roman" w:eastAsia="仿宋" w:cs="Times New Roman"/>
              </w:rPr>
            </w:pPr>
          </w:p>
        </w:tc>
        <w:tc>
          <w:tcPr>
            <w:tcW w:w="1520" w:type="dxa"/>
            <w:vAlign w:val="center"/>
          </w:tcPr>
          <w:p w14:paraId="7584EECE">
            <w:pPr>
              <w:pStyle w:val="52"/>
              <w:rPr>
                <w:rFonts w:hint="default" w:ascii="Times New Roman" w:hAnsi="Times New Roman" w:eastAsia="仿宋" w:cs="Times New Roman"/>
              </w:rPr>
            </w:pPr>
            <w:r>
              <w:rPr>
                <w:rFonts w:hint="default" w:ascii="Times New Roman" w:hAnsi="Times New Roman" w:eastAsia="仿宋" w:cs="Times New Roman"/>
              </w:rPr>
              <w:t>风险物质泄漏后，遇明火发生火灾事故，引发更多风险物质泄漏，火情扩大，依靠外部消防救援力量喷水降温，次生消防废水</w:t>
            </w:r>
          </w:p>
        </w:tc>
        <w:tc>
          <w:tcPr>
            <w:tcW w:w="850" w:type="dxa"/>
            <w:vAlign w:val="center"/>
          </w:tcPr>
          <w:p w14:paraId="07CA5ABD">
            <w:pPr>
              <w:pStyle w:val="52"/>
              <w:rPr>
                <w:rFonts w:hint="default" w:ascii="Times New Roman" w:hAnsi="Times New Roman" w:eastAsia="仿宋" w:cs="Times New Roman"/>
              </w:rPr>
            </w:pPr>
            <w:r>
              <w:rPr>
                <w:rFonts w:hint="default" w:ascii="Times New Roman" w:hAnsi="Times New Roman" w:eastAsia="仿宋" w:cs="Times New Roman"/>
              </w:rPr>
              <w:t>社会级</w:t>
            </w:r>
          </w:p>
        </w:tc>
        <w:tc>
          <w:tcPr>
            <w:tcW w:w="5329" w:type="dxa"/>
            <w:vAlign w:val="center"/>
          </w:tcPr>
          <w:p w14:paraId="7907A88C">
            <w:pPr>
              <w:pStyle w:val="52"/>
              <w:jc w:val="both"/>
              <w:rPr>
                <w:rFonts w:hint="default" w:ascii="Times New Roman" w:hAnsi="Times New Roman" w:eastAsia="仿宋" w:cs="Times New Roman"/>
              </w:rPr>
            </w:pPr>
            <w:r>
              <w:rPr>
                <w:rFonts w:hint="default" w:ascii="Times New Roman" w:hAnsi="Times New Roman" w:eastAsia="仿宋" w:cs="Times New Roman"/>
              </w:rPr>
              <w:t>1.火灾发生后，现场人员立即上报应急救援办公室，同时应急保障组提供救援物资；</w:t>
            </w:r>
          </w:p>
          <w:p w14:paraId="35DA034A">
            <w:pPr>
              <w:pStyle w:val="52"/>
              <w:jc w:val="both"/>
              <w:rPr>
                <w:rFonts w:hint="default" w:ascii="Times New Roman" w:hAnsi="Times New Roman" w:eastAsia="仿宋" w:cs="Times New Roman"/>
              </w:rPr>
            </w:pPr>
            <w:r>
              <w:rPr>
                <w:rFonts w:hint="default" w:ascii="Times New Roman" w:hAnsi="Times New Roman" w:eastAsia="仿宋" w:cs="Times New Roman"/>
              </w:rPr>
              <w:t>2.应急救援办公室启动相对级别的响应；</w:t>
            </w:r>
          </w:p>
          <w:p w14:paraId="07BCEE40">
            <w:pPr>
              <w:pStyle w:val="52"/>
              <w:jc w:val="both"/>
              <w:rPr>
                <w:rFonts w:hint="default" w:ascii="Times New Roman" w:hAnsi="Times New Roman" w:eastAsia="仿宋" w:cs="Times New Roman"/>
              </w:rPr>
            </w:pPr>
            <w:r>
              <w:rPr>
                <w:rFonts w:hint="default" w:ascii="Times New Roman" w:hAnsi="Times New Roman" w:eastAsia="仿宋" w:cs="Times New Roman"/>
              </w:rPr>
              <w:t>3.现场处置组做好防护措施，对事故现场进行应急处理，开展灭火措施，同时用沙袋对风险单元进行封堵，保证受污染的事故废水不会外流出厂外；</w:t>
            </w:r>
          </w:p>
          <w:p w14:paraId="760CC1D9">
            <w:pPr>
              <w:pStyle w:val="52"/>
              <w:jc w:val="both"/>
              <w:rPr>
                <w:rFonts w:hint="default" w:ascii="Times New Roman" w:hAnsi="Times New Roman" w:eastAsia="仿宋" w:cs="Times New Roman"/>
              </w:rPr>
            </w:pPr>
            <w:r>
              <w:rPr>
                <w:rFonts w:hint="default" w:ascii="Times New Roman" w:hAnsi="Times New Roman" w:eastAsia="仿宋" w:cs="Times New Roman"/>
              </w:rPr>
              <w:t>4.根据事故发展情况，由应急救援办公室联系相关部门报告险情；由应急疏散组疏导相关人员；由应急保障组对受伤人员进行护送转运；</w:t>
            </w:r>
          </w:p>
          <w:p w14:paraId="62758F4D">
            <w:pPr>
              <w:pStyle w:val="52"/>
              <w:jc w:val="both"/>
              <w:rPr>
                <w:rFonts w:hint="default" w:ascii="Times New Roman" w:hAnsi="Times New Roman" w:eastAsia="仿宋" w:cs="Times New Roman"/>
              </w:rPr>
            </w:pPr>
            <w:r>
              <w:rPr>
                <w:rFonts w:hint="default" w:ascii="Times New Roman" w:hAnsi="Times New Roman" w:eastAsia="仿宋" w:cs="Times New Roman"/>
              </w:rPr>
              <w:t>5.应急结束后应急疏散组联系相关部门负责人对废水水质进行监测，若满足污水排放标准则委托清运单位运至污水处理厂；若不满足排放标准则需交有危废处理资质单位处理。</w:t>
            </w:r>
          </w:p>
        </w:tc>
        <w:tc>
          <w:tcPr>
            <w:tcW w:w="1304" w:type="dxa"/>
            <w:vAlign w:val="center"/>
          </w:tcPr>
          <w:p w14:paraId="53076559">
            <w:pPr>
              <w:pStyle w:val="52"/>
              <w:rPr>
                <w:rFonts w:hint="default" w:ascii="Times New Roman" w:hAnsi="Times New Roman" w:eastAsia="仿宋" w:cs="Times New Roman"/>
              </w:rPr>
            </w:pPr>
            <w:r>
              <w:rPr>
                <w:rFonts w:hint="default" w:ascii="Times New Roman" w:hAnsi="Times New Roman" w:eastAsia="仿宋" w:cs="Times New Roman"/>
              </w:rPr>
              <w:t>消防沙、手套、防护服、沙袋</w:t>
            </w:r>
          </w:p>
        </w:tc>
        <w:tc>
          <w:tcPr>
            <w:tcW w:w="794" w:type="dxa"/>
            <w:vAlign w:val="center"/>
          </w:tcPr>
          <w:p w14:paraId="5DC7E225">
            <w:pPr>
              <w:pStyle w:val="52"/>
              <w:rPr>
                <w:rFonts w:hint="default" w:ascii="Times New Roman" w:hAnsi="Times New Roman" w:eastAsia="仿宋" w:cs="Times New Roman"/>
              </w:rPr>
            </w:pPr>
            <w:r>
              <w:rPr>
                <w:rFonts w:hint="default" w:ascii="Times New Roman" w:hAnsi="Times New Roman" w:eastAsia="仿宋" w:cs="Times New Roman"/>
              </w:rPr>
              <w:t>应急总指挥</w:t>
            </w:r>
          </w:p>
        </w:tc>
      </w:tr>
      <w:tr w14:paraId="6E610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1" w:type="dxa"/>
            <w:gridSpan w:val="2"/>
            <w:vAlign w:val="center"/>
          </w:tcPr>
          <w:p w14:paraId="7E6934FF">
            <w:pPr>
              <w:pStyle w:val="52"/>
              <w:rPr>
                <w:rFonts w:hint="default" w:ascii="Times New Roman" w:hAnsi="Times New Roman" w:eastAsia="仿宋" w:cs="Times New Roman"/>
              </w:rPr>
            </w:pPr>
            <w:bookmarkStart w:id="89" w:name="_Toc24319_WPSOffice_Level2"/>
            <w:r>
              <w:rPr>
                <w:rFonts w:hint="default" w:ascii="Times New Roman" w:hAnsi="Times New Roman" w:eastAsia="仿宋" w:cs="Times New Roman"/>
              </w:rPr>
              <w:t>环保设施失效</w:t>
            </w:r>
          </w:p>
        </w:tc>
        <w:tc>
          <w:tcPr>
            <w:tcW w:w="850" w:type="dxa"/>
            <w:vAlign w:val="center"/>
          </w:tcPr>
          <w:p w14:paraId="25231419">
            <w:pPr>
              <w:pStyle w:val="52"/>
              <w:rPr>
                <w:rFonts w:hint="default" w:ascii="Times New Roman" w:hAnsi="Times New Roman" w:eastAsia="仿宋" w:cs="Times New Roman"/>
              </w:rPr>
            </w:pPr>
            <w:r>
              <w:rPr>
                <w:rFonts w:hint="default" w:ascii="Times New Roman" w:hAnsi="Times New Roman" w:eastAsia="仿宋" w:cs="Times New Roman"/>
              </w:rPr>
              <w:t>公司级</w:t>
            </w:r>
          </w:p>
        </w:tc>
        <w:tc>
          <w:tcPr>
            <w:tcW w:w="5329" w:type="dxa"/>
            <w:vAlign w:val="center"/>
          </w:tcPr>
          <w:p w14:paraId="4DC6C77E">
            <w:pPr>
              <w:pStyle w:val="52"/>
              <w:jc w:val="both"/>
              <w:rPr>
                <w:rFonts w:hint="default" w:ascii="Times New Roman" w:hAnsi="Times New Roman" w:eastAsia="仿宋" w:cs="Times New Roman"/>
              </w:rPr>
            </w:pPr>
            <w:r>
              <w:rPr>
                <w:rFonts w:hint="default" w:ascii="Times New Roman" w:hAnsi="Times New Roman" w:eastAsia="仿宋" w:cs="Times New Roman"/>
              </w:rPr>
              <w:t>1.及时停工检修；</w:t>
            </w:r>
          </w:p>
          <w:p w14:paraId="5DE00064">
            <w:pPr>
              <w:pStyle w:val="52"/>
              <w:jc w:val="both"/>
              <w:rPr>
                <w:rFonts w:hint="default" w:ascii="Times New Roman" w:hAnsi="Times New Roman" w:eastAsia="仿宋" w:cs="Times New Roman"/>
              </w:rPr>
            </w:pPr>
            <w:r>
              <w:rPr>
                <w:rFonts w:hint="default" w:ascii="Times New Roman" w:hAnsi="Times New Roman" w:eastAsia="仿宋" w:cs="Times New Roman"/>
              </w:rPr>
              <w:t>2.为控制污染事件发生，对设施运行进行日常管控。</w:t>
            </w:r>
          </w:p>
        </w:tc>
        <w:tc>
          <w:tcPr>
            <w:tcW w:w="1304" w:type="dxa"/>
            <w:vAlign w:val="center"/>
          </w:tcPr>
          <w:p w14:paraId="757BF170">
            <w:pPr>
              <w:pStyle w:val="52"/>
              <w:rPr>
                <w:rFonts w:hint="default" w:ascii="Times New Roman" w:hAnsi="Times New Roman" w:eastAsia="仿宋" w:cs="Times New Roman"/>
              </w:rPr>
            </w:pPr>
            <w:r>
              <w:rPr>
                <w:rFonts w:hint="default" w:ascii="Times New Roman" w:hAnsi="Times New Roman" w:eastAsia="仿宋" w:cs="Times New Roman"/>
              </w:rPr>
              <w:t>/</w:t>
            </w:r>
          </w:p>
        </w:tc>
        <w:tc>
          <w:tcPr>
            <w:tcW w:w="794" w:type="dxa"/>
            <w:vAlign w:val="center"/>
          </w:tcPr>
          <w:p w14:paraId="2EEA5238">
            <w:pPr>
              <w:pStyle w:val="52"/>
              <w:rPr>
                <w:rFonts w:hint="default" w:ascii="Times New Roman" w:hAnsi="Times New Roman" w:eastAsia="仿宋" w:cs="Times New Roman"/>
              </w:rPr>
            </w:pPr>
            <w:r>
              <w:rPr>
                <w:rFonts w:hint="default" w:ascii="Times New Roman" w:hAnsi="Times New Roman" w:eastAsia="仿宋" w:cs="Times New Roman"/>
              </w:rPr>
              <w:t>应急总指挥</w:t>
            </w:r>
          </w:p>
        </w:tc>
      </w:tr>
    </w:tbl>
    <w:p w14:paraId="1AE2CBFE">
      <w:pPr>
        <w:outlineLvl w:val="1"/>
        <w:rPr>
          <w:rFonts w:hint="default" w:ascii="Times New Roman" w:hAnsi="Times New Roman" w:eastAsia="仿宋" w:cs="Times New Roman"/>
          <w:b/>
          <w:bCs/>
          <w:szCs w:val="24"/>
        </w:rPr>
      </w:pPr>
      <w:bookmarkStart w:id="90" w:name="_Toc25093"/>
      <w:r>
        <w:rPr>
          <w:rFonts w:hint="default" w:ascii="Times New Roman" w:hAnsi="Times New Roman" w:eastAsia="仿宋" w:cs="Times New Roman"/>
          <w:b/>
          <w:bCs/>
          <w:szCs w:val="28"/>
        </w:rPr>
        <w:t>8.</w:t>
      </w:r>
      <w:r>
        <w:rPr>
          <w:rFonts w:hint="eastAsia" w:ascii="Times New Roman" w:hAnsi="Times New Roman" w:cs="Times New Roman"/>
          <w:b/>
          <w:bCs/>
          <w:szCs w:val="28"/>
          <w:lang w:val="en-US" w:eastAsia="zh-CN"/>
        </w:rPr>
        <w:t>2</w:t>
      </w:r>
      <w:r>
        <w:rPr>
          <w:rFonts w:hint="default" w:ascii="Times New Roman" w:hAnsi="Times New Roman" w:eastAsia="仿宋" w:cs="Times New Roman"/>
          <w:b/>
          <w:bCs/>
          <w:szCs w:val="28"/>
        </w:rPr>
        <w:t>关键岗位应急处置卡</w:t>
      </w:r>
      <w:bookmarkEnd w:id="90"/>
    </w:p>
    <w:p w14:paraId="09B8830D">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本公司风险物质暂存量较小，突发环境事件情形下的首要任务是确保可控的污染物不排入外环境，具体体现为泄漏物或次生消防废水不流入外环境，需要现场处置组高度警惕，一旦火灾严重，及时围堵风险单元，同时联络园区相关部门封堵园区雨水总排口。</w:t>
      </w:r>
    </w:p>
    <w:p w14:paraId="068850E9">
      <w:pPr>
        <w:spacing w:line="240" w:lineRule="auto"/>
        <w:jc w:val="center"/>
        <w:rPr>
          <w:rFonts w:hint="default" w:ascii="Times New Roman" w:hAnsi="Times New Roman" w:eastAsia="仿宋" w:cs="Times New Roman"/>
          <w:szCs w:val="28"/>
        </w:rPr>
      </w:pPr>
      <w:r>
        <w:rPr>
          <w:rFonts w:hint="default" w:ascii="Times New Roman" w:hAnsi="Times New Roman" w:eastAsia="仿宋" w:cs="Times New Roman"/>
          <w:szCs w:val="28"/>
        </w:rPr>
        <w:t>表8.2-1  关键岗位应急处置卡-1</w:t>
      </w:r>
    </w:p>
    <w:tbl>
      <w:tblPr>
        <w:tblStyle w:val="43"/>
        <w:tblW w:w="9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3"/>
        <w:gridCol w:w="7854"/>
      </w:tblGrid>
      <w:tr w14:paraId="1F15A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03" w:type="dxa"/>
            <w:shd w:val="clear" w:color="auto" w:fill="D7D7D7"/>
            <w:vAlign w:val="center"/>
          </w:tcPr>
          <w:p w14:paraId="36949D30">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关键岗位</w:t>
            </w:r>
          </w:p>
        </w:tc>
        <w:tc>
          <w:tcPr>
            <w:tcW w:w="7854" w:type="dxa"/>
            <w:shd w:val="clear" w:color="auto" w:fill="auto"/>
            <w:vAlign w:val="center"/>
          </w:tcPr>
          <w:p w14:paraId="7E5F0A28">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污染物控制</w:t>
            </w:r>
          </w:p>
        </w:tc>
      </w:tr>
      <w:tr w14:paraId="50F14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03" w:type="dxa"/>
            <w:shd w:val="clear" w:color="auto" w:fill="D7D7D7"/>
            <w:vAlign w:val="center"/>
          </w:tcPr>
          <w:p w14:paraId="1D4B0C75">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责任人</w:t>
            </w:r>
          </w:p>
        </w:tc>
        <w:tc>
          <w:tcPr>
            <w:tcW w:w="7854" w:type="dxa"/>
            <w:shd w:val="clear" w:color="auto" w:fill="auto"/>
            <w:vAlign w:val="center"/>
          </w:tcPr>
          <w:p w14:paraId="6329AD7B">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现场处置组</w:t>
            </w:r>
          </w:p>
        </w:tc>
      </w:tr>
      <w:tr w14:paraId="44A0D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03" w:type="dxa"/>
            <w:shd w:val="clear" w:color="auto" w:fill="D7D7D7"/>
            <w:vAlign w:val="center"/>
          </w:tcPr>
          <w:p w14:paraId="52E6E691">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应急处置要求</w:t>
            </w:r>
          </w:p>
        </w:tc>
        <w:tc>
          <w:tcPr>
            <w:tcW w:w="7854" w:type="dxa"/>
            <w:shd w:val="clear" w:color="auto" w:fill="auto"/>
            <w:vAlign w:val="center"/>
          </w:tcPr>
          <w:p w14:paraId="7F2835B1">
            <w:pPr>
              <w:spacing w:line="288" w:lineRule="auto"/>
              <w:ind w:firstLine="240" w:firstLineChars="1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一旦火灾严重，及时围堵风险单元，同时联络园区相关部门封堵园区雨水总排口。</w:t>
            </w:r>
          </w:p>
        </w:tc>
      </w:tr>
      <w:tr w14:paraId="05DFC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03" w:type="dxa"/>
            <w:shd w:val="clear" w:color="auto" w:fill="D7D7D7"/>
            <w:vAlign w:val="center"/>
          </w:tcPr>
          <w:p w14:paraId="68B8FEAC">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联络方式</w:t>
            </w:r>
          </w:p>
        </w:tc>
        <w:tc>
          <w:tcPr>
            <w:tcW w:w="7854" w:type="dxa"/>
            <w:shd w:val="clear" w:color="auto" w:fill="auto"/>
            <w:vAlign w:val="center"/>
          </w:tcPr>
          <w:p w14:paraId="1C0EFBD5">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天津泰达弘泰物业服务有限公司</w:t>
            </w:r>
          </w:p>
        </w:tc>
      </w:tr>
    </w:tbl>
    <w:p w14:paraId="757061A9">
      <w:pPr>
        <w:spacing w:before="120" w:beforeLines="50" w:line="240" w:lineRule="auto"/>
        <w:jc w:val="center"/>
        <w:rPr>
          <w:rFonts w:hint="default" w:ascii="Times New Roman" w:hAnsi="Times New Roman" w:eastAsia="仿宋" w:cs="Times New Roman"/>
          <w:szCs w:val="28"/>
        </w:rPr>
      </w:pPr>
      <w:r>
        <w:rPr>
          <w:rFonts w:hint="default" w:ascii="Times New Roman" w:hAnsi="Times New Roman" w:eastAsia="仿宋" w:cs="Times New Roman"/>
          <w:szCs w:val="28"/>
        </w:rPr>
        <w:t>表8.2-2  关键岗位应急处置卡-2</w:t>
      </w:r>
    </w:p>
    <w:tbl>
      <w:tblPr>
        <w:tblStyle w:val="43"/>
        <w:tblW w:w="98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3"/>
        <w:gridCol w:w="7767"/>
      </w:tblGrid>
      <w:tr w14:paraId="125E0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03" w:type="dxa"/>
            <w:shd w:val="clear" w:color="auto" w:fill="D7D7D7"/>
            <w:vAlign w:val="center"/>
          </w:tcPr>
          <w:p w14:paraId="735F7D6A">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关键岗位</w:t>
            </w:r>
          </w:p>
        </w:tc>
        <w:tc>
          <w:tcPr>
            <w:tcW w:w="7767" w:type="dxa"/>
            <w:shd w:val="clear" w:color="auto" w:fill="auto"/>
            <w:vAlign w:val="center"/>
          </w:tcPr>
          <w:p w14:paraId="315B3070">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泄漏事故应急处置</w:t>
            </w:r>
          </w:p>
        </w:tc>
      </w:tr>
      <w:tr w14:paraId="1FAD6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03" w:type="dxa"/>
            <w:shd w:val="clear" w:color="auto" w:fill="D7D7D7"/>
            <w:vAlign w:val="center"/>
          </w:tcPr>
          <w:p w14:paraId="3C16AC71">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责任人</w:t>
            </w:r>
          </w:p>
        </w:tc>
        <w:tc>
          <w:tcPr>
            <w:tcW w:w="7767" w:type="dxa"/>
            <w:shd w:val="clear" w:color="auto" w:fill="auto"/>
            <w:vAlign w:val="center"/>
          </w:tcPr>
          <w:p w14:paraId="4CE2463D">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现场处置组</w:t>
            </w:r>
          </w:p>
        </w:tc>
      </w:tr>
      <w:tr w14:paraId="0395E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03" w:type="dxa"/>
            <w:shd w:val="clear" w:color="auto" w:fill="D7D7D7"/>
            <w:vAlign w:val="center"/>
          </w:tcPr>
          <w:p w14:paraId="5B6869EC">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应急处置要求</w:t>
            </w:r>
          </w:p>
        </w:tc>
        <w:tc>
          <w:tcPr>
            <w:tcW w:w="7767" w:type="dxa"/>
            <w:shd w:val="clear" w:color="auto" w:fill="auto"/>
            <w:vAlign w:val="center"/>
          </w:tcPr>
          <w:p w14:paraId="4FB457B4">
            <w:pPr>
              <w:numPr>
                <w:ilvl w:val="0"/>
                <w:numId w:val="6"/>
              </w:numPr>
              <w:spacing w:line="288" w:lineRule="auto"/>
              <w:ind w:firstLine="240" w:firstLineChars="1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将破损包装桶放入收集桶</w:t>
            </w:r>
          </w:p>
          <w:p w14:paraId="54956D7B">
            <w:pPr>
              <w:numPr>
                <w:ilvl w:val="0"/>
                <w:numId w:val="6"/>
              </w:numPr>
              <w:spacing w:line="288" w:lineRule="auto"/>
              <w:ind w:firstLine="240" w:firstLineChars="1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用消防沙吸附泄漏物，将现场清理干净。吸附废物作为危废放入收容桶，暂存于危废间。</w:t>
            </w:r>
          </w:p>
        </w:tc>
      </w:tr>
      <w:tr w14:paraId="7844A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03" w:type="dxa"/>
            <w:shd w:val="clear" w:color="auto" w:fill="D7D7D7"/>
            <w:vAlign w:val="center"/>
          </w:tcPr>
          <w:p w14:paraId="27CE854B">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上报须知</w:t>
            </w:r>
          </w:p>
        </w:tc>
        <w:tc>
          <w:tcPr>
            <w:tcW w:w="7767" w:type="dxa"/>
            <w:shd w:val="clear" w:color="auto" w:fill="auto"/>
            <w:vAlign w:val="center"/>
          </w:tcPr>
          <w:p w14:paraId="38DC58BA">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若现场处置无法控制，第一时间上报应急救援办公室（13930672359）</w:t>
            </w:r>
          </w:p>
        </w:tc>
      </w:tr>
      <w:tr w14:paraId="0919A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03" w:type="dxa"/>
            <w:shd w:val="clear" w:color="auto" w:fill="D7D7D7"/>
            <w:vAlign w:val="center"/>
          </w:tcPr>
          <w:p w14:paraId="7BC1B88F">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应急物资</w:t>
            </w:r>
          </w:p>
        </w:tc>
        <w:tc>
          <w:tcPr>
            <w:tcW w:w="7767" w:type="dxa"/>
            <w:shd w:val="clear" w:color="auto" w:fill="auto"/>
            <w:vAlign w:val="center"/>
          </w:tcPr>
          <w:p w14:paraId="51D23A76">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消防沙、手套、危废收容桶、防护服、吸附材料</w:t>
            </w:r>
          </w:p>
        </w:tc>
      </w:tr>
    </w:tbl>
    <w:p w14:paraId="38EBC56C">
      <w:pPr>
        <w:spacing w:before="120" w:beforeLines="50" w:line="240" w:lineRule="auto"/>
        <w:jc w:val="center"/>
        <w:rPr>
          <w:rFonts w:hint="default" w:ascii="Times New Roman" w:hAnsi="Times New Roman" w:eastAsia="仿宋" w:cs="Times New Roman"/>
          <w:szCs w:val="28"/>
        </w:rPr>
      </w:pPr>
      <w:r>
        <w:rPr>
          <w:rFonts w:hint="default" w:ascii="Times New Roman" w:hAnsi="Times New Roman" w:eastAsia="仿宋" w:cs="Times New Roman"/>
          <w:szCs w:val="28"/>
        </w:rPr>
        <w:t>表8.2-3  关键岗位应急处置卡-3</w:t>
      </w:r>
    </w:p>
    <w:tbl>
      <w:tblPr>
        <w:tblStyle w:val="43"/>
        <w:tblW w:w="98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3"/>
        <w:gridCol w:w="7767"/>
      </w:tblGrid>
      <w:tr w14:paraId="065D9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03" w:type="dxa"/>
            <w:shd w:val="clear" w:color="auto" w:fill="D7D7D7"/>
            <w:vAlign w:val="center"/>
          </w:tcPr>
          <w:p w14:paraId="48019C9F">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关键岗位</w:t>
            </w:r>
          </w:p>
        </w:tc>
        <w:tc>
          <w:tcPr>
            <w:tcW w:w="7767" w:type="dxa"/>
            <w:shd w:val="clear" w:color="auto" w:fill="auto"/>
            <w:vAlign w:val="center"/>
          </w:tcPr>
          <w:p w14:paraId="00E2582E">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危废间事故应急处置</w:t>
            </w:r>
          </w:p>
        </w:tc>
      </w:tr>
      <w:tr w14:paraId="5F357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03" w:type="dxa"/>
            <w:shd w:val="clear" w:color="auto" w:fill="D7D7D7"/>
            <w:vAlign w:val="center"/>
          </w:tcPr>
          <w:p w14:paraId="505FBCDE">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责任人</w:t>
            </w:r>
          </w:p>
        </w:tc>
        <w:tc>
          <w:tcPr>
            <w:tcW w:w="7767" w:type="dxa"/>
            <w:shd w:val="clear" w:color="auto" w:fill="auto"/>
            <w:vAlign w:val="center"/>
          </w:tcPr>
          <w:p w14:paraId="03DD6342">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现场处置组</w:t>
            </w:r>
          </w:p>
        </w:tc>
      </w:tr>
      <w:tr w14:paraId="7C80F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03" w:type="dxa"/>
            <w:shd w:val="clear" w:color="auto" w:fill="D7D7D7"/>
            <w:vAlign w:val="center"/>
          </w:tcPr>
          <w:p w14:paraId="222006EA">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应急处置要求</w:t>
            </w:r>
          </w:p>
        </w:tc>
        <w:tc>
          <w:tcPr>
            <w:tcW w:w="7767" w:type="dxa"/>
            <w:shd w:val="clear" w:color="auto" w:fill="auto"/>
            <w:vAlign w:val="center"/>
          </w:tcPr>
          <w:p w14:paraId="41B5F88E">
            <w:pPr>
              <w:spacing w:line="288" w:lineRule="auto"/>
              <w:ind w:firstLine="240" w:firstLineChars="1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1、将破损的危险废物暂存于危险废物收容桶内</w:t>
            </w:r>
          </w:p>
          <w:p w14:paraId="7D0D263D">
            <w:pPr>
              <w:spacing w:line="288" w:lineRule="auto"/>
              <w:ind w:firstLine="240" w:firstLineChars="1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2、用消防沙吸附泄漏物，将现场清理干净。吸附废物作为危废放入收容桶，暂存于危废间。</w:t>
            </w:r>
          </w:p>
        </w:tc>
      </w:tr>
      <w:tr w14:paraId="62136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03" w:type="dxa"/>
            <w:shd w:val="clear" w:color="auto" w:fill="D7D7D7"/>
            <w:vAlign w:val="center"/>
          </w:tcPr>
          <w:p w14:paraId="7B853898">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上报须知</w:t>
            </w:r>
          </w:p>
        </w:tc>
        <w:tc>
          <w:tcPr>
            <w:tcW w:w="7767" w:type="dxa"/>
            <w:shd w:val="clear" w:color="auto" w:fill="auto"/>
            <w:vAlign w:val="center"/>
          </w:tcPr>
          <w:p w14:paraId="40D90EA3">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若现场处置无法控制，第一时间上报应急救援办公室（13930672359）</w:t>
            </w:r>
          </w:p>
        </w:tc>
      </w:tr>
      <w:tr w14:paraId="674B4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03" w:type="dxa"/>
            <w:shd w:val="clear" w:color="auto" w:fill="D7D7D7"/>
            <w:vAlign w:val="center"/>
          </w:tcPr>
          <w:p w14:paraId="1C7B2D09">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应急物资</w:t>
            </w:r>
          </w:p>
        </w:tc>
        <w:tc>
          <w:tcPr>
            <w:tcW w:w="7767" w:type="dxa"/>
            <w:shd w:val="clear" w:color="auto" w:fill="auto"/>
            <w:vAlign w:val="center"/>
          </w:tcPr>
          <w:p w14:paraId="3C7B752E">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消防沙、手套、危废收容桶、防护服、吸附材料</w:t>
            </w:r>
          </w:p>
        </w:tc>
      </w:tr>
    </w:tbl>
    <w:p w14:paraId="4DFFA851">
      <w:pPr>
        <w:spacing w:before="120" w:beforeLines="50" w:line="240" w:lineRule="auto"/>
        <w:jc w:val="center"/>
        <w:rPr>
          <w:rFonts w:hint="default" w:ascii="Times New Roman" w:hAnsi="Times New Roman" w:eastAsia="仿宋" w:cs="Times New Roman"/>
          <w:b/>
          <w:bCs/>
          <w:sz w:val="24"/>
          <w:szCs w:val="24"/>
        </w:rPr>
      </w:pPr>
      <w:r>
        <w:rPr>
          <w:rFonts w:hint="default" w:ascii="Times New Roman" w:hAnsi="Times New Roman" w:eastAsia="仿宋" w:cs="Times New Roman"/>
          <w:szCs w:val="28"/>
        </w:rPr>
        <w:t>表8.2-4  关键岗位应急处置卡-4</w:t>
      </w:r>
    </w:p>
    <w:tbl>
      <w:tblPr>
        <w:tblStyle w:val="43"/>
        <w:tblW w:w="99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3"/>
        <w:gridCol w:w="7824"/>
      </w:tblGrid>
      <w:tr w14:paraId="636D4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03" w:type="dxa"/>
            <w:shd w:val="clear" w:color="auto" w:fill="D7D7D7"/>
            <w:vAlign w:val="center"/>
          </w:tcPr>
          <w:p w14:paraId="63E8FA19">
            <w:pPr>
              <w:spacing w:line="288" w:lineRule="auto"/>
              <w:jc w:val="center"/>
              <w:rPr>
                <w:rFonts w:hint="default" w:ascii="Times New Roman" w:hAnsi="Times New Roman" w:eastAsia="仿宋" w:cs="Times New Roman"/>
                <w:sz w:val="24"/>
                <w:szCs w:val="24"/>
              </w:rPr>
            </w:pPr>
            <w:bookmarkStart w:id="91" w:name="_Hlk175142453"/>
            <w:r>
              <w:rPr>
                <w:rFonts w:hint="default" w:ascii="Times New Roman" w:hAnsi="Times New Roman" w:eastAsia="仿宋" w:cs="Times New Roman"/>
                <w:sz w:val="24"/>
                <w:szCs w:val="24"/>
              </w:rPr>
              <w:t>关键岗位</w:t>
            </w:r>
          </w:p>
        </w:tc>
        <w:tc>
          <w:tcPr>
            <w:tcW w:w="7824" w:type="dxa"/>
            <w:shd w:val="clear" w:color="auto" w:fill="auto"/>
            <w:vAlign w:val="center"/>
          </w:tcPr>
          <w:p w14:paraId="7BCF86A4">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火灾事故应急处置</w:t>
            </w:r>
          </w:p>
        </w:tc>
      </w:tr>
      <w:tr w14:paraId="30A6D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03" w:type="dxa"/>
            <w:shd w:val="clear" w:color="auto" w:fill="D7D7D7"/>
            <w:vAlign w:val="center"/>
          </w:tcPr>
          <w:p w14:paraId="7178C7B7">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责任人</w:t>
            </w:r>
          </w:p>
        </w:tc>
        <w:tc>
          <w:tcPr>
            <w:tcW w:w="7824" w:type="dxa"/>
            <w:shd w:val="clear" w:color="auto" w:fill="auto"/>
            <w:vAlign w:val="center"/>
          </w:tcPr>
          <w:p w14:paraId="41929D3C">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现场处置组</w:t>
            </w:r>
          </w:p>
        </w:tc>
      </w:tr>
      <w:tr w14:paraId="037FB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03" w:type="dxa"/>
            <w:shd w:val="clear" w:color="auto" w:fill="D7D7D7"/>
            <w:vAlign w:val="center"/>
          </w:tcPr>
          <w:p w14:paraId="0B21B49E">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应急处置要求</w:t>
            </w:r>
          </w:p>
        </w:tc>
        <w:tc>
          <w:tcPr>
            <w:tcW w:w="7824" w:type="dxa"/>
            <w:shd w:val="clear" w:color="auto" w:fill="auto"/>
            <w:vAlign w:val="center"/>
          </w:tcPr>
          <w:p w14:paraId="271AC63A">
            <w:pPr>
              <w:spacing w:line="288" w:lineRule="auto"/>
              <w:ind w:firstLine="240" w:firstLineChars="1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1、火灾发生后做好防护措施，使用灭火器进行灭火。</w:t>
            </w:r>
          </w:p>
          <w:p w14:paraId="493354B8">
            <w:pPr>
              <w:spacing w:line="288" w:lineRule="auto"/>
              <w:ind w:firstLine="240" w:firstLineChars="1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2、火灾结束后用消防沙吸附未燃烧的泄漏物，将现场清理干净。吸附废物作为危废放入收容桶，暂存于危废间。</w:t>
            </w:r>
          </w:p>
          <w:p w14:paraId="5145F2C8">
            <w:pPr>
              <w:spacing w:line="288" w:lineRule="auto"/>
              <w:ind w:firstLine="240" w:firstLineChars="1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3、若发生大型火灾，及时围堵风险单元，防止风险物质流出厂外。</w:t>
            </w:r>
          </w:p>
        </w:tc>
      </w:tr>
      <w:tr w14:paraId="2D3BC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03" w:type="dxa"/>
            <w:shd w:val="clear" w:color="auto" w:fill="D7D7D7"/>
            <w:vAlign w:val="center"/>
          </w:tcPr>
          <w:p w14:paraId="55B44E37">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责任人</w:t>
            </w:r>
          </w:p>
        </w:tc>
        <w:tc>
          <w:tcPr>
            <w:tcW w:w="7824" w:type="dxa"/>
            <w:shd w:val="clear" w:color="auto" w:fill="auto"/>
            <w:vAlign w:val="center"/>
          </w:tcPr>
          <w:p w14:paraId="01296CB3">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应急保障组</w:t>
            </w:r>
          </w:p>
        </w:tc>
      </w:tr>
      <w:tr w14:paraId="3554D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03" w:type="dxa"/>
            <w:shd w:val="clear" w:color="auto" w:fill="D7D7D7"/>
            <w:vAlign w:val="center"/>
          </w:tcPr>
          <w:p w14:paraId="68FD9C65">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应急处置要求</w:t>
            </w:r>
          </w:p>
        </w:tc>
        <w:tc>
          <w:tcPr>
            <w:tcW w:w="7824" w:type="dxa"/>
            <w:shd w:val="clear" w:color="auto" w:fill="auto"/>
            <w:vAlign w:val="center"/>
          </w:tcPr>
          <w:p w14:paraId="6465C929">
            <w:pPr>
              <w:spacing w:line="288" w:lineRule="auto"/>
              <w:ind w:firstLine="240" w:firstLineChars="1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1、准备必要应急物资</w:t>
            </w:r>
          </w:p>
          <w:p w14:paraId="2FE312CC">
            <w:pPr>
              <w:spacing w:line="288" w:lineRule="auto"/>
              <w:ind w:firstLine="240" w:firstLineChars="1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2、对受伤人员进行护送转运</w:t>
            </w:r>
          </w:p>
        </w:tc>
      </w:tr>
      <w:tr w14:paraId="38F41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03" w:type="dxa"/>
            <w:shd w:val="clear" w:color="auto" w:fill="D7D7D7"/>
            <w:vAlign w:val="center"/>
          </w:tcPr>
          <w:p w14:paraId="13616B82">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责任人</w:t>
            </w:r>
          </w:p>
        </w:tc>
        <w:tc>
          <w:tcPr>
            <w:tcW w:w="7824" w:type="dxa"/>
            <w:shd w:val="clear" w:color="auto" w:fill="auto"/>
            <w:vAlign w:val="center"/>
          </w:tcPr>
          <w:p w14:paraId="1B662708">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应急疏散组</w:t>
            </w:r>
          </w:p>
        </w:tc>
      </w:tr>
      <w:tr w14:paraId="48432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03" w:type="dxa"/>
            <w:shd w:val="clear" w:color="auto" w:fill="D7D7D7"/>
            <w:vAlign w:val="center"/>
          </w:tcPr>
          <w:p w14:paraId="07570240">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应急处置要求</w:t>
            </w:r>
          </w:p>
        </w:tc>
        <w:tc>
          <w:tcPr>
            <w:tcW w:w="7824" w:type="dxa"/>
            <w:shd w:val="clear" w:color="auto" w:fill="auto"/>
            <w:vAlign w:val="center"/>
          </w:tcPr>
          <w:p w14:paraId="2FFE04A7">
            <w:pPr>
              <w:spacing w:line="288" w:lineRule="auto"/>
              <w:ind w:firstLine="240" w:firstLineChars="1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1、疏散无关人员</w:t>
            </w:r>
          </w:p>
          <w:p w14:paraId="3F05455F">
            <w:pPr>
              <w:spacing w:line="288" w:lineRule="auto"/>
              <w:ind w:firstLine="240" w:firstLineChars="1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2、联系应急监测单位进行事后监测</w:t>
            </w:r>
          </w:p>
        </w:tc>
      </w:tr>
      <w:tr w14:paraId="7F04A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03" w:type="dxa"/>
            <w:shd w:val="clear" w:color="auto" w:fill="D7D7D7"/>
            <w:vAlign w:val="center"/>
          </w:tcPr>
          <w:p w14:paraId="53D65308">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上报须知</w:t>
            </w:r>
          </w:p>
        </w:tc>
        <w:tc>
          <w:tcPr>
            <w:tcW w:w="7824" w:type="dxa"/>
            <w:shd w:val="clear" w:color="auto" w:fill="auto"/>
            <w:vAlign w:val="center"/>
          </w:tcPr>
          <w:p w14:paraId="603C292E">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若现场处置无法控制，第一时间上报应急救援办公室（13930672359）</w:t>
            </w:r>
          </w:p>
        </w:tc>
      </w:tr>
      <w:tr w14:paraId="0315C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03" w:type="dxa"/>
            <w:shd w:val="clear" w:color="auto" w:fill="D7D7D7"/>
            <w:vAlign w:val="center"/>
          </w:tcPr>
          <w:p w14:paraId="7105DE41">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应急物资</w:t>
            </w:r>
          </w:p>
        </w:tc>
        <w:tc>
          <w:tcPr>
            <w:tcW w:w="7824" w:type="dxa"/>
            <w:shd w:val="clear" w:color="auto" w:fill="auto"/>
            <w:vAlign w:val="center"/>
          </w:tcPr>
          <w:p w14:paraId="092C49BF">
            <w:pPr>
              <w:spacing w:line="288"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消防沙、手套、危废收容桶、防护服、吸附材料</w:t>
            </w:r>
          </w:p>
        </w:tc>
      </w:tr>
      <w:bookmarkEnd w:id="91"/>
    </w:tbl>
    <w:p w14:paraId="759A26E3">
      <w:pPr>
        <w:outlineLvl w:val="1"/>
        <w:rPr>
          <w:rFonts w:hint="default" w:ascii="Times New Roman" w:hAnsi="Times New Roman" w:eastAsia="仿宋" w:cs="Times New Roman"/>
          <w:b/>
          <w:bCs/>
          <w:szCs w:val="28"/>
          <w:highlight w:val="none"/>
        </w:rPr>
      </w:pPr>
      <w:bookmarkStart w:id="92" w:name="_Toc23310"/>
      <w:r>
        <w:rPr>
          <w:rFonts w:hint="default" w:ascii="Times New Roman" w:hAnsi="Times New Roman" w:eastAsia="仿宋" w:cs="Times New Roman"/>
          <w:b/>
          <w:bCs/>
          <w:szCs w:val="28"/>
          <w:highlight w:val="none"/>
        </w:rPr>
        <w:t>8.</w:t>
      </w:r>
      <w:r>
        <w:rPr>
          <w:rFonts w:hint="eastAsia" w:ascii="Times New Roman" w:hAnsi="Times New Roman" w:cs="Times New Roman"/>
          <w:b/>
          <w:bCs/>
          <w:szCs w:val="28"/>
          <w:highlight w:val="none"/>
          <w:lang w:val="en-US" w:eastAsia="zh-CN"/>
        </w:rPr>
        <w:t>3</w:t>
      </w:r>
      <w:r>
        <w:rPr>
          <w:rFonts w:hint="default" w:ascii="Times New Roman" w:hAnsi="Times New Roman" w:eastAsia="仿宋" w:cs="Times New Roman"/>
          <w:b/>
          <w:bCs/>
          <w:szCs w:val="28"/>
          <w:highlight w:val="none"/>
        </w:rPr>
        <w:t>应急设施（备）及应急物资的启用程序</w:t>
      </w:r>
      <w:bookmarkEnd w:id="89"/>
      <w:bookmarkEnd w:id="92"/>
    </w:p>
    <w:p w14:paraId="35D2DA03">
      <w:pPr>
        <w:ind w:firstLine="560" w:firstLineChars="200"/>
        <w:rPr>
          <w:rFonts w:hint="default" w:ascii="Times New Roman" w:hAnsi="Times New Roman" w:eastAsia="仿宋" w:cs="Times New Roman"/>
          <w:szCs w:val="28"/>
          <w:highlight w:val="none"/>
        </w:rPr>
      </w:pPr>
      <w:r>
        <w:rPr>
          <w:rFonts w:hint="default" w:ascii="Times New Roman" w:hAnsi="Times New Roman" w:eastAsia="仿宋" w:cs="Times New Roman"/>
          <w:szCs w:val="28"/>
          <w:highlight w:val="none"/>
        </w:rPr>
        <w:t>公司设有应急物资暂存柜，暂存柜钥匙保管人及联系方式为：</w:t>
      </w:r>
    </w:p>
    <w:p w14:paraId="7502861E">
      <w:pPr>
        <w:ind w:firstLine="560" w:firstLineChars="200"/>
        <w:rPr>
          <w:rFonts w:hint="default" w:ascii="Times New Roman" w:hAnsi="Times New Roman" w:eastAsia="仿宋" w:cs="Times New Roman"/>
          <w:szCs w:val="28"/>
          <w:highlight w:val="none"/>
        </w:rPr>
      </w:pPr>
      <w:r>
        <w:rPr>
          <w:rFonts w:hint="default" w:ascii="Times New Roman" w:hAnsi="Times New Roman" w:eastAsia="仿宋" w:cs="Times New Roman"/>
          <w:szCs w:val="28"/>
          <w:highlight w:val="none"/>
        </w:rPr>
        <w:t>陈凯</w:t>
      </w:r>
      <w:r>
        <w:rPr>
          <w:rFonts w:hint="default" w:ascii="Times New Roman" w:hAnsi="Times New Roman" w:eastAsia="仿宋" w:cs="Times New Roman"/>
          <w:szCs w:val="28"/>
          <w:highlight w:val="none"/>
          <w:lang w:val="en-US" w:eastAsia="zh-CN"/>
        </w:rPr>
        <w:t xml:space="preserve">  </w:t>
      </w:r>
      <w:r>
        <w:rPr>
          <w:rFonts w:hint="default" w:ascii="Times New Roman" w:hAnsi="Times New Roman" w:eastAsia="仿宋" w:cs="Times New Roman"/>
          <w:szCs w:val="28"/>
          <w:highlight w:val="none"/>
        </w:rPr>
        <w:t>13831627022</w:t>
      </w:r>
    </w:p>
    <w:p w14:paraId="7CE035B7">
      <w:pPr>
        <w:outlineLvl w:val="1"/>
        <w:rPr>
          <w:rFonts w:hint="default" w:ascii="Times New Roman" w:hAnsi="Times New Roman" w:eastAsia="仿宋" w:cs="Times New Roman"/>
          <w:b/>
          <w:bCs/>
          <w:szCs w:val="28"/>
        </w:rPr>
      </w:pPr>
      <w:bookmarkStart w:id="93" w:name="_Toc11456_WPSOffice_Level2"/>
      <w:bookmarkStart w:id="94" w:name="_Toc14553"/>
      <w:r>
        <w:rPr>
          <w:rFonts w:hint="default" w:ascii="Times New Roman" w:hAnsi="Times New Roman" w:eastAsia="仿宋" w:cs="Times New Roman"/>
          <w:b/>
          <w:bCs/>
          <w:szCs w:val="28"/>
        </w:rPr>
        <w:t>8.</w:t>
      </w:r>
      <w:r>
        <w:rPr>
          <w:rFonts w:hint="eastAsia" w:ascii="Times New Roman" w:hAnsi="Times New Roman" w:cs="Times New Roman"/>
          <w:b/>
          <w:bCs/>
          <w:szCs w:val="28"/>
          <w:lang w:val="en-US" w:eastAsia="zh-CN"/>
        </w:rPr>
        <w:t>4</w:t>
      </w:r>
      <w:r>
        <w:rPr>
          <w:rFonts w:hint="default" w:ascii="Times New Roman" w:hAnsi="Times New Roman" w:eastAsia="仿宋" w:cs="Times New Roman"/>
          <w:b/>
          <w:bCs/>
          <w:szCs w:val="28"/>
        </w:rPr>
        <w:t>人员紧急撤离和疏散</w:t>
      </w:r>
      <w:bookmarkEnd w:id="93"/>
      <w:bookmarkEnd w:id="94"/>
    </w:p>
    <w:p w14:paraId="4079A165">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本公司风险物质暂存量较小，实验规模较小，根据风险评估分析，突发环境事件对环境的危害较小。突发火灾/爆炸环境事件时，应急疏散组需要配合园区有关部门在附近设立警戒，禁止无关人员进入警戒范围内。若事故短时间无法得到有效控制，需配合有关部门对现场进行人员疏散，疏散时应向事故发生的上风向或侧风向快速撤离。</w:t>
      </w:r>
    </w:p>
    <w:p w14:paraId="1E658EB8">
      <w:pPr>
        <w:rPr>
          <w:rFonts w:hint="default" w:ascii="Times New Roman" w:hAnsi="Times New Roman" w:eastAsia="仿宋" w:cs="Times New Roman"/>
          <w:szCs w:val="28"/>
        </w:rPr>
        <w:sectPr>
          <w:pgSz w:w="11905" w:h="16838"/>
          <w:pgMar w:top="1440" w:right="1083" w:bottom="1440" w:left="1083" w:header="737" w:footer="567" w:gutter="0"/>
          <w:cols w:space="0" w:num="1"/>
          <w:rtlGutter w:val="0"/>
          <w:docGrid w:linePitch="0" w:charSpace="0"/>
        </w:sectPr>
      </w:pPr>
      <w:bookmarkStart w:id="95" w:name="_Toc268247552"/>
      <w:bookmarkStart w:id="96" w:name="_Toc382151144"/>
      <w:bookmarkStart w:id="97" w:name="_Toc28293_WPSOffice_Level2"/>
      <w:bookmarkStart w:id="98" w:name="_Toc12621"/>
      <w:bookmarkStart w:id="99" w:name="_Toc335765606"/>
    </w:p>
    <w:p w14:paraId="26102814">
      <w:pPr>
        <w:outlineLvl w:val="0"/>
        <w:rPr>
          <w:rFonts w:hint="default" w:ascii="Times New Roman" w:hAnsi="Times New Roman" w:eastAsia="仿宋" w:cs="Times New Roman"/>
          <w:b/>
          <w:bCs/>
          <w:szCs w:val="28"/>
        </w:rPr>
      </w:pPr>
      <w:bookmarkStart w:id="100" w:name="_Toc13747"/>
      <w:r>
        <w:rPr>
          <w:rFonts w:hint="default" w:ascii="Times New Roman" w:hAnsi="Times New Roman" w:eastAsia="仿宋" w:cs="Times New Roman"/>
          <w:b/>
          <w:bCs/>
          <w:szCs w:val="28"/>
        </w:rPr>
        <w:t>9.应急终止</w:t>
      </w:r>
      <w:bookmarkEnd w:id="95"/>
      <w:bookmarkEnd w:id="96"/>
      <w:bookmarkEnd w:id="97"/>
      <w:bookmarkEnd w:id="98"/>
      <w:bookmarkEnd w:id="99"/>
      <w:bookmarkEnd w:id="100"/>
    </w:p>
    <w:p w14:paraId="54DE60A7">
      <w:pPr>
        <w:outlineLvl w:val="1"/>
        <w:rPr>
          <w:rFonts w:hint="default" w:ascii="Times New Roman" w:hAnsi="Times New Roman" w:eastAsia="仿宋" w:cs="Times New Roman"/>
          <w:b/>
          <w:bCs/>
          <w:szCs w:val="28"/>
        </w:rPr>
      </w:pPr>
      <w:bookmarkStart w:id="101" w:name="_Toc268247553"/>
      <w:bookmarkStart w:id="102" w:name="_Toc335765607"/>
      <w:bookmarkStart w:id="103" w:name="_Toc27047"/>
      <w:r>
        <w:rPr>
          <w:rFonts w:hint="default" w:ascii="Times New Roman" w:hAnsi="Times New Roman" w:eastAsia="仿宋" w:cs="Times New Roman"/>
          <w:b/>
          <w:bCs/>
          <w:szCs w:val="28"/>
        </w:rPr>
        <w:t>9.1应急终止的条件</w:t>
      </w:r>
      <w:bookmarkEnd w:id="101"/>
      <w:bookmarkEnd w:id="102"/>
      <w:bookmarkEnd w:id="103"/>
    </w:p>
    <w:p w14:paraId="722EDB41">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（1）事故现场得到控制，污染物不再泄漏或释放，或者污染物的泄漏或释放已降至规定限值以内；</w:t>
      </w:r>
    </w:p>
    <w:p w14:paraId="0A9E3EBC">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（2）事件所造成的危害已经被彻底消除，无继发可能；</w:t>
      </w:r>
    </w:p>
    <w:p w14:paraId="73D957FC">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（3）采取了必要的防护措施以保护公众免受再次危害，并使事件可能引起的中长期影响趋于合理且尽量减少危害。</w:t>
      </w:r>
    </w:p>
    <w:p w14:paraId="74114665">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（4）导致次生、衍生事故隐患消除。</w:t>
      </w:r>
      <w:bookmarkStart w:id="104" w:name="_Toc330284333"/>
      <w:bookmarkStart w:id="105" w:name="_Toc335765608"/>
    </w:p>
    <w:p w14:paraId="55C6879A">
      <w:pPr>
        <w:outlineLvl w:val="1"/>
        <w:rPr>
          <w:rFonts w:hint="default" w:ascii="Times New Roman" w:hAnsi="Times New Roman" w:eastAsia="仿宋" w:cs="Times New Roman"/>
          <w:b/>
          <w:bCs/>
          <w:szCs w:val="28"/>
        </w:rPr>
      </w:pPr>
      <w:bookmarkStart w:id="106" w:name="_Toc18099"/>
      <w:r>
        <w:rPr>
          <w:rFonts w:hint="default" w:ascii="Times New Roman" w:hAnsi="Times New Roman" w:eastAsia="仿宋" w:cs="Times New Roman"/>
          <w:b/>
          <w:bCs/>
          <w:szCs w:val="28"/>
        </w:rPr>
        <w:t>9.2应急终止</w:t>
      </w:r>
      <w:bookmarkEnd w:id="104"/>
      <w:bookmarkEnd w:id="105"/>
      <w:bookmarkEnd w:id="106"/>
    </w:p>
    <w:p w14:paraId="3C4D02FA">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经应急救援办公室确认满足相应应急预案终止条件时，由总指挥下达应急终止指令。应急状态终止后，根据有关指示和实际情况继续进行环境监测和评价工作。</w:t>
      </w:r>
    </w:p>
    <w:p w14:paraId="7177F71A">
      <w:pPr>
        <w:outlineLvl w:val="0"/>
        <w:rPr>
          <w:rFonts w:hint="default" w:ascii="Times New Roman" w:hAnsi="Times New Roman" w:eastAsia="仿宋" w:cs="Times New Roman"/>
          <w:b/>
          <w:bCs/>
          <w:szCs w:val="28"/>
        </w:rPr>
      </w:pPr>
      <w:bookmarkStart w:id="107" w:name="_Toc29226"/>
      <w:r>
        <w:rPr>
          <w:rFonts w:hint="default" w:ascii="Times New Roman" w:hAnsi="Times New Roman" w:eastAsia="仿宋" w:cs="Times New Roman"/>
          <w:szCs w:val="28"/>
        </w:rPr>
        <w:br w:type="page"/>
      </w:r>
      <w:bookmarkStart w:id="108" w:name="_Toc7053"/>
      <w:bookmarkStart w:id="109" w:name="_Toc24150_WPSOffice_Level1"/>
      <w:r>
        <w:rPr>
          <w:rFonts w:hint="default" w:ascii="Times New Roman" w:hAnsi="Times New Roman" w:eastAsia="仿宋" w:cs="Times New Roman"/>
          <w:b/>
          <w:bCs/>
          <w:szCs w:val="28"/>
        </w:rPr>
        <w:t>10.后期处置</w:t>
      </w:r>
      <w:bookmarkEnd w:id="107"/>
      <w:bookmarkEnd w:id="108"/>
      <w:bookmarkEnd w:id="109"/>
    </w:p>
    <w:p w14:paraId="224F88D3">
      <w:pPr>
        <w:outlineLvl w:val="1"/>
        <w:rPr>
          <w:rFonts w:hint="default" w:ascii="Times New Roman" w:hAnsi="Times New Roman" w:eastAsia="仿宋" w:cs="Times New Roman"/>
          <w:szCs w:val="28"/>
        </w:rPr>
      </w:pPr>
      <w:bookmarkStart w:id="110" w:name="_Toc7653_WPSOffice_Level2"/>
      <w:bookmarkStart w:id="111" w:name="_Toc5364"/>
      <w:bookmarkStart w:id="112" w:name="_Toc335765610"/>
      <w:bookmarkStart w:id="113" w:name="_Toc382151146"/>
      <w:bookmarkStart w:id="114" w:name="_Toc14153"/>
      <w:r>
        <w:rPr>
          <w:rFonts w:hint="default" w:ascii="Times New Roman" w:hAnsi="Times New Roman" w:eastAsia="仿宋" w:cs="Times New Roman"/>
          <w:b/>
          <w:bCs/>
          <w:szCs w:val="28"/>
        </w:rPr>
        <w:t>10.1现场恢复</w:t>
      </w:r>
      <w:bookmarkEnd w:id="110"/>
      <w:bookmarkEnd w:id="111"/>
    </w:p>
    <w:p w14:paraId="6040BB2D">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对于火灾/爆炸事故，恢复现场前应进行必要的调查取证工作，包括录像、拍照、绘图等，并将这些资料移交给事故调查处理小组。</w:t>
      </w:r>
    </w:p>
    <w:p w14:paraId="2E5993DA">
      <w:pPr>
        <w:outlineLvl w:val="1"/>
        <w:rPr>
          <w:rFonts w:hint="default" w:ascii="Times New Roman" w:hAnsi="Times New Roman" w:eastAsia="仿宋" w:cs="Times New Roman"/>
          <w:szCs w:val="28"/>
        </w:rPr>
      </w:pPr>
      <w:bookmarkStart w:id="115" w:name="_Toc19726"/>
      <w:bookmarkStart w:id="116" w:name="_Toc32289_WPSOffice_Level2"/>
      <w:r>
        <w:rPr>
          <w:rFonts w:hint="default" w:ascii="Times New Roman" w:hAnsi="Times New Roman" w:eastAsia="仿宋" w:cs="Times New Roman"/>
          <w:b/>
          <w:bCs/>
          <w:szCs w:val="28"/>
        </w:rPr>
        <w:t>10.2环境恢复</w:t>
      </w:r>
      <w:bookmarkEnd w:id="115"/>
      <w:bookmarkEnd w:id="116"/>
    </w:p>
    <w:p w14:paraId="3D89D841">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本公司突发环境事件情况下，泄漏事故泄漏物基本可以控制在实验区内。火灾/爆炸事故在火势可控情况下一般不会次生消防废水，若火势扩大需消防水喷淋降温，次生消防废水，消防废水可能流入园区雨水管网，则需配合园区做好环境恢复：若应急过程中事故废水有效收集，则请应急监测单位进行检测，若属于危废，则交有资质单位处理，若不属于危废，则委托污水处理单位清运。若应急过程中事故废水在厂区内地表漫流，则对流经地表进行检查，确定是否流经裸露地表，若流经裸露地表，则对土壤和地下水开展监测，判断是否受到污染。</w:t>
      </w:r>
    </w:p>
    <w:p w14:paraId="6C3A0915">
      <w:pPr>
        <w:outlineLvl w:val="1"/>
        <w:rPr>
          <w:rFonts w:hint="default" w:ascii="Times New Roman" w:hAnsi="Times New Roman" w:eastAsia="仿宋" w:cs="Times New Roman"/>
          <w:b/>
          <w:bCs/>
          <w:szCs w:val="28"/>
        </w:rPr>
      </w:pPr>
      <w:bookmarkStart w:id="117" w:name="_Toc21311"/>
      <w:bookmarkStart w:id="118" w:name="_Toc23778_WPSOffice_Level2"/>
      <w:r>
        <w:rPr>
          <w:rFonts w:hint="default" w:ascii="Times New Roman" w:hAnsi="Times New Roman" w:eastAsia="仿宋" w:cs="Times New Roman"/>
          <w:b/>
          <w:bCs/>
          <w:szCs w:val="28"/>
        </w:rPr>
        <w:t>10.3善后赔偿</w:t>
      </w:r>
      <w:bookmarkEnd w:id="112"/>
      <w:bookmarkEnd w:id="113"/>
      <w:bookmarkEnd w:id="114"/>
      <w:bookmarkEnd w:id="117"/>
      <w:bookmarkEnd w:id="118"/>
    </w:p>
    <w:p w14:paraId="097B51CF">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对故意破坏造成严重污染的突发环境事件，相关部门应协助公安机关调查、取证及追究第三方责任。对因突发环境事件受到伤害的企业或个人，按有关法律法规做出相应赔偿。</w:t>
      </w:r>
    </w:p>
    <w:p w14:paraId="5AFE2A52">
      <w:pPr>
        <w:outlineLvl w:val="1"/>
        <w:rPr>
          <w:rFonts w:hint="default" w:ascii="Times New Roman" w:hAnsi="Times New Roman" w:eastAsia="仿宋" w:cs="Times New Roman"/>
          <w:b/>
          <w:bCs/>
          <w:szCs w:val="28"/>
        </w:rPr>
      </w:pPr>
      <w:bookmarkStart w:id="119" w:name="_Toc14017"/>
      <w:bookmarkStart w:id="120" w:name="_Toc8926"/>
      <w:bookmarkStart w:id="121" w:name="_Toc335765613"/>
      <w:bookmarkStart w:id="122" w:name="_Toc382151149"/>
      <w:bookmarkStart w:id="123" w:name="_Toc28083_WPSOffice_Level2"/>
      <w:bookmarkStart w:id="124" w:name="_Toc330284338"/>
      <w:r>
        <w:rPr>
          <w:rFonts w:hint="default" w:ascii="Times New Roman" w:hAnsi="Times New Roman" w:eastAsia="仿宋" w:cs="Times New Roman"/>
          <w:b/>
          <w:bCs/>
          <w:szCs w:val="28"/>
        </w:rPr>
        <w:t>10.4调查与评估</w:t>
      </w:r>
      <w:bookmarkEnd w:id="119"/>
      <w:bookmarkEnd w:id="120"/>
      <w:bookmarkEnd w:id="121"/>
      <w:bookmarkEnd w:id="122"/>
      <w:bookmarkEnd w:id="123"/>
      <w:bookmarkEnd w:id="124"/>
    </w:p>
    <w:p w14:paraId="63AA6780">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突发环境事件的内部调查由事件发生部门负责组织，涉及操作工应如实提供相关材料。如突发环境事件由公司进行调查，由事件发生部门如实提供相关材料并做好有关配合调查的工作。公司突发环境事件应急指挥小组负责组织有关专家，会同事发部门进行应急过程评价，编制突发环境事件调查报告和应急总结报告。</w:t>
      </w:r>
    </w:p>
    <w:p w14:paraId="1B517FEE">
      <w:pPr>
        <w:rPr>
          <w:rFonts w:hint="default" w:ascii="Times New Roman" w:hAnsi="Times New Roman" w:eastAsia="仿宋" w:cs="Times New Roman"/>
          <w:szCs w:val="28"/>
        </w:rPr>
      </w:pPr>
    </w:p>
    <w:p w14:paraId="66DD6A01">
      <w:pPr>
        <w:rPr>
          <w:rFonts w:hint="default" w:ascii="Times New Roman" w:hAnsi="Times New Roman" w:eastAsia="仿宋" w:cs="Times New Roman"/>
          <w:szCs w:val="28"/>
        </w:rPr>
        <w:sectPr>
          <w:pgSz w:w="11905" w:h="16838"/>
          <w:pgMar w:top="1440" w:right="1083" w:bottom="1440" w:left="1083" w:header="737" w:footer="567" w:gutter="0"/>
          <w:cols w:space="0" w:num="1"/>
          <w:rtlGutter w:val="0"/>
          <w:docGrid w:linePitch="0" w:charSpace="0"/>
        </w:sectPr>
      </w:pPr>
    </w:p>
    <w:p w14:paraId="0A0DD4D1">
      <w:pPr>
        <w:outlineLvl w:val="0"/>
        <w:rPr>
          <w:rFonts w:hint="default" w:ascii="Times New Roman" w:hAnsi="Times New Roman" w:eastAsia="仿宋" w:cs="Times New Roman"/>
          <w:b/>
          <w:bCs/>
          <w:szCs w:val="28"/>
        </w:rPr>
      </w:pPr>
      <w:bookmarkStart w:id="125" w:name="_Toc29109_WPSOffice_Level1"/>
      <w:bookmarkStart w:id="126" w:name="_Toc1117"/>
      <w:bookmarkStart w:id="127" w:name="_Toc861"/>
      <w:r>
        <w:rPr>
          <w:rFonts w:hint="default" w:ascii="Times New Roman" w:hAnsi="Times New Roman" w:eastAsia="仿宋" w:cs="Times New Roman"/>
          <w:b/>
          <w:bCs/>
          <w:szCs w:val="28"/>
        </w:rPr>
        <w:t>11.保障措施</w:t>
      </w:r>
      <w:bookmarkEnd w:id="125"/>
      <w:bookmarkEnd w:id="126"/>
      <w:bookmarkEnd w:id="127"/>
    </w:p>
    <w:p w14:paraId="4FAA165D">
      <w:pPr>
        <w:outlineLvl w:val="1"/>
        <w:rPr>
          <w:rFonts w:hint="default" w:ascii="Times New Roman" w:hAnsi="Times New Roman" w:eastAsia="仿宋" w:cs="Times New Roman"/>
          <w:b/>
          <w:bCs/>
          <w:szCs w:val="28"/>
        </w:rPr>
      </w:pPr>
      <w:bookmarkStart w:id="128" w:name="_Toc18750_WPSOffice_Level2"/>
      <w:bookmarkStart w:id="129" w:name="_Toc18938"/>
      <w:bookmarkStart w:id="130" w:name="_Toc13153"/>
      <w:r>
        <w:rPr>
          <w:rFonts w:hint="default" w:ascii="Times New Roman" w:hAnsi="Times New Roman" w:eastAsia="仿宋" w:cs="Times New Roman"/>
          <w:b/>
          <w:bCs/>
          <w:szCs w:val="28"/>
        </w:rPr>
        <w:t>11.1通信与信息保障</w:t>
      </w:r>
      <w:bookmarkEnd w:id="128"/>
      <w:bookmarkEnd w:id="129"/>
      <w:bookmarkEnd w:id="130"/>
    </w:p>
    <w:p w14:paraId="4B28CFB7">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明确了应急组织机构各成员以及与本预案关联的各单位联系方式，日常对通信设施进行经常性检查，确保通信系统的可靠性，发现问题及时解决。</w:t>
      </w:r>
    </w:p>
    <w:p w14:paraId="77B588D4">
      <w:pPr>
        <w:outlineLvl w:val="1"/>
        <w:rPr>
          <w:rFonts w:hint="default" w:ascii="Times New Roman" w:hAnsi="Times New Roman" w:eastAsia="仿宋" w:cs="Times New Roman"/>
          <w:b/>
          <w:bCs/>
          <w:szCs w:val="28"/>
        </w:rPr>
      </w:pPr>
      <w:bookmarkStart w:id="131" w:name="_Toc11964"/>
      <w:bookmarkStart w:id="132" w:name="_Toc17185_WPSOffice_Level2"/>
      <w:bookmarkStart w:id="133" w:name="_Toc26952"/>
      <w:r>
        <w:rPr>
          <w:rFonts w:hint="default" w:ascii="Times New Roman" w:hAnsi="Times New Roman" w:eastAsia="仿宋" w:cs="Times New Roman"/>
          <w:b/>
          <w:bCs/>
          <w:szCs w:val="28"/>
        </w:rPr>
        <w:t>11.2应急队伍保障</w:t>
      </w:r>
      <w:bookmarkEnd w:id="131"/>
      <w:bookmarkEnd w:id="132"/>
      <w:bookmarkEnd w:id="133"/>
    </w:p>
    <w:p w14:paraId="0A4F15B2">
      <w:pPr>
        <w:ind w:firstLine="560" w:firstLineChars="200"/>
        <w:rPr>
          <w:rFonts w:hint="default" w:ascii="Times New Roman" w:hAnsi="Times New Roman" w:eastAsia="仿宋" w:cs="Times New Roman"/>
          <w:szCs w:val="28"/>
        </w:rPr>
      </w:pPr>
      <w:bookmarkStart w:id="134" w:name="_Toc31654"/>
      <w:bookmarkStart w:id="135" w:name="_Toc4723_WPSOffice_Level2"/>
      <w:r>
        <w:rPr>
          <w:rFonts w:hint="default" w:ascii="Times New Roman" w:hAnsi="Times New Roman" w:eastAsia="仿宋" w:cs="Times New Roman"/>
          <w:szCs w:val="28"/>
        </w:rPr>
        <w:t>建立了突发环境事件应急组织机构，明确了事故状态下各处置小组的职责和任务，明确了应急状态下预警、响应流程各环节的责任人，以保障突发环境事件时尽快开展处置行动，将影响降到最低。</w:t>
      </w:r>
    </w:p>
    <w:p w14:paraId="16FFF7B4">
      <w:pPr>
        <w:outlineLvl w:val="1"/>
        <w:rPr>
          <w:rFonts w:hint="default" w:ascii="Times New Roman" w:hAnsi="Times New Roman" w:eastAsia="仿宋" w:cs="Times New Roman"/>
          <w:b/>
          <w:bCs/>
          <w:szCs w:val="28"/>
        </w:rPr>
      </w:pPr>
      <w:bookmarkStart w:id="136" w:name="_Toc28573"/>
      <w:r>
        <w:rPr>
          <w:rFonts w:hint="default" w:ascii="Times New Roman" w:hAnsi="Times New Roman" w:eastAsia="仿宋" w:cs="Times New Roman"/>
          <w:b/>
          <w:bCs/>
          <w:szCs w:val="28"/>
        </w:rPr>
        <w:t>11.3应急物资装备保障</w:t>
      </w:r>
      <w:bookmarkEnd w:id="134"/>
      <w:bookmarkEnd w:id="135"/>
      <w:bookmarkEnd w:id="136"/>
    </w:p>
    <w:p w14:paraId="74CE640B">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明确了应急物资种类、存放地点、专管人信息等。应急办公室定期检查应急物资的品种和数量是否充足并符合要求，若有差距及时拟报采购计划，保证应急物资充足。</w:t>
      </w:r>
    </w:p>
    <w:p w14:paraId="2CE0E7EB">
      <w:pPr>
        <w:outlineLvl w:val="1"/>
        <w:rPr>
          <w:rFonts w:hint="default" w:ascii="Times New Roman" w:hAnsi="Times New Roman" w:eastAsia="仿宋" w:cs="Times New Roman"/>
          <w:b/>
          <w:bCs/>
          <w:szCs w:val="28"/>
        </w:rPr>
      </w:pPr>
      <w:bookmarkStart w:id="137" w:name="_Toc29795"/>
      <w:bookmarkStart w:id="138" w:name="_Toc29247_WPSOffice_Level2"/>
      <w:bookmarkStart w:id="139" w:name="_Toc20943"/>
      <w:r>
        <w:rPr>
          <w:rFonts w:hint="default" w:ascii="Times New Roman" w:hAnsi="Times New Roman" w:eastAsia="仿宋" w:cs="Times New Roman"/>
          <w:b/>
          <w:bCs/>
          <w:szCs w:val="28"/>
        </w:rPr>
        <w:t>11.4经费保障</w:t>
      </w:r>
      <w:bookmarkEnd w:id="137"/>
      <w:bookmarkEnd w:id="138"/>
      <w:bookmarkEnd w:id="139"/>
    </w:p>
    <w:p w14:paraId="4B2DE7D4">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财务部门负责落实突发环境事件应急救援抢险的各项资金，做好事故应急救援必要的资金准备。</w:t>
      </w:r>
    </w:p>
    <w:p w14:paraId="3B239877">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处置突发环境事故所需工作经费列入公司财政预算，由财务部门按照有关规定解决。主要包括体系建设、日常运行、专家队伍建设、救援演练、事故紧急救援装备等费用。</w:t>
      </w:r>
    </w:p>
    <w:p w14:paraId="5F9CEF03">
      <w:pPr>
        <w:outlineLvl w:val="1"/>
        <w:rPr>
          <w:rFonts w:hint="default" w:ascii="Times New Roman" w:hAnsi="Times New Roman" w:eastAsia="仿宋" w:cs="Times New Roman"/>
          <w:b/>
          <w:bCs/>
          <w:szCs w:val="28"/>
        </w:rPr>
      </w:pPr>
      <w:bookmarkStart w:id="140" w:name="_Toc22123"/>
      <w:bookmarkStart w:id="141" w:name="_Toc7041_WPSOffice_Level2"/>
      <w:bookmarkStart w:id="142" w:name="_Toc9688"/>
      <w:r>
        <w:rPr>
          <w:rFonts w:hint="default" w:ascii="Times New Roman" w:hAnsi="Times New Roman" w:eastAsia="仿宋" w:cs="Times New Roman"/>
          <w:b/>
          <w:bCs/>
          <w:szCs w:val="28"/>
        </w:rPr>
        <w:t>11.5其他保障</w:t>
      </w:r>
      <w:bookmarkEnd w:id="140"/>
      <w:bookmarkEnd w:id="141"/>
      <w:bookmarkEnd w:id="142"/>
    </w:p>
    <w:p w14:paraId="228A2181">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公司各有关部门根据部门职责，为应急救援提供交通运输保障、治安保障、技术保障、医疗保障、后勤保障等。</w:t>
      </w:r>
    </w:p>
    <w:p w14:paraId="1E674929">
      <w:pPr>
        <w:rPr>
          <w:rFonts w:hint="default" w:ascii="Times New Roman" w:hAnsi="Times New Roman" w:eastAsia="仿宋" w:cs="Times New Roman"/>
          <w:szCs w:val="28"/>
        </w:rPr>
        <w:sectPr>
          <w:pgSz w:w="11905" w:h="16838"/>
          <w:pgMar w:top="1440" w:right="1083" w:bottom="1440" w:left="1083" w:header="737" w:footer="567" w:gutter="0"/>
          <w:cols w:space="0" w:num="1"/>
          <w:rtlGutter w:val="0"/>
          <w:docGrid w:linePitch="0" w:charSpace="0"/>
        </w:sectPr>
      </w:pPr>
    </w:p>
    <w:p w14:paraId="72330471">
      <w:pPr>
        <w:outlineLvl w:val="0"/>
        <w:rPr>
          <w:rFonts w:hint="default" w:ascii="Times New Roman" w:hAnsi="Times New Roman" w:eastAsia="仿宋" w:cs="Times New Roman"/>
          <w:b/>
          <w:bCs/>
          <w:szCs w:val="28"/>
        </w:rPr>
      </w:pPr>
      <w:bookmarkStart w:id="143" w:name="_Toc19334"/>
      <w:bookmarkStart w:id="144" w:name="_Toc28667_WPSOffice_Level1"/>
      <w:bookmarkStart w:id="145" w:name="_Toc27475"/>
      <w:r>
        <w:rPr>
          <w:rFonts w:hint="default" w:ascii="Times New Roman" w:hAnsi="Times New Roman" w:eastAsia="仿宋" w:cs="Times New Roman"/>
          <w:b/>
          <w:bCs/>
          <w:szCs w:val="28"/>
        </w:rPr>
        <w:t>12.培训与演练</w:t>
      </w:r>
      <w:bookmarkEnd w:id="143"/>
      <w:bookmarkEnd w:id="144"/>
      <w:bookmarkEnd w:id="145"/>
    </w:p>
    <w:p w14:paraId="2A3E5F82">
      <w:pPr>
        <w:outlineLvl w:val="1"/>
        <w:rPr>
          <w:rFonts w:hint="default" w:ascii="Times New Roman" w:hAnsi="Times New Roman" w:eastAsia="仿宋" w:cs="Times New Roman"/>
          <w:b/>
          <w:bCs/>
          <w:szCs w:val="28"/>
        </w:rPr>
      </w:pPr>
      <w:bookmarkStart w:id="146" w:name="_Toc17208_WPSOffice_Level2"/>
      <w:bookmarkStart w:id="147" w:name="_Toc23246"/>
      <w:bookmarkStart w:id="148" w:name="_Toc460"/>
      <w:r>
        <w:rPr>
          <w:rFonts w:hint="default" w:ascii="Times New Roman" w:hAnsi="Times New Roman" w:eastAsia="仿宋" w:cs="Times New Roman"/>
          <w:b/>
          <w:bCs/>
          <w:szCs w:val="28"/>
        </w:rPr>
        <w:t>12.1培训</w:t>
      </w:r>
      <w:bookmarkEnd w:id="146"/>
      <w:bookmarkEnd w:id="147"/>
      <w:bookmarkEnd w:id="148"/>
    </w:p>
    <w:p w14:paraId="35E2CCD4">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公司应定期对所有员工进行环保应急知识培训：针对非应急救援人员及新员工进行应急知识（主要包括应急程序、注意事项、逃生路线、集合地点等）的培训；针对应急救援人员进行专门应急救援培训（包括紧急情况判断、应急救援技术、现场处置措施）。应急培训采用内部培训，必要时聘请专家或组织人员参加外委培训，培训后进行考核，并按公司相关规定记录。</w:t>
      </w:r>
    </w:p>
    <w:p w14:paraId="58D8A93F">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培训可以应用一些环保视频、污染图片及事例，让大家直观地看到水体污染、大气污染带来的危害。</w:t>
      </w:r>
    </w:p>
    <w:p w14:paraId="0AE1B3A0">
      <w:pPr>
        <w:jc w:val="center"/>
        <w:rPr>
          <w:rFonts w:hint="default" w:ascii="Times New Roman" w:hAnsi="Times New Roman" w:eastAsia="仿宋" w:cs="Times New Roman"/>
          <w:szCs w:val="24"/>
        </w:rPr>
      </w:pPr>
      <w:r>
        <w:rPr>
          <w:rFonts w:hint="default" w:ascii="Times New Roman" w:hAnsi="Times New Roman" w:eastAsia="仿宋" w:cs="Times New Roman"/>
          <w:szCs w:val="24"/>
        </w:rPr>
        <w:t>表12.1  应急培训记录表</w:t>
      </w:r>
    </w:p>
    <w:p w14:paraId="0FB4BD85">
      <w:pPr>
        <w:rPr>
          <w:rFonts w:hint="default" w:ascii="Times New Roman" w:hAnsi="Times New Roman" w:eastAsia="仿宋" w:cs="Times New Roman"/>
          <w:szCs w:val="24"/>
        </w:rPr>
      </w:pPr>
      <w:r>
        <w:rPr>
          <w:rFonts w:hint="default" w:ascii="Times New Roman" w:hAnsi="Times New Roman" w:eastAsia="仿宋" w:cs="Times New Roman"/>
          <w:szCs w:val="24"/>
        </w:rPr>
        <w:t>部门名称：</w:t>
      </w:r>
    </w:p>
    <w:tbl>
      <w:tblPr>
        <w:tblStyle w:val="43"/>
        <w:tblW w:w="102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
        <w:gridCol w:w="1030"/>
        <w:gridCol w:w="1155"/>
        <w:gridCol w:w="2570"/>
        <w:gridCol w:w="1106"/>
        <w:gridCol w:w="1085"/>
        <w:gridCol w:w="1088"/>
        <w:gridCol w:w="1358"/>
      </w:tblGrid>
      <w:tr w14:paraId="1063B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02" w:type="dxa"/>
            <w:vMerge w:val="restart"/>
            <w:vAlign w:val="center"/>
          </w:tcPr>
          <w:p w14:paraId="23D75A3B">
            <w:pPr>
              <w:pStyle w:val="52"/>
              <w:rPr>
                <w:rFonts w:hint="default" w:ascii="Times New Roman" w:hAnsi="Times New Roman" w:eastAsia="仿宋" w:cs="Times New Roman"/>
              </w:rPr>
            </w:pPr>
            <w:r>
              <w:rPr>
                <w:rFonts w:hint="default" w:ascii="Times New Roman" w:hAnsi="Times New Roman" w:eastAsia="仿宋" w:cs="Times New Roman"/>
              </w:rPr>
              <w:t>序号</w:t>
            </w:r>
          </w:p>
        </w:tc>
        <w:tc>
          <w:tcPr>
            <w:tcW w:w="1030" w:type="dxa"/>
            <w:vMerge w:val="restart"/>
            <w:vAlign w:val="center"/>
          </w:tcPr>
          <w:p w14:paraId="17AD44C8">
            <w:pPr>
              <w:pStyle w:val="52"/>
              <w:rPr>
                <w:rFonts w:hint="default" w:ascii="Times New Roman" w:hAnsi="Times New Roman" w:eastAsia="仿宋" w:cs="Times New Roman"/>
              </w:rPr>
            </w:pPr>
            <w:r>
              <w:rPr>
                <w:rFonts w:hint="default" w:ascii="Times New Roman" w:hAnsi="Times New Roman" w:eastAsia="仿宋" w:cs="Times New Roman"/>
              </w:rPr>
              <w:t>培训</w:t>
            </w:r>
          </w:p>
          <w:p w14:paraId="6D345ABC">
            <w:pPr>
              <w:pStyle w:val="52"/>
              <w:rPr>
                <w:rFonts w:hint="default" w:ascii="Times New Roman" w:hAnsi="Times New Roman" w:eastAsia="仿宋" w:cs="Times New Roman"/>
              </w:rPr>
            </w:pPr>
            <w:r>
              <w:rPr>
                <w:rFonts w:hint="default" w:ascii="Times New Roman" w:hAnsi="Times New Roman" w:eastAsia="仿宋" w:cs="Times New Roman"/>
              </w:rPr>
              <w:t>时间</w:t>
            </w:r>
          </w:p>
        </w:tc>
        <w:tc>
          <w:tcPr>
            <w:tcW w:w="1155" w:type="dxa"/>
            <w:vMerge w:val="restart"/>
            <w:vAlign w:val="center"/>
          </w:tcPr>
          <w:p w14:paraId="0C89D357">
            <w:pPr>
              <w:pStyle w:val="52"/>
              <w:rPr>
                <w:rFonts w:hint="default" w:ascii="Times New Roman" w:hAnsi="Times New Roman" w:eastAsia="仿宋" w:cs="Times New Roman"/>
              </w:rPr>
            </w:pPr>
            <w:r>
              <w:rPr>
                <w:rFonts w:hint="default" w:ascii="Times New Roman" w:hAnsi="Times New Roman" w:eastAsia="仿宋" w:cs="Times New Roman"/>
              </w:rPr>
              <w:t>培训</w:t>
            </w:r>
          </w:p>
          <w:p w14:paraId="1E7D5998">
            <w:pPr>
              <w:pStyle w:val="52"/>
              <w:rPr>
                <w:rFonts w:hint="default" w:ascii="Times New Roman" w:hAnsi="Times New Roman" w:eastAsia="仿宋" w:cs="Times New Roman"/>
              </w:rPr>
            </w:pPr>
            <w:r>
              <w:rPr>
                <w:rFonts w:hint="default" w:ascii="Times New Roman" w:hAnsi="Times New Roman" w:eastAsia="仿宋" w:cs="Times New Roman"/>
              </w:rPr>
              <w:t>地点</w:t>
            </w:r>
          </w:p>
        </w:tc>
        <w:tc>
          <w:tcPr>
            <w:tcW w:w="2570" w:type="dxa"/>
            <w:vMerge w:val="restart"/>
            <w:vAlign w:val="center"/>
          </w:tcPr>
          <w:p w14:paraId="49E2DD68">
            <w:pPr>
              <w:pStyle w:val="52"/>
              <w:rPr>
                <w:rFonts w:hint="default" w:ascii="Times New Roman" w:hAnsi="Times New Roman" w:eastAsia="仿宋" w:cs="Times New Roman"/>
              </w:rPr>
            </w:pPr>
            <w:r>
              <w:rPr>
                <w:rFonts w:hint="default" w:ascii="Times New Roman" w:hAnsi="Times New Roman" w:eastAsia="仿宋" w:cs="Times New Roman"/>
              </w:rPr>
              <w:t>培训内容</w:t>
            </w:r>
          </w:p>
        </w:tc>
        <w:tc>
          <w:tcPr>
            <w:tcW w:w="4637" w:type="dxa"/>
            <w:gridSpan w:val="4"/>
            <w:vAlign w:val="center"/>
          </w:tcPr>
          <w:p w14:paraId="1F54B9AC">
            <w:pPr>
              <w:pStyle w:val="52"/>
              <w:rPr>
                <w:rFonts w:hint="default" w:ascii="Times New Roman" w:hAnsi="Times New Roman" w:eastAsia="仿宋" w:cs="Times New Roman"/>
              </w:rPr>
            </w:pPr>
            <w:r>
              <w:rPr>
                <w:rFonts w:hint="default" w:ascii="Times New Roman" w:hAnsi="Times New Roman" w:eastAsia="仿宋" w:cs="Times New Roman"/>
              </w:rPr>
              <w:t>受培训人情况</w:t>
            </w:r>
          </w:p>
        </w:tc>
      </w:tr>
      <w:tr w14:paraId="5CDFE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02" w:type="dxa"/>
            <w:vMerge w:val="continue"/>
            <w:vAlign w:val="center"/>
          </w:tcPr>
          <w:p w14:paraId="5D21AF2E">
            <w:pPr>
              <w:pStyle w:val="52"/>
              <w:rPr>
                <w:rFonts w:hint="default" w:ascii="Times New Roman" w:hAnsi="Times New Roman" w:eastAsia="仿宋" w:cs="Times New Roman"/>
              </w:rPr>
            </w:pPr>
          </w:p>
        </w:tc>
        <w:tc>
          <w:tcPr>
            <w:tcW w:w="1030" w:type="dxa"/>
            <w:vMerge w:val="continue"/>
            <w:vAlign w:val="center"/>
          </w:tcPr>
          <w:p w14:paraId="704A718B">
            <w:pPr>
              <w:pStyle w:val="52"/>
              <w:rPr>
                <w:rFonts w:hint="default" w:ascii="Times New Roman" w:hAnsi="Times New Roman" w:eastAsia="仿宋" w:cs="Times New Roman"/>
              </w:rPr>
            </w:pPr>
          </w:p>
        </w:tc>
        <w:tc>
          <w:tcPr>
            <w:tcW w:w="1155" w:type="dxa"/>
            <w:vMerge w:val="continue"/>
            <w:vAlign w:val="center"/>
          </w:tcPr>
          <w:p w14:paraId="72F2C8AB">
            <w:pPr>
              <w:pStyle w:val="52"/>
              <w:rPr>
                <w:rFonts w:hint="default" w:ascii="Times New Roman" w:hAnsi="Times New Roman" w:eastAsia="仿宋" w:cs="Times New Roman"/>
              </w:rPr>
            </w:pPr>
          </w:p>
        </w:tc>
        <w:tc>
          <w:tcPr>
            <w:tcW w:w="2570" w:type="dxa"/>
            <w:vMerge w:val="continue"/>
            <w:vAlign w:val="center"/>
          </w:tcPr>
          <w:p w14:paraId="67094CF8">
            <w:pPr>
              <w:pStyle w:val="52"/>
              <w:rPr>
                <w:rFonts w:hint="default" w:ascii="Times New Roman" w:hAnsi="Times New Roman" w:eastAsia="仿宋" w:cs="Times New Roman"/>
              </w:rPr>
            </w:pPr>
          </w:p>
        </w:tc>
        <w:tc>
          <w:tcPr>
            <w:tcW w:w="1106" w:type="dxa"/>
            <w:vAlign w:val="center"/>
          </w:tcPr>
          <w:p w14:paraId="6ADAA1E1">
            <w:pPr>
              <w:pStyle w:val="52"/>
              <w:rPr>
                <w:rFonts w:hint="default" w:ascii="Times New Roman" w:hAnsi="Times New Roman" w:eastAsia="仿宋" w:cs="Times New Roman"/>
              </w:rPr>
            </w:pPr>
            <w:r>
              <w:rPr>
                <w:rFonts w:hint="default" w:ascii="Times New Roman" w:hAnsi="Times New Roman" w:eastAsia="仿宋" w:cs="Times New Roman"/>
              </w:rPr>
              <w:t>年龄</w:t>
            </w:r>
          </w:p>
        </w:tc>
        <w:tc>
          <w:tcPr>
            <w:tcW w:w="1085" w:type="dxa"/>
            <w:vAlign w:val="center"/>
          </w:tcPr>
          <w:p w14:paraId="60812222">
            <w:pPr>
              <w:pStyle w:val="52"/>
              <w:rPr>
                <w:rFonts w:hint="default" w:ascii="Times New Roman" w:hAnsi="Times New Roman" w:eastAsia="仿宋" w:cs="Times New Roman"/>
              </w:rPr>
            </w:pPr>
            <w:r>
              <w:rPr>
                <w:rFonts w:hint="default" w:ascii="Times New Roman" w:hAnsi="Times New Roman" w:eastAsia="仿宋" w:cs="Times New Roman"/>
              </w:rPr>
              <w:t>工种</w:t>
            </w:r>
          </w:p>
        </w:tc>
        <w:tc>
          <w:tcPr>
            <w:tcW w:w="1088" w:type="dxa"/>
            <w:vAlign w:val="center"/>
          </w:tcPr>
          <w:p w14:paraId="550753AF">
            <w:pPr>
              <w:pStyle w:val="52"/>
              <w:rPr>
                <w:rFonts w:hint="default" w:ascii="Times New Roman" w:hAnsi="Times New Roman" w:eastAsia="仿宋" w:cs="Times New Roman"/>
              </w:rPr>
            </w:pPr>
            <w:r>
              <w:rPr>
                <w:rFonts w:hint="default" w:ascii="Times New Roman" w:hAnsi="Times New Roman" w:eastAsia="仿宋" w:cs="Times New Roman"/>
              </w:rPr>
              <w:t>职务</w:t>
            </w:r>
          </w:p>
        </w:tc>
        <w:tc>
          <w:tcPr>
            <w:tcW w:w="1358" w:type="dxa"/>
            <w:vAlign w:val="center"/>
          </w:tcPr>
          <w:p w14:paraId="1522388B">
            <w:pPr>
              <w:pStyle w:val="52"/>
              <w:rPr>
                <w:rFonts w:hint="default" w:ascii="Times New Roman" w:hAnsi="Times New Roman" w:eastAsia="仿宋" w:cs="Times New Roman"/>
              </w:rPr>
            </w:pPr>
            <w:r>
              <w:rPr>
                <w:rFonts w:hint="default" w:ascii="Times New Roman" w:hAnsi="Times New Roman" w:eastAsia="仿宋" w:cs="Times New Roman"/>
              </w:rPr>
              <w:t>签名</w:t>
            </w:r>
          </w:p>
        </w:tc>
      </w:tr>
      <w:tr w14:paraId="2CAD1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02" w:type="dxa"/>
            <w:vAlign w:val="center"/>
          </w:tcPr>
          <w:p w14:paraId="150A54D6">
            <w:pPr>
              <w:pStyle w:val="52"/>
              <w:rPr>
                <w:rFonts w:hint="default" w:ascii="Times New Roman" w:hAnsi="Times New Roman" w:eastAsia="仿宋" w:cs="Times New Roman"/>
              </w:rPr>
            </w:pPr>
          </w:p>
        </w:tc>
        <w:tc>
          <w:tcPr>
            <w:tcW w:w="1030" w:type="dxa"/>
            <w:vAlign w:val="center"/>
          </w:tcPr>
          <w:p w14:paraId="48655A9A">
            <w:pPr>
              <w:pStyle w:val="52"/>
              <w:rPr>
                <w:rFonts w:hint="default" w:ascii="Times New Roman" w:hAnsi="Times New Roman" w:eastAsia="仿宋" w:cs="Times New Roman"/>
              </w:rPr>
            </w:pPr>
          </w:p>
        </w:tc>
        <w:tc>
          <w:tcPr>
            <w:tcW w:w="1155" w:type="dxa"/>
            <w:vAlign w:val="center"/>
          </w:tcPr>
          <w:p w14:paraId="73519D02">
            <w:pPr>
              <w:pStyle w:val="52"/>
              <w:rPr>
                <w:rFonts w:hint="default" w:ascii="Times New Roman" w:hAnsi="Times New Roman" w:eastAsia="仿宋" w:cs="Times New Roman"/>
              </w:rPr>
            </w:pPr>
          </w:p>
        </w:tc>
        <w:tc>
          <w:tcPr>
            <w:tcW w:w="2570" w:type="dxa"/>
            <w:vAlign w:val="center"/>
          </w:tcPr>
          <w:p w14:paraId="1D01587B">
            <w:pPr>
              <w:pStyle w:val="52"/>
              <w:rPr>
                <w:rFonts w:hint="default" w:ascii="Times New Roman" w:hAnsi="Times New Roman" w:eastAsia="仿宋" w:cs="Times New Roman"/>
              </w:rPr>
            </w:pPr>
          </w:p>
        </w:tc>
        <w:tc>
          <w:tcPr>
            <w:tcW w:w="1106" w:type="dxa"/>
            <w:vAlign w:val="center"/>
          </w:tcPr>
          <w:p w14:paraId="57AC18CF">
            <w:pPr>
              <w:pStyle w:val="52"/>
              <w:rPr>
                <w:rFonts w:hint="default" w:ascii="Times New Roman" w:hAnsi="Times New Roman" w:eastAsia="仿宋" w:cs="Times New Roman"/>
              </w:rPr>
            </w:pPr>
          </w:p>
        </w:tc>
        <w:tc>
          <w:tcPr>
            <w:tcW w:w="1085" w:type="dxa"/>
            <w:vAlign w:val="center"/>
          </w:tcPr>
          <w:p w14:paraId="0040AAE6">
            <w:pPr>
              <w:pStyle w:val="52"/>
              <w:rPr>
                <w:rFonts w:hint="default" w:ascii="Times New Roman" w:hAnsi="Times New Roman" w:eastAsia="仿宋" w:cs="Times New Roman"/>
              </w:rPr>
            </w:pPr>
          </w:p>
        </w:tc>
        <w:tc>
          <w:tcPr>
            <w:tcW w:w="1088" w:type="dxa"/>
            <w:vAlign w:val="center"/>
          </w:tcPr>
          <w:p w14:paraId="4BE8EA08">
            <w:pPr>
              <w:pStyle w:val="52"/>
              <w:rPr>
                <w:rFonts w:hint="default" w:ascii="Times New Roman" w:hAnsi="Times New Roman" w:eastAsia="仿宋" w:cs="Times New Roman"/>
              </w:rPr>
            </w:pPr>
          </w:p>
        </w:tc>
        <w:tc>
          <w:tcPr>
            <w:tcW w:w="1358" w:type="dxa"/>
            <w:vAlign w:val="center"/>
          </w:tcPr>
          <w:p w14:paraId="416722C1">
            <w:pPr>
              <w:pStyle w:val="52"/>
              <w:rPr>
                <w:rFonts w:hint="default" w:ascii="Times New Roman" w:hAnsi="Times New Roman" w:eastAsia="仿宋" w:cs="Times New Roman"/>
              </w:rPr>
            </w:pPr>
          </w:p>
        </w:tc>
      </w:tr>
      <w:tr w14:paraId="1B57A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02" w:type="dxa"/>
            <w:vAlign w:val="center"/>
          </w:tcPr>
          <w:p w14:paraId="06BB7BD2">
            <w:pPr>
              <w:pStyle w:val="52"/>
              <w:rPr>
                <w:rFonts w:hint="default" w:ascii="Times New Roman" w:hAnsi="Times New Roman" w:eastAsia="仿宋" w:cs="Times New Roman"/>
              </w:rPr>
            </w:pPr>
          </w:p>
        </w:tc>
        <w:tc>
          <w:tcPr>
            <w:tcW w:w="1030" w:type="dxa"/>
            <w:vAlign w:val="center"/>
          </w:tcPr>
          <w:p w14:paraId="6189CE7A">
            <w:pPr>
              <w:pStyle w:val="52"/>
              <w:rPr>
                <w:rFonts w:hint="default" w:ascii="Times New Roman" w:hAnsi="Times New Roman" w:eastAsia="仿宋" w:cs="Times New Roman"/>
              </w:rPr>
            </w:pPr>
          </w:p>
        </w:tc>
        <w:tc>
          <w:tcPr>
            <w:tcW w:w="1155" w:type="dxa"/>
            <w:vAlign w:val="center"/>
          </w:tcPr>
          <w:p w14:paraId="7EC2F815">
            <w:pPr>
              <w:pStyle w:val="52"/>
              <w:rPr>
                <w:rFonts w:hint="default" w:ascii="Times New Roman" w:hAnsi="Times New Roman" w:eastAsia="仿宋" w:cs="Times New Roman"/>
              </w:rPr>
            </w:pPr>
          </w:p>
        </w:tc>
        <w:tc>
          <w:tcPr>
            <w:tcW w:w="2570" w:type="dxa"/>
            <w:vAlign w:val="center"/>
          </w:tcPr>
          <w:p w14:paraId="18B42EB3">
            <w:pPr>
              <w:pStyle w:val="52"/>
              <w:rPr>
                <w:rFonts w:hint="default" w:ascii="Times New Roman" w:hAnsi="Times New Roman" w:eastAsia="仿宋" w:cs="Times New Roman"/>
              </w:rPr>
            </w:pPr>
          </w:p>
        </w:tc>
        <w:tc>
          <w:tcPr>
            <w:tcW w:w="1106" w:type="dxa"/>
            <w:vAlign w:val="center"/>
          </w:tcPr>
          <w:p w14:paraId="53704040">
            <w:pPr>
              <w:pStyle w:val="52"/>
              <w:rPr>
                <w:rFonts w:hint="default" w:ascii="Times New Roman" w:hAnsi="Times New Roman" w:eastAsia="仿宋" w:cs="Times New Roman"/>
              </w:rPr>
            </w:pPr>
          </w:p>
        </w:tc>
        <w:tc>
          <w:tcPr>
            <w:tcW w:w="1085" w:type="dxa"/>
            <w:vAlign w:val="center"/>
          </w:tcPr>
          <w:p w14:paraId="145DAC12">
            <w:pPr>
              <w:pStyle w:val="52"/>
              <w:rPr>
                <w:rFonts w:hint="default" w:ascii="Times New Roman" w:hAnsi="Times New Roman" w:eastAsia="仿宋" w:cs="Times New Roman"/>
              </w:rPr>
            </w:pPr>
          </w:p>
        </w:tc>
        <w:tc>
          <w:tcPr>
            <w:tcW w:w="1088" w:type="dxa"/>
            <w:vAlign w:val="center"/>
          </w:tcPr>
          <w:p w14:paraId="689EF9B1">
            <w:pPr>
              <w:pStyle w:val="52"/>
              <w:rPr>
                <w:rFonts w:hint="default" w:ascii="Times New Roman" w:hAnsi="Times New Roman" w:eastAsia="仿宋" w:cs="Times New Roman"/>
              </w:rPr>
            </w:pPr>
          </w:p>
        </w:tc>
        <w:tc>
          <w:tcPr>
            <w:tcW w:w="1358" w:type="dxa"/>
            <w:vAlign w:val="center"/>
          </w:tcPr>
          <w:p w14:paraId="35DDDC42">
            <w:pPr>
              <w:pStyle w:val="52"/>
              <w:rPr>
                <w:rFonts w:hint="default" w:ascii="Times New Roman" w:hAnsi="Times New Roman" w:eastAsia="仿宋" w:cs="Times New Roman"/>
              </w:rPr>
            </w:pPr>
          </w:p>
        </w:tc>
      </w:tr>
      <w:tr w14:paraId="5B5EE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02" w:type="dxa"/>
            <w:vAlign w:val="center"/>
          </w:tcPr>
          <w:p w14:paraId="0D59C5C2">
            <w:pPr>
              <w:pStyle w:val="52"/>
              <w:rPr>
                <w:rFonts w:hint="default" w:ascii="Times New Roman" w:hAnsi="Times New Roman" w:eastAsia="仿宋" w:cs="Times New Roman"/>
              </w:rPr>
            </w:pPr>
          </w:p>
        </w:tc>
        <w:tc>
          <w:tcPr>
            <w:tcW w:w="1030" w:type="dxa"/>
            <w:vAlign w:val="center"/>
          </w:tcPr>
          <w:p w14:paraId="48044891">
            <w:pPr>
              <w:pStyle w:val="52"/>
              <w:rPr>
                <w:rFonts w:hint="default" w:ascii="Times New Roman" w:hAnsi="Times New Roman" w:eastAsia="仿宋" w:cs="Times New Roman"/>
              </w:rPr>
            </w:pPr>
          </w:p>
        </w:tc>
        <w:tc>
          <w:tcPr>
            <w:tcW w:w="1155" w:type="dxa"/>
            <w:vAlign w:val="center"/>
          </w:tcPr>
          <w:p w14:paraId="6760B924">
            <w:pPr>
              <w:pStyle w:val="52"/>
              <w:rPr>
                <w:rFonts w:hint="default" w:ascii="Times New Roman" w:hAnsi="Times New Roman" w:eastAsia="仿宋" w:cs="Times New Roman"/>
              </w:rPr>
            </w:pPr>
          </w:p>
        </w:tc>
        <w:tc>
          <w:tcPr>
            <w:tcW w:w="2570" w:type="dxa"/>
            <w:vAlign w:val="center"/>
          </w:tcPr>
          <w:p w14:paraId="04AB8B73">
            <w:pPr>
              <w:pStyle w:val="52"/>
              <w:rPr>
                <w:rFonts w:hint="default" w:ascii="Times New Roman" w:hAnsi="Times New Roman" w:eastAsia="仿宋" w:cs="Times New Roman"/>
              </w:rPr>
            </w:pPr>
          </w:p>
        </w:tc>
        <w:tc>
          <w:tcPr>
            <w:tcW w:w="1106" w:type="dxa"/>
            <w:vAlign w:val="center"/>
          </w:tcPr>
          <w:p w14:paraId="4411676F">
            <w:pPr>
              <w:pStyle w:val="52"/>
              <w:rPr>
                <w:rFonts w:hint="default" w:ascii="Times New Roman" w:hAnsi="Times New Roman" w:eastAsia="仿宋" w:cs="Times New Roman"/>
              </w:rPr>
            </w:pPr>
          </w:p>
        </w:tc>
        <w:tc>
          <w:tcPr>
            <w:tcW w:w="1085" w:type="dxa"/>
            <w:vAlign w:val="center"/>
          </w:tcPr>
          <w:p w14:paraId="6AB9F10D">
            <w:pPr>
              <w:pStyle w:val="52"/>
              <w:rPr>
                <w:rFonts w:hint="default" w:ascii="Times New Roman" w:hAnsi="Times New Roman" w:eastAsia="仿宋" w:cs="Times New Roman"/>
              </w:rPr>
            </w:pPr>
          </w:p>
        </w:tc>
        <w:tc>
          <w:tcPr>
            <w:tcW w:w="1088" w:type="dxa"/>
            <w:vAlign w:val="center"/>
          </w:tcPr>
          <w:p w14:paraId="7A6176DB">
            <w:pPr>
              <w:pStyle w:val="52"/>
              <w:rPr>
                <w:rFonts w:hint="default" w:ascii="Times New Roman" w:hAnsi="Times New Roman" w:eastAsia="仿宋" w:cs="Times New Roman"/>
              </w:rPr>
            </w:pPr>
          </w:p>
        </w:tc>
        <w:tc>
          <w:tcPr>
            <w:tcW w:w="1358" w:type="dxa"/>
            <w:vAlign w:val="center"/>
          </w:tcPr>
          <w:p w14:paraId="0819A86C">
            <w:pPr>
              <w:pStyle w:val="52"/>
              <w:rPr>
                <w:rFonts w:hint="default" w:ascii="Times New Roman" w:hAnsi="Times New Roman" w:eastAsia="仿宋" w:cs="Times New Roman"/>
              </w:rPr>
            </w:pPr>
          </w:p>
        </w:tc>
      </w:tr>
      <w:tr w14:paraId="326F3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02" w:type="dxa"/>
            <w:vAlign w:val="center"/>
          </w:tcPr>
          <w:p w14:paraId="634DDA90">
            <w:pPr>
              <w:pStyle w:val="52"/>
              <w:rPr>
                <w:rFonts w:hint="default" w:ascii="Times New Roman" w:hAnsi="Times New Roman" w:eastAsia="仿宋" w:cs="Times New Roman"/>
              </w:rPr>
            </w:pPr>
          </w:p>
        </w:tc>
        <w:tc>
          <w:tcPr>
            <w:tcW w:w="1030" w:type="dxa"/>
            <w:vAlign w:val="center"/>
          </w:tcPr>
          <w:p w14:paraId="3CC6B86E">
            <w:pPr>
              <w:pStyle w:val="52"/>
              <w:rPr>
                <w:rFonts w:hint="default" w:ascii="Times New Roman" w:hAnsi="Times New Roman" w:eastAsia="仿宋" w:cs="Times New Roman"/>
              </w:rPr>
            </w:pPr>
          </w:p>
        </w:tc>
        <w:tc>
          <w:tcPr>
            <w:tcW w:w="1155" w:type="dxa"/>
            <w:vAlign w:val="center"/>
          </w:tcPr>
          <w:p w14:paraId="2E9E1FF1">
            <w:pPr>
              <w:pStyle w:val="52"/>
              <w:rPr>
                <w:rFonts w:hint="default" w:ascii="Times New Roman" w:hAnsi="Times New Roman" w:eastAsia="仿宋" w:cs="Times New Roman"/>
              </w:rPr>
            </w:pPr>
          </w:p>
        </w:tc>
        <w:tc>
          <w:tcPr>
            <w:tcW w:w="2570" w:type="dxa"/>
            <w:vAlign w:val="center"/>
          </w:tcPr>
          <w:p w14:paraId="033C1B13">
            <w:pPr>
              <w:pStyle w:val="52"/>
              <w:rPr>
                <w:rFonts w:hint="default" w:ascii="Times New Roman" w:hAnsi="Times New Roman" w:eastAsia="仿宋" w:cs="Times New Roman"/>
              </w:rPr>
            </w:pPr>
          </w:p>
        </w:tc>
        <w:tc>
          <w:tcPr>
            <w:tcW w:w="1106" w:type="dxa"/>
            <w:vAlign w:val="center"/>
          </w:tcPr>
          <w:p w14:paraId="33E7560F">
            <w:pPr>
              <w:pStyle w:val="52"/>
              <w:rPr>
                <w:rFonts w:hint="default" w:ascii="Times New Roman" w:hAnsi="Times New Roman" w:eastAsia="仿宋" w:cs="Times New Roman"/>
              </w:rPr>
            </w:pPr>
          </w:p>
        </w:tc>
        <w:tc>
          <w:tcPr>
            <w:tcW w:w="1085" w:type="dxa"/>
            <w:vAlign w:val="center"/>
          </w:tcPr>
          <w:p w14:paraId="4CDD5318">
            <w:pPr>
              <w:pStyle w:val="52"/>
              <w:rPr>
                <w:rFonts w:hint="default" w:ascii="Times New Roman" w:hAnsi="Times New Roman" w:eastAsia="仿宋" w:cs="Times New Roman"/>
              </w:rPr>
            </w:pPr>
          </w:p>
        </w:tc>
        <w:tc>
          <w:tcPr>
            <w:tcW w:w="1088" w:type="dxa"/>
            <w:vAlign w:val="center"/>
          </w:tcPr>
          <w:p w14:paraId="61C9A1CC">
            <w:pPr>
              <w:pStyle w:val="52"/>
              <w:rPr>
                <w:rFonts w:hint="default" w:ascii="Times New Roman" w:hAnsi="Times New Roman" w:eastAsia="仿宋" w:cs="Times New Roman"/>
              </w:rPr>
            </w:pPr>
          </w:p>
        </w:tc>
        <w:tc>
          <w:tcPr>
            <w:tcW w:w="1358" w:type="dxa"/>
            <w:vAlign w:val="center"/>
          </w:tcPr>
          <w:p w14:paraId="0F510666">
            <w:pPr>
              <w:pStyle w:val="52"/>
              <w:rPr>
                <w:rFonts w:hint="default" w:ascii="Times New Roman" w:hAnsi="Times New Roman" w:eastAsia="仿宋" w:cs="Times New Roman"/>
              </w:rPr>
            </w:pPr>
          </w:p>
        </w:tc>
      </w:tr>
      <w:tr w14:paraId="7CAEB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02" w:type="dxa"/>
            <w:vAlign w:val="center"/>
          </w:tcPr>
          <w:p w14:paraId="6EBC69B2">
            <w:pPr>
              <w:pStyle w:val="52"/>
              <w:rPr>
                <w:rFonts w:hint="default" w:ascii="Times New Roman" w:hAnsi="Times New Roman" w:eastAsia="仿宋" w:cs="Times New Roman"/>
              </w:rPr>
            </w:pPr>
          </w:p>
        </w:tc>
        <w:tc>
          <w:tcPr>
            <w:tcW w:w="1030" w:type="dxa"/>
            <w:vAlign w:val="center"/>
          </w:tcPr>
          <w:p w14:paraId="4D2FC008">
            <w:pPr>
              <w:pStyle w:val="52"/>
              <w:rPr>
                <w:rFonts w:hint="default" w:ascii="Times New Roman" w:hAnsi="Times New Roman" w:eastAsia="仿宋" w:cs="Times New Roman"/>
              </w:rPr>
            </w:pPr>
          </w:p>
        </w:tc>
        <w:tc>
          <w:tcPr>
            <w:tcW w:w="1155" w:type="dxa"/>
            <w:vAlign w:val="center"/>
          </w:tcPr>
          <w:p w14:paraId="3BE6E22D">
            <w:pPr>
              <w:pStyle w:val="52"/>
              <w:rPr>
                <w:rFonts w:hint="default" w:ascii="Times New Roman" w:hAnsi="Times New Roman" w:eastAsia="仿宋" w:cs="Times New Roman"/>
              </w:rPr>
            </w:pPr>
          </w:p>
        </w:tc>
        <w:tc>
          <w:tcPr>
            <w:tcW w:w="2570" w:type="dxa"/>
            <w:vAlign w:val="center"/>
          </w:tcPr>
          <w:p w14:paraId="237FA813">
            <w:pPr>
              <w:pStyle w:val="52"/>
              <w:rPr>
                <w:rFonts w:hint="default" w:ascii="Times New Roman" w:hAnsi="Times New Roman" w:eastAsia="仿宋" w:cs="Times New Roman"/>
              </w:rPr>
            </w:pPr>
          </w:p>
        </w:tc>
        <w:tc>
          <w:tcPr>
            <w:tcW w:w="1106" w:type="dxa"/>
            <w:vAlign w:val="center"/>
          </w:tcPr>
          <w:p w14:paraId="735F9E91">
            <w:pPr>
              <w:pStyle w:val="52"/>
              <w:rPr>
                <w:rFonts w:hint="default" w:ascii="Times New Roman" w:hAnsi="Times New Roman" w:eastAsia="仿宋" w:cs="Times New Roman"/>
              </w:rPr>
            </w:pPr>
          </w:p>
        </w:tc>
        <w:tc>
          <w:tcPr>
            <w:tcW w:w="1085" w:type="dxa"/>
            <w:vAlign w:val="center"/>
          </w:tcPr>
          <w:p w14:paraId="36530D53">
            <w:pPr>
              <w:pStyle w:val="52"/>
              <w:rPr>
                <w:rFonts w:hint="default" w:ascii="Times New Roman" w:hAnsi="Times New Roman" w:eastAsia="仿宋" w:cs="Times New Roman"/>
              </w:rPr>
            </w:pPr>
          </w:p>
        </w:tc>
        <w:tc>
          <w:tcPr>
            <w:tcW w:w="1088" w:type="dxa"/>
            <w:vAlign w:val="center"/>
          </w:tcPr>
          <w:p w14:paraId="2B32EB51">
            <w:pPr>
              <w:pStyle w:val="52"/>
              <w:rPr>
                <w:rFonts w:hint="default" w:ascii="Times New Roman" w:hAnsi="Times New Roman" w:eastAsia="仿宋" w:cs="Times New Roman"/>
              </w:rPr>
            </w:pPr>
          </w:p>
        </w:tc>
        <w:tc>
          <w:tcPr>
            <w:tcW w:w="1358" w:type="dxa"/>
            <w:vAlign w:val="center"/>
          </w:tcPr>
          <w:p w14:paraId="5B7A44D0">
            <w:pPr>
              <w:pStyle w:val="52"/>
              <w:rPr>
                <w:rFonts w:hint="default" w:ascii="Times New Roman" w:hAnsi="Times New Roman" w:eastAsia="仿宋" w:cs="Times New Roman"/>
              </w:rPr>
            </w:pPr>
          </w:p>
        </w:tc>
      </w:tr>
      <w:tr w14:paraId="156D3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02" w:type="dxa"/>
            <w:vAlign w:val="center"/>
          </w:tcPr>
          <w:p w14:paraId="55A9BA7C">
            <w:pPr>
              <w:pStyle w:val="52"/>
              <w:rPr>
                <w:rFonts w:hint="default" w:ascii="Times New Roman" w:hAnsi="Times New Roman" w:eastAsia="仿宋" w:cs="Times New Roman"/>
              </w:rPr>
            </w:pPr>
          </w:p>
        </w:tc>
        <w:tc>
          <w:tcPr>
            <w:tcW w:w="1030" w:type="dxa"/>
            <w:vAlign w:val="center"/>
          </w:tcPr>
          <w:p w14:paraId="6B641976">
            <w:pPr>
              <w:pStyle w:val="52"/>
              <w:rPr>
                <w:rFonts w:hint="default" w:ascii="Times New Roman" w:hAnsi="Times New Roman" w:eastAsia="仿宋" w:cs="Times New Roman"/>
              </w:rPr>
            </w:pPr>
          </w:p>
        </w:tc>
        <w:tc>
          <w:tcPr>
            <w:tcW w:w="1155" w:type="dxa"/>
            <w:vAlign w:val="center"/>
          </w:tcPr>
          <w:p w14:paraId="7A31ABB7">
            <w:pPr>
              <w:pStyle w:val="52"/>
              <w:rPr>
                <w:rFonts w:hint="default" w:ascii="Times New Roman" w:hAnsi="Times New Roman" w:eastAsia="仿宋" w:cs="Times New Roman"/>
              </w:rPr>
            </w:pPr>
          </w:p>
        </w:tc>
        <w:tc>
          <w:tcPr>
            <w:tcW w:w="2570" w:type="dxa"/>
            <w:vAlign w:val="center"/>
          </w:tcPr>
          <w:p w14:paraId="5E958264">
            <w:pPr>
              <w:pStyle w:val="52"/>
              <w:rPr>
                <w:rFonts w:hint="default" w:ascii="Times New Roman" w:hAnsi="Times New Roman" w:eastAsia="仿宋" w:cs="Times New Roman"/>
              </w:rPr>
            </w:pPr>
          </w:p>
        </w:tc>
        <w:tc>
          <w:tcPr>
            <w:tcW w:w="1106" w:type="dxa"/>
            <w:vAlign w:val="center"/>
          </w:tcPr>
          <w:p w14:paraId="28B81A5C">
            <w:pPr>
              <w:pStyle w:val="52"/>
              <w:rPr>
                <w:rFonts w:hint="default" w:ascii="Times New Roman" w:hAnsi="Times New Roman" w:eastAsia="仿宋" w:cs="Times New Roman"/>
              </w:rPr>
            </w:pPr>
          </w:p>
        </w:tc>
        <w:tc>
          <w:tcPr>
            <w:tcW w:w="1085" w:type="dxa"/>
            <w:vAlign w:val="center"/>
          </w:tcPr>
          <w:p w14:paraId="39D801B5">
            <w:pPr>
              <w:pStyle w:val="52"/>
              <w:rPr>
                <w:rFonts w:hint="default" w:ascii="Times New Roman" w:hAnsi="Times New Roman" w:eastAsia="仿宋" w:cs="Times New Roman"/>
              </w:rPr>
            </w:pPr>
          </w:p>
        </w:tc>
        <w:tc>
          <w:tcPr>
            <w:tcW w:w="1088" w:type="dxa"/>
            <w:vAlign w:val="center"/>
          </w:tcPr>
          <w:p w14:paraId="2EC63EC4">
            <w:pPr>
              <w:pStyle w:val="52"/>
              <w:rPr>
                <w:rFonts w:hint="default" w:ascii="Times New Roman" w:hAnsi="Times New Roman" w:eastAsia="仿宋" w:cs="Times New Roman"/>
              </w:rPr>
            </w:pPr>
          </w:p>
        </w:tc>
        <w:tc>
          <w:tcPr>
            <w:tcW w:w="1358" w:type="dxa"/>
            <w:vAlign w:val="center"/>
          </w:tcPr>
          <w:p w14:paraId="0662C005">
            <w:pPr>
              <w:pStyle w:val="52"/>
              <w:rPr>
                <w:rFonts w:hint="default" w:ascii="Times New Roman" w:hAnsi="Times New Roman" w:eastAsia="仿宋" w:cs="Times New Roman"/>
              </w:rPr>
            </w:pPr>
          </w:p>
        </w:tc>
      </w:tr>
      <w:tr w14:paraId="7F9E9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02" w:type="dxa"/>
            <w:vAlign w:val="center"/>
          </w:tcPr>
          <w:p w14:paraId="1A300C18">
            <w:pPr>
              <w:pStyle w:val="52"/>
              <w:rPr>
                <w:rFonts w:hint="default" w:ascii="Times New Roman" w:hAnsi="Times New Roman" w:eastAsia="仿宋" w:cs="Times New Roman"/>
              </w:rPr>
            </w:pPr>
          </w:p>
        </w:tc>
        <w:tc>
          <w:tcPr>
            <w:tcW w:w="1030" w:type="dxa"/>
            <w:vAlign w:val="center"/>
          </w:tcPr>
          <w:p w14:paraId="404CA174">
            <w:pPr>
              <w:pStyle w:val="52"/>
              <w:rPr>
                <w:rFonts w:hint="default" w:ascii="Times New Roman" w:hAnsi="Times New Roman" w:eastAsia="仿宋" w:cs="Times New Roman"/>
              </w:rPr>
            </w:pPr>
          </w:p>
        </w:tc>
        <w:tc>
          <w:tcPr>
            <w:tcW w:w="1155" w:type="dxa"/>
            <w:vAlign w:val="center"/>
          </w:tcPr>
          <w:p w14:paraId="56DAA379">
            <w:pPr>
              <w:pStyle w:val="52"/>
              <w:rPr>
                <w:rFonts w:hint="default" w:ascii="Times New Roman" w:hAnsi="Times New Roman" w:eastAsia="仿宋" w:cs="Times New Roman"/>
              </w:rPr>
            </w:pPr>
          </w:p>
        </w:tc>
        <w:tc>
          <w:tcPr>
            <w:tcW w:w="2570" w:type="dxa"/>
            <w:vAlign w:val="center"/>
          </w:tcPr>
          <w:p w14:paraId="1CBE4BF9">
            <w:pPr>
              <w:pStyle w:val="52"/>
              <w:rPr>
                <w:rFonts w:hint="default" w:ascii="Times New Roman" w:hAnsi="Times New Roman" w:eastAsia="仿宋" w:cs="Times New Roman"/>
              </w:rPr>
            </w:pPr>
          </w:p>
        </w:tc>
        <w:tc>
          <w:tcPr>
            <w:tcW w:w="1106" w:type="dxa"/>
            <w:vAlign w:val="center"/>
          </w:tcPr>
          <w:p w14:paraId="4B756254">
            <w:pPr>
              <w:pStyle w:val="52"/>
              <w:rPr>
                <w:rFonts w:hint="default" w:ascii="Times New Roman" w:hAnsi="Times New Roman" w:eastAsia="仿宋" w:cs="Times New Roman"/>
              </w:rPr>
            </w:pPr>
          </w:p>
        </w:tc>
        <w:tc>
          <w:tcPr>
            <w:tcW w:w="1085" w:type="dxa"/>
            <w:vAlign w:val="center"/>
          </w:tcPr>
          <w:p w14:paraId="714A064E">
            <w:pPr>
              <w:pStyle w:val="52"/>
              <w:rPr>
                <w:rFonts w:hint="default" w:ascii="Times New Roman" w:hAnsi="Times New Roman" w:eastAsia="仿宋" w:cs="Times New Roman"/>
              </w:rPr>
            </w:pPr>
          </w:p>
        </w:tc>
        <w:tc>
          <w:tcPr>
            <w:tcW w:w="1088" w:type="dxa"/>
            <w:vAlign w:val="center"/>
          </w:tcPr>
          <w:p w14:paraId="3FE0DDB7">
            <w:pPr>
              <w:pStyle w:val="52"/>
              <w:rPr>
                <w:rFonts w:hint="default" w:ascii="Times New Roman" w:hAnsi="Times New Roman" w:eastAsia="仿宋" w:cs="Times New Roman"/>
              </w:rPr>
            </w:pPr>
          </w:p>
        </w:tc>
        <w:tc>
          <w:tcPr>
            <w:tcW w:w="1358" w:type="dxa"/>
            <w:vAlign w:val="center"/>
          </w:tcPr>
          <w:p w14:paraId="30A6873A">
            <w:pPr>
              <w:pStyle w:val="52"/>
              <w:rPr>
                <w:rFonts w:hint="default" w:ascii="Times New Roman" w:hAnsi="Times New Roman" w:eastAsia="仿宋" w:cs="Times New Roman"/>
              </w:rPr>
            </w:pPr>
          </w:p>
        </w:tc>
      </w:tr>
      <w:tr w14:paraId="7E1D8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02" w:type="dxa"/>
            <w:vAlign w:val="center"/>
          </w:tcPr>
          <w:p w14:paraId="02E3F212">
            <w:pPr>
              <w:pStyle w:val="52"/>
              <w:rPr>
                <w:rFonts w:hint="default" w:ascii="Times New Roman" w:hAnsi="Times New Roman" w:eastAsia="仿宋" w:cs="Times New Roman"/>
              </w:rPr>
            </w:pPr>
          </w:p>
        </w:tc>
        <w:tc>
          <w:tcPr>
            <w:tcW w:w="1030" w:type="dxa"/>
            <w:vAlign w:val="center"/>
          </w:tcPr>
          <w:p w14:paraId="7DCA4260">
            <w:pPr>
              <w:pStyle w:val="52"/>
              <w:rPr>
                <w:rFonts w:hint="default" w:ascii="Times New Roman" w:hAnsi="Times New Roman" w:eastAsia="仿宋" w:cs="Times New Roman"/>
              </w:rPr>
            </w:pPr>
          </w:p>
        </w:tc>
        <w:tc>
          <w:tcPr>
            <w:tcW w:w="1155" w:type="dxa"/>
            <w:vAlign w:val="center"/>
          </w:tcPr>
          <w:p w14:paraId="536152AA">
            <w:pPr>
              <w:pStyle w:val="52"/>
              <w:rPr>
                <w:rFonts w:hint="default" w:ascii="Times New Roman" w:hAnsi="Times New Roman" w:eastAsia="仿宋" w:cs="Times New Roman"/>
              </w:rPr>
            </w:pPr>
          </w:p>
        </w:tc>
        <w:tc>
          <w:tcPr>
            <w:tcW w:w="2570" w:type="dxa"/>
            <w:vAlign w:val="center"/>
          </w:tcPr>
          <w:p w14:paraId="57AD22FE">
            <w:pPr>
              <w:pStyle w:val="52"/>
              <w:rPr>
                <w:rFonts w:hint="default" w:ascii="Times New Roman" w:hAnsi="Times New Roman" w:eastAsia="仿宋" w:cs="Times New Roman"/>
              </w:rPr>
            </w:pPr>
          </w:p>
        </w:tc>
        <w:tc>
          <w:tcPr>
            <w:tcW w:w="1106" w:type="dxa"/>
            <w:vAlign w:val="center"/>
          </w:tcPr>
          <w:p w14:paraId="28243EF2">
            <w:pPr>
              <w:pStyle w:val="52"/>
              <w:rPr>
                <w:rFonts w:hint="default" w:ascii="Times New Roman" w:hAnsi="Times New Roman" w:eastAsia="仿宋" w:cs="Times New Roman"/>
              </w:rPr>
            </w:pPr>
          </w:p>
        </w:tc>
        <w:tc>
          <w:tcPr>
            <w:tcW w:w="1085" w:type="dxa"/>
            <w:vAlign w:val="center"/>
          </w:tcPr>
          <w:p w14:paraId="118F8722">
            <w:pPr>
              <w:pStyle w:val="52"/>
              <w:rPr>
                <w:rFonts w:hint="default" w:ascii="Times New Roman" w:hAnsi="Times New Roman" w:eastAsia="仿宋" w:cs="Times New Roman"/>
              </w:rPr>
            </w:pPr>
          </w:p>
        </w:tc>
        <w:tc>
          <w:tcPr>
            <w:tcW w:w="1088" w:type="dxa"/>
            <w:vAlign w:val="center"/>
          </w:tcPr>
          <w:p w14:paraId="4A3FE630">
            <w:pPr>
              <w:pStyle w:val="52"/>
              <w:rPr>
                <w:rFonts w:hint="default" w:ascii="Times New Roman" w:hAnsi="Times New Roman" w:eastAsia="仿宋" w:cs="Times New Roman"/>
              </w:rPr>
            </w:pPr>
          </w:p>
        </w:tc>
        <w:tc>
          <w:tcPr>
            <w:tcW w:w="1358" w:type="dxa"/>
            <w:vAlign w:val="center"/>
          </w:tcPr>
          <w:p w14:paraId="106E9A2E">
            <w:pPr>
              <w:pStyle w:val="52"/>
              <w:rPr>
                <w:rFonts w:hint="default" w:ascii="Times New Roman" w:hAnsi="Times New Roman" w:eastAsia="仿宋" w:cs="Times New Roman"/>
              </w:rPr>
            </w:pPr>
          </w:p>
        </w:tc>
      </w:tr>
      <w:tr w14:paraId="7A1E6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02" w:type="dxa"/>
            <w:vAlign w:val="center"/>
          </w:tcPr>
          <w:p w14:paraId="4E1A474F">
            <w:pPr>
              <w:pStyle w:val="52"/>
              <w:rPr>
                <w:rFonts w:hint="default" w:ascii="Times New Roman" w:hAnsi="Times New Roman" w:eastAsia="仿宋" w:cs="Times New Roman"/>
              </w:rPr>
            </w:pPr>
          </w:p>
        </w:tc>
        <w:tc>
          <w:tcPr>
            <w:tcW w:w="1030" w:type="dxa"/>
            <w:vAlign w:val="center"/>
          </w:tcPr>
          <w:p w14:paraId="612E747E">
            <w:pPr>
              <w:pStyle w:val="52"/>
              <w:rPr>
                <w:rFonts w:hint="default" w:ascii="Times New Roman" w:hAnsi="Times New Roman" w:eastAsia="仿宋" w:cs="Times New Roman"/>
              </w:rPr>
            </w:pPr>
          </w:p>
        </w:tc>
        <w:tc>
          <w:tcPr>
            <w:tcW w:w="1155" w:type="dxa"/>
            <w:vAlign w:val="center"/>
          </w:tcPr>
          <w:p w14:paraId="4E37FAF6">
            <w:pPr>
              <w:pStyle w:val="52"/>
              <w:rPr>
                <w:rFonts w:hint="default" w:ascii="Times New Roman" w:hAnsi="Times New Roman" w:eastAsia="仿宋" w:cs="Times New Roman"/>
              </w:rPr>
            </w:pPr>
          </w:p>
        </w:tc>
        <w:tc>
          <w:tcPr>
            <w:tcW w:w="2570" w:type="dxa"/>
            <w:vAlign w:val="center"/>
          </w:tcPr>
          <w:p w14:paraId="54A38C81">
            <w:pPr>
              <w:pStyle w:val="52"/>
              <w:rPr>
                <w:rFonts w:hint="default" w:ascii="Times New Roman" w:hAnsi="Times New Roman" w:eastAsia="仿宋" w:cs="Times New Roman"/>
              </w:rPr>
            </w:pPr>
          </w:p>
        </w:tc>
        <w:tc>
          <w:tcPr>
            <w:tcW w:w="1106" w:type="dxa"/>
            <w:vAlign w:val="center"/>
          </w:tcPr>
          <w:p w14:paraId="2152023D">
            <w:pPr>
              <w:pStyle w:val="52"/>
              <w:rPr>
                <w:rFonts w:hint="default" w:ascii="Times New Roman" w:hAnsi="Times New Roman" w:eastAsia="仿宋" w:cs="Times New Roman"/>
              </w:rPr>
            </w:pPr>
          </w:p>
        </w:tc>
        <w:tc>
          <w:tcPr>
            <w:tcW w:w="1085" w:type="dxa"/>
            <w:vAlign w:val="center"/>
          </w:tcPr>
          <w:p w14:paraId="622C9BAD">
            <w:pPr>
              <w:pStyle w:val="52"/>
              <w:rPr>
                <w:rFonts w:hint="default" w:ascii="Times New Roman" w:hAnsi="Times New Roman" w:eastAsia="仿宋" w:cs="Times New Roman"/>
              </w:rPr>
            </w:pPr>
          </w:p>
        </w:tc>
        <w:tc>
          <w:tcPr>
            <w:tcW w:w="1088" w:type="dxa"/>
            <w:vAlign w:val="center"/>
          </w:tcPr>
          <w:p w14:paraId="645D1A8E">
            <w:pPr>
              <w:pStyle w:val="52"/>
              <w:rPr>
                <w:rFonts w:hint="default" w:ascii="Times New Roman" w:hAnsi="Times New Roman" w:eastAsia="仿宋" w:cs="Times New Roman"/>
              </w:rPr>
            </w:pPr>
          </w:p>
        </w:tc>
        <w:tc>
          <w:tcPr>
            <w:tcW w:w="1358" w:type="dxa"/>
            <w:vAlign w:val="center"/>
          </w:tcPr>
          <w:p w14:paraId="62D0AA34">
            <w:pPr>
              <w:pStyle w:val="52"/>
              <w:rPr>
                <w:rFonts w:hint="default" w:ascii="Times New Roman" w:hAnsi="Times New Roman" w:eastAsia="仿宋" w:cs="Times New Roman"/>
              </w:rPr>
            </w:pPr>
          </w:p>
        </w:tc>
      </w:tr>
      <w:tr w14:paraId="26F65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02" w:type="dxa"/>
            <w:vAlign w:val="center"/>
          </w:tcPr>
          <w:p w14:paraId="7B608537">
            <w:pPr>
              <w:pStyle w:val="52"/>
              <w:rPr>
                <w:rFonts w:hint="default" w:ascii="Times New Roman" w:hAnsi="Times New Roman" w:eastAsia="仿宋" w:cs="Times New Roman"/>
              </w:rPr>
            </w:pPr>
          </w:p>
        </w:tc>
        <w:tc>
          <w:tcPr>
            <w:tcW w:w="1030" w:type="dxa"/>
            <w:vAlign w:val="center"/>
          </w:tcPr>
          <w:p w14:paraId="40E38272">
            <w:pPr>
              <w:pStyle w:val="52"/>
              <w:rPr>
                <w:rFonts w:hint="default" w:ascii="Times New Roman" w:hAnsi="Times New Roman" w:eastAsia="仿宋" w:cs="Times New Roman"/>
              </w:rPr>
            </w:pPr>
          </w:p>
        </w:tc>
        <w:tc>
          <w:tcPr>
            <w:tcW w:w="1155" w:type="dxa"/>
            <w:vAlign w:val="center"/>
          </w:tcPr>
          <w:p w14:paraId="731025CE">
            <w:pPr>
              <w:pStyle w:val="52"/>
              <w:rPr>
                <w:rFonts w:hint="default" w:ascii="Times New Roman" w:hAnsi="Times New Roman" w:eastAsia="仿宋" w:cs="Times New Roman"/>
              </w:rPr>
            </w:pPr>
          </w:p>
        </w:tc>
        <w:tc>
          <w:tcPr>
            <w:tcW w:w="2570" w:type="dxa"/>
            <w:vAlign w:val="center"/>
          </w:tcPr>
          <w:p w14:paraId="4D873A3C">
            <w:pPr>
              <w:pStyle w:val="52"/>
              <w:rPr>
                <w:rFonts w:hint="default" w:ascii="Times New Roman" w:hAnsi="Times New Roman" w:eastAsia="仿宋" w:cs="Times New Roman"/>
              </w:rPr>
            </w:pPr>
          </w:p>
        </w:tc>
        <w:tc>
          <w:tcPr>
            <w:tcW w:w="1106" w:type="dxa"/>
            <w:vAlign w:val="center"/>
          </w:tcPr>
          <w:p w14:paraId="57D1E6F0">
            <w:pPr>
              <w:pStyle w:val="52"/>
              <w:rPr>
                <w:rFonts w:hint="default" w:ascii="Times New Roman" w:hAnsi="Times New Roman" w:eastAsia="仿宋" w:cs="Times New Roman"/>
              </w:rPr>
            </w:pPr>
          </w:p>
        </w:tc>
        <w:tc>
          <w:tcPr>
            <w:tcW w:w="1085" w:type="dxa"/>
            <w:vAlign w:val="center"/>
          </w:tcPr>
          <w:p w14:paraId="2A95688B">
            <w:pPr>
              <w:pStyle w:val="52"/>
              <w:rPr>
                <w:rFonts w:hint="default" w:ascii="Times New Roman" w:hAnsi="Times New Roman" w:eastAsia="仿宋" w:cs="Times New Roman"/>
              </w:rPr>
            </w:pPr>
          </w:p>
        </w:tc>
        <w:tc>
          <w:tcPr>
            <w:tcW w:w="1088" w:type="dxa"/>
            <w:vAlign w:val="center"/>
          </w:tcPr>
          <w:p w14:paraId="40D870CA">
            <w:pPr>
              <w:pStyle w:val="52"/>
              <w:rPr>
                <w:rFonts w:hint="default" w:ascii="Times New Roman" w:hAnsi="Times New Roman" w:eastAsia="仿宋" w:cs="Times New Roman"/>
              </w:rPr>
            </w:pPr>
          </w:p>
        </w:tc>
        <w:tc>
          <w:tcPr>
            <w:tcW w:w="1358" w:type="dxa"/>
            <w:vAlign w:val="center"/>
          </w:tcPr>
          <w:p w14:paraId="4A6BDC7C">
            <w:pPr>
              <w:pStyle w:val="52"/>
              <w:rPr>
                <w:rFonts w:hint="default" w:ascii="Times New Roman" w:hAnsi="Times New Roman" w:eastAsia="仿宋" w:cs="Times New Roman"/>
              </w:rPr>
            </w:pPr>
          </w:p>
        </w:tc>
      </w:tr>
    </w:tbl>
    <w:p w14:paraId="53AD8C46">
      <w:pPr>
        <w:rPr>
          <w:rFonts w:hint="default" w:ascii="Times New Roman" w:hAnsi="Times New Roman" w:eastAsia="仿宋" w:cs="Times New Roman"/>
          <w:szCs w:val="24"/>
        </w:rPr>
      </w:pPr>
      <w:r>
        <w:rPr>
          <w:rFonts w:hint="default" w:ascii="Times New Roman" w:hAnsi="Times New Roman" w:eastAsia="仿宋" w:cs="Times New Roman"/>
          <w:szCs w:val="24"/>
        </w:rPr>
        <w:t>主讲人签字：          填表人：              填表日期： 年  月  日</w:t>
      </w:r>
    </w:p>
    <w:p w14:paraId="43EB439A">
      <w:pPr>
        <w:outlineLvl w:val="1"/>
        <w:rPr>
          <w:rFonts w:hint="default" w:ascii="Times New Roman" w:hAnsi="Times New Roman" w:eastAsia="仿宋" w:cs="Times New Roman"/>
          <w:b/>
          <w:bCs/>
          <w:szCs w:val="28"/>
        </w:rPr>
      </w:pPr>
      <w:bookmarkStart w:id="149" w:name="_Toc21295_WPSOffice_Level2"/>
      <w:bookmarkStart w:id="150" w:name="_Toc24732"/>
      <w:bookmarkStart w:id="151" w:name="_Toc18067"/>
      <w:r>
        <w:rPr>
          <w:rFonts w:hint="default" w:ascii="Times New Roman" w:hAnsi="Times New Roman" w:eastAsia="仿宋" w:cs="Times New Roman"/>
          <w:b/>
          <w:bCs/>
          <w:szCs w:val="28"/>
        </w:rPr>
        <w:t>12.2演练</w:t>
      </w:r>
      <w:bookmarkEnd w:id="149"/>
      <w:bookmarkEnd w:id="150"/>
      <w:bookmarkEnd w:id="151"/>
    </w:p>
    <w:p w14:paraId="338D538C">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公司每年应至少组织一次突发环境事件应急救援演习。演练内容着重针对本预案提出的各类突发环境事件情景，包括环境风险物质泄漏以及发生火灾/爆炸等情景。</w:t>
      </w:r>
    </w:p>
    <w:p w14:paraId="352E713B">
      <w:pPr>
        <w:ind w:firstLine="560" w:firstLineChars="200"/>
        <w:jc w:val="center"/>
        <w:rPr>
          <w:rFonts w:hint="default" w:ascii="Times New Roman" w:hAnsi="Times New Roman" w:eastAsia="仿宋" w:cs="Times New Roman"/>
          <w:szCs w:val="28"/>
        </w:rPr>
      </w:pPr>
      <w:r>
        <w:rPr>
          <w:rFonts w:hint="default" w:ascii="Times New Roman" w:hAnsi="Times New Roman" w:eastAsia="仿宋" w:cs="Times New Roman"/>
          <w:szCs w:val="28"/>
        </w:rPr>
        <w:t>演练结束后，及时对演练的效果进行分析评估，解决演练中暴露的问题。演练过程、评估结果和问题整改结果以文字形式记录并保存。</w:t>
      </w:r>
      <w:r>
        <w:rPr>
          <w:rFonts w:hint="default" w:ascii="Times New Roman" w:hAnsi="Times New Roman" w:eastAsia="仿宋" w:cs="Times New Roman"/>
        </w:rPr>
        <w:drawing>
          <wp:inline distT="0" distB="0" distL="0" distR="0">
            <wp:extent cx="4759960" cy="7517130"/>
            <wp:effectExtent l="0" t="0" r="2540" b="7620"/>
            <wp:docPr id="73815197"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15197" name="图片 1" descr="文本&#10;&#10;描述已自动生成"/>
                    <pic:cNvPicPr>
                      <a:picLocks noChangeAspect="1"/>
                    </pic:cNvPicPr>
                  </pic:nvPicPr>
                  <pic:blipFill>
                    <a:blip r:embed="rId22"/>
                    <a:stretch>
                      <a:fillRect/>
                    </a:stretch>
                  </pic:blipFill>
                  <pic:spPr>
                    <a:xfrm>
                      <a:off x="0" y="0"/>
                      <a:ext cx="4773185" cy="7538445"/>
                    </a:xfrm>
                    <a:prstGeom prst="rect">
                      <a:avLst/>
                    </a:prstGeom>
                  </pic:spPr>
                </pic:pic>
              </a:graphicData>
            </a:graphic>
          </wp:inline>
        </w:drawing>
      </w:r>
      <w:r>
        <w:rPr>
          <w:rFonts w:hint="default" w:ascii="Times New Roman" w:hAnsi="Times New Roman" w:eastAsia="仿宋" w:cs="Times New Roman"/>
        </w:rPr>
        <w:drawing>
          <wp:inline distT="0" distB="0" distL="0" distR="0">
            <wp:extent cx="4601845" cy="5595620"/>
            <wp:effectExtent l="0" t="0" r="8255" b="5080"/>
            <wp:docPr id="519294429" name="图片 1" descr="手机屏幕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294429" name="图片 1" descr="手机屏幕截图&#10;&#10;中度可信度描述已自动生成"/>
                    <pic:cNvPicPr>
                      <a:picLocks noChangeAspect="1"/>
                    </pic:cNvPicPr>
                  </pic:nvPicPr>
                  <pic:blipFill>
                    <a:blip r:embed="rId23"/>
                    <a:stretch>
                      <a:fillRect/>
                    </a:stretch>
                  </pic:blipFill>
                  <pic:spPr>
                    <a:xfrm>
                      <a:off x="0" y="0"/>
                      <a:ext cx="4619691" cy="5616746"/>
                    </a:xfrm>
                    <a:prstGeom prst="rect">
                      <a:avLst/>
                    </a:prstGeom>
                  </pic:spPr>
                </pic:pic>
              </a:graphicData>
            </a:graphic>
          </wp:inline>
        </w:drawing>
      </w:r>
    </w:p>
    <w:p w14:paraId="683124E5">
      <w:pPr>
        <w:ind w:firstLine="560" w:firstLineChars="200"/>
        <w:jc w:val="center"/>
        <w:rPr>
          <w:rFonts w:hint="default" w:ascii="Times New Roman" w:hAnsi="Times New Roman" w:eastAsia="仿宋" w:cs="Times New Roman"/>
          <w:szCs w:val="28"/>
        </w:rPr>
        <w:sectPr>
          <w:pgSz w:w="11905" w:h="16838"/>
          <w:pgMar w:top="1440" w:right="1083" w:bottom="1440" w:left="1083" w:header="737" w:footer="567" w:gutter="0"/>
          <w:cols w:space="0" w:num="1"/>
          <w:rtlGutter w:val="0"/>
          <w:docGrid w:linePitch="0" w:charSpace="0"/>
        </w:sectPr>
      </w:pPr>
      <w:r>
        <w:rPr>
          <w:rFonts w:hint="default" w:ascii="Times New Roman" w:hAnsi="Times New Roman" w:eastAsia="仿宋" w:cs="Times New Roman"/>
          <w:szCs w:val="28"/>
        </w:rPr>
        <w:t>图12.2-1</w:t>
      </w:r>
      <w:r>
        <w:rPr>
          <w:rFonts w:hint="default" w:ascii="Times New Roman" w:hAnsi="Times New Roman" w:eastAsia="仿宋" w:cs="Times New Roman"/>
        </w:rPr>
        <w:t>应急演练记录</w:t>
      </w:r>
    </w:p>
    <w:p w14:paraId="59B94816">
      <w:pPr>
        <w:outlineLvl w:val="0"/>
        <w:rPr>
          <w:rFonts w:hint="default" w:ascii="Times New Roman" w:hAnsi="Times New Roman" w:eastAsia="仿宋" w:cs="Times New Roman"/>
          <w:b/>
          <w:bCs/>
          <w:szCs w:val="28"/>
        </w:rPr>
      </w:pPr>
      <w:bookmarkStart w:id="152" w:name="_Toc21296_WPSOffice_Level1"/>
      <w:bookmarkStart w:id="153" w:name="_Toc26843"/>
      <w:r>
        <w:rPr>
          <w:rFonts w:hint="default" w:ascii="Times New Roman" w:hAnsi="Times New Roman" w:eastAsia="仿宋" w:cs="Times New Roman"/>
          <w:b/>
          <w:bCs/>
          <w:szCs w:val="28"/>
        </w:rPr>
        <w:t>13.奖惩</w:t>
      </w:r>
      <w:bookmarkEnd w:id="152"/>
      <w:bookmarkEnd w:id="153"/>
    </w:p>
    <w:p w14:paraId="340F64C3">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对于在突发环境应急救援或演练工作中出色完成应急处置任务，防止或抢救事故有功，对应急救援工作提出重大建议，实施效果显着的部门和个人，依据有关规定由公司给予奖励。</w:t>
      </w:r>
    </w:p>
    <w:p w14:paraId="4D994E7A">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在应急处置过程中对渎职不作为、给人民生命和财产造成损失、给公司和社会带来负面影响的，根据国家有关法律、法规追究相关责任。</w:t>
      </w:r>
    </w:p>
    <w:p w14:paraId="6926003E">
      <w:pPr>
        <w:rPr>
          <w:rFonts w:hint="default" w:ascii="Times New Roman" w:hAnsi="Times New Roman" w:eastAsia="仿宋" w:cs="Times New Roman"/>
          <w:szCs w:val="28"/>
        </w:rPr>
        <w:sectPr>
          <w:pgSz w:w="11905" w:h="16838"/>
          <w:pgMar w:top="1440" w:right="1083" w:bottom="1440" w:left="1083" w:header="737" w:footer="567" w:gutter="0"/>
          <w:cols w:space="0" w:num="1"/>
          <w:rtlGutter w:val="0"/>
          <w:docGrid w:linePitch="0" w:charSpace="0"/>
        </w:sectPr>
      </w:pPr>
    </w:p>
    <w:p w14:paraId="630F06CE">
      <w:pPr>
        <w:outlineLvl w:val="0"/>
        <w:rPr>
          <w:rFonts w:hint="default" w:ascii="Times New Roman" w:hAnsi="Times New Roman" w:eastAsia="仿宋" w:cs="Times New Roman"/>
          <w:b/>
          <w:bCs/>
          <w:szCs w:val="28"/>
        </w:rPr>
      </w:pPr>
      <w:bookmarkStart w:id="154" w:name="_Toc7345_WPSOffice_Level1"/>
      <w:bookmarkStart w:id="155" w:name="_Toc21656"/>
      <w:bookmarkStart w:id="156" w:name="_Toc15513"/>
      <w:r>
        <w:rPr>
          <w:rFonts w:hint="default" w:ascii="Times New Roman" w:hAnsi="Times New Roman" w:eastAsia="仿宋" w:cs="Times New Roman"/>
          <w:b/>
          <w:bCs/>
          <w:szCs w:val="28"/>
        </w:rPr>
        <w:t>14.预案的评审、发布和更新</w:t>
      </w:r>
      <w:bookmarkEnd w:id="154"/>
      <w:bookmarkEnd w:id="155"/>
      <w:bookmarkEnd w:id="156"/>
    </w:p>
    <w:p w14:paraId="5284FB81">
      <w:pPr>
        <w:outlineLvl w:val="1"/>
        <w:rPr>
          <w:rFonts w:hint="default" w:ascii="Times New Roman" w:hAnsi="Times New Roman" w:eastAsia="仿宋" w:cs="Times New Roman"/>
          <w:b/>
          <w:bCs/>
          <w:szCs w:val="28"/>
        </w:rPr>
      </w:pPr>
      <w:bookmarkStart w:id="157" w:name="_Toc27730"/>
      <w:bookmarkStart w:id="158" w:name="_Toc9177"/>
      <w:bookmarkStart w:id="159" w:name="_Toc6166_WPSOffice_Level2"/>
      <w:r>
        <w:rPr>
          <w:rFonts w:hint="default" w:ascii="Times New Roman" w:hAnsi="Times New Roman" w:eastAsia="仿宋" w:cs="Times New Roman"/>
          <w:b/>
          <w:bCs/>
          <w:szCs w:val="28"/>
        </w:rPr>
        <w:t>14.1预案评审</w:t>
      </w:r>
      <w:bookmarkEnd w:id="157"/>
      <w:bookmarkEnd w:id="158"/>
      <w:bookmarkEnd w:id="159"/>
    </w:p>
    <w:p w14:paraId="52B16891">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内部评审：应急预案草案编制完成后，应急总指挥组织应急副总指挥和各应急小组的组长对应急预案草案进行内部评审，针对应急保障措施的可行性、应急分工是否明确、合理等方面进行讨论，对不合理的地方进行修改。</w:t>
      </w:r>
    </w:p>
    <w:p w14:paraId="7B05614F">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外部评审：应急预案草案经内部评审后，邀请环保专家组成应急预案评估小组对应急预案草案进行评估。环境应急预案评估小组应当重点评估环境应急预案的实用性、基本要素的完整性、内容格式的规范性、应急保障措施的可行性以及与其他相关预案的衔接性等内容。应急预案编制人员根据评估结果，对应急预案草案进行修改。</w:t>
      </w:r>
      <w:bookmarkStart w:id="160" w:name="_Toc3828"/>
      <w:bookmarkStart w:id="161" w:name="_Toc16603_WPSOffice_Level2"/>
    </w:p>
    <w:p w14:paraId="1872FD5A">
      <w:pPr>
        <w:outlineLvl w:val="1"/>
        <w:rPr>
          <w:rFonts w:hint="default" w:ascii="Times New Roman" w:hAnsi="Times New Roman" w:eastAsia="仿宋" w:cs="Times New Roman"/>
          <w:b/>
          <w:bCs/>
          <w:szCs w:val="28"/>
        </w:rPr>
      </w:pPr>
      <w:bookmarkStart w:id="162" w:name="_Toc23617"/>
      <w:r>
        <w:rPr>
          <w:rFonts w:hint="default" w:ascii="Times New Roman" w:hAnsi="Times New Roman" w:eastAsia="仿宋" w:cs="Times New Roman"/>
          <w:b/>
          <w:bCs/>
          <w:szCs w:val="28"/>
        </w:rPr>
        <w:t>14.2预案更新</w:t>
      </w:r>
      <w:bookmarkEnd w:id="160"/>
      <w:bookmarkEnd w:id="161"/>
      <w:bookmarkEnd w:id="162"/>
    </w:p>
    <w:p w14:paraId="0E6E1DAC">
      <w:pPr>
        <w:ind w:firstLine="560" w:firstLineChars="200"/>
        <w:rPr>
          <w:rFonts w:hint="default" w:ascii="Times New Roman" w:hAnsi="Times New Roman" w:eastAsia="仿宋" w:cs="Times New Roman"/>
          <w:szCs w:val="28"/>
        </w:rPr>
      </w:pPr>
      <w:bookmarkStart w:id="163" w:name="_Toc19868_WPSOffice_Level1"/>
      <w:bookmarkStart w:id="164" w:name="_Toc13251"/>
      <w:r>
        <w:rPr>
          <w:rFonts w:hint="default" w:ascii="Times New Roman" w:hAnsi="Times New Roman" w:eastAsia="仿宋" w:cs="Times New Roman"/>
          <w:szCs w:val="28"/>
        </w:rPr>
        <w:t>根据《企业事业单位突发环境事件应急预案备案管理办法（试行）》，企业结合环境应急预案实施情况，至少每三年对环境应急预案进行一次回顾性评估。有下列情形之一的，及时修订：</w:t>
      </w:r>
    </w:p>
    <w:p w14:paraId="3174F6E6">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（一）面临的环境风险发生重大变化，需要重新进行环境风险评估的；</w:t>
      </w:r>
    </w:p>
    <w:p w14:paraId="6F309DDC">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（二）应急管理组织指挥体系与职责发生重大变化的；</w:t>
      </w:r>
    </w:p>
    <w:p w14:paraId="3724E5A0">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（三）环境应急监测预警及报告机制、应对流程和措施、应急保障措施发生重大变化的；</w:t>
      </w:r>
    </w:p>
    <w:p w14:paraId="1D8A09C3">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（四）重要应急资源发生重大变化的；</w:t>
      </w:r>
    </w:p>
    <w:p w14:paraId="53A54120">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（五）在突发事件实际应对和应急演练中发现问题，需要对环境应急预案作出重大调整的；</w:t>
      </w:r>
    </w:p>
    <w:p w14:paraId="05C046D0">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（六）其他需要修订的情况。</w:t>
      </w:r>
    </w:p>
    <w:p w14:paraId="3C695967">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对环境应急预案进行重大修订的，修订工作参照环境应急预案制定步骤进行。对环境应急预案个别内容进行调整的，修订工作可适当简化。</w:t>
      </w:r>
    </w:p>
    <w:p w14:paraId="309794F8">
      <w:pPr>
        <w:outlineLvl w:val="1"/>
        <w:rPr>
          <w:rFonts w:hint="default" w:ascii="Times New Roman" w:hAnsi="Times New Roman" w:eastAsia="仿宋" w:cs="Times New Roman"/>
          <w:b/>
          <w:bCs/>
          <w:szCs w:val="28"/>
        </w:rPr>
      </w:pPr>
      <w:bookmarkStart w:id="165" w:name="_Toc20302"/>
      <w:r>
        <w:rPr>
          <w:rFonts w:hint="default" w:ascii="Times New Roman" w:hAnsi="Times New Roman" w:eastAsia="仿宋" w:cs="Times New Roman"/>
          <w:b/>
          <w:bCs/>
          <w:szCs w:val="28"/>
        </w:rPr>
        <w:t>14.3预案</w:t>
      </w:r>
      <w:bookmarkEnd w:id="163"/>
      <w:bookmarkEnd w:id="164"/>
      <w:r>
        <w:rPr>
          <w:rFonts w:hint="default" w:ascii="Times New Roman" w:hAnsi="Times New Roman" w:eastAsia="仿宋" w:cs="Times New Roman"/>
          <w:b/>
          <w:bCs/>
          <w:szCs w:val="28"/>
        </w:rPr>
        <w:t>发布</w:t>
      </w:r>
      <w:bookmarkEnd w:id="165"/>
    </w:p>
    <w:p w14:paraId="423AABAF">
      <w:pPr>
        <w:ind w:firstLine="560" w:firstLineChars="200"/>
        <w:rPr>
          <w:rFonts w:hint="default" w:ascii="Times New Roman" w:hAnsi="Times New Roman" w:eastAsia="仿宋" w:cs="Times New Roman"/>
          <w:szCs w:val="28"/>
        </w:rPr>
      </w:pPr>
      <w:bookmarkStart w:id="166" w:name="_Toc30947"/>
      <w:r>
        <w:rPr>
          <w:rFonts w:hint="default" w:ascii="Times New Roman" w:hAnsi="Times New Roman" w:eastAsia="仿宋" w:cs="Times New Roman"/>
          <w:szCs w:val="28"/>
        </w:rPr>
        <w:t>根据专家意见修改完善后的应急预案，由总经理签署发布令，宣布应急预案生效。企业按规定将应急预案呈报经开区环境主管部门备案。</w:t>
      </w:r>
    </w:p>
    <w:p w14:paraId="5FD93E40">
      <w:pPr>
        <w:outlineLvl w:val="0"/>
        <w:rPr>
          <w:rFonts w:hint="default" w:ascii="Times New Roman" w:hAnsi="Times New Roman" w:eastAsia="仿宋" w:cs="Times New Roman"/>
          <w:szCs w:val="28"/>
        </w:rPr>
      </w:pPr>
      <w:r>
        <w:rPr>
          <w:rFonts w:hint="default" w:ascii="Times New Roman" w:hAnsi="Times New Roman" w:eastAsia="仿宋" w:cs="Times New Roman"/>
          <w:szCs w:val="28"/>
        </w:rPr>
        <w:br w:type="page"/>
      </w:r>
      <w:bookmarkStart w:id="167" w:name="_Toc13574"/>
      <w:bookmarkStart w:id="168" w:name="_Toc19032_WPSOffice_Level1"/>
      <w:r>
        <w:rPr>
          <w:rFonts w:hint="default" w:ascii="Times New Roman" w:hAnsi="Times New Roman" w:eastAsia="仿宋" w:cs="Times New Roman"/>
          <w:b/>
          <w:bCs/>
          <w:szCs w:val="28"/>
        </w:rPr>
        <w:t>15.附图、附件</w:t>
      </w:r>
      <w:bookmarkEnd w:id="166"/>
      <w:bookmarkEnd w:id="167"/>
      <w:bookmarkEnd w:id="168"/>
    </w:p>
    <w:p w14:paraId="2C3609BF">
      <w:pPr>
        <w:ind w:firstLine="560" w:firstLineChars="200"/>
        <w:rPr>
          <w:rFonts w:hint="default" w:ascii="Times New Roman" w:hAnsi="Times New Roman" w:eastAsia="仿宋" w:cs="Times New Roman"/>
          <w:szCs w:val="28"/>
        </w:rPr>
      </w:pPr>
      <w:bookmarkStart w:id="169" w:name="_Toc663_WPSOffice_Level1"/>
      <w:r>
        <w:rPr>
          <w:rFonts w:hint="default" w:ascii="Times New Roman" w:hAnsi="Times New Roman" w:eastAsia="仿宋" w:cs="Times New Roman"/>
          <w:szCs w:val="28"/>
        </w:rPr>
        <w:t>一、附图</w:t>
      </w:r>
      <w:bookmarkEnd w:id="169"/>
    </w:p>
    <w:p w14:paraId="3020BED4">
      <w:pPr>
        <w:ind w:firstLine="560" w:firstLineChars="200"/>
        <w:rPr>
          <w:rFonts w:hint="default" w:ascii="Times New Roman" w:hAnsi="Times New Roman" w:eastAsia="仿宋" w:cs="Times New Roman"/>
          <w:szCs w:val="28"/>
        </w:rPr>
      </w:pPr>
      <w:bookmarkStart w:id="170" w:name="_Toc24408_WPSOffice_Level2"/>
      <w:bookmarkStart w:id="171" w:name="_Toc22703"/>
      <w:bookmarkStart w:id="172" w:name="_Toc33629946"/>
      <w:bookmarkStart w:id="173" w:name="_Toc18481_WPSOffice_Level2"/>
      <w:bookmarkStart w:id="174" w:name="_Toc9056"/>
      <w:r>
        <w:rPr>
          <w:rFonts w:hint="default" w:ascii="Times New Roman" w:hAnsi="Times New Roman" w:eastAsia="仿宋" w:cs="Times New Roman"/>
          <w:szCs w:val="28"/>
        </w:rPr>
        <w:t>附图1  地理位置图</w:t>
      </w:r>
      <w:bookmarkEnd w:id="170"/>
      <w:bookmarkEnd w:id="171"/>
      <w:bookmarkEnd w:id="172"/>
      <w:bookmarkEnd w:id="173"/>
      <w:bookmarkEnd w:id="174"/>
    </w:p>
    <w:p w14:paraId="734587B4">
      <w:pPr>
        <w:ind w:firstLine="560" w:firstLineChars="200"/>
        <w:rPr>
          <w:rFonts w:hint="default" w:ascii="Times New Roman" w:hAnsi="Times New Roman" w:eastAsia="仿宋" w:cs="Times New Roman"/>
          <w:szCs w:val="28"/>
        </w:rPr>
      </w:pPr>
      <w:bookmarkStart w:id="175" w:name="_Toc17001_WPSOffice_Level2"/>
      <w:bookmarkStart w:id="176" w:name="_Toc5797"/>
      <w:bookmarkStart w:id="177" w:name="_Toc32588_WPSOffice_Level2"/>
      <w:bookmarkStart w:id="178" w:name="_Toc28374"/>
      <w:bookmarkStart w:id="179" w:name="_Toc33629947"/>
      <w:r>
        <w:rPr>
          <w:rFonts w:hint="default" w:ascii="Times New Roman" w:hAnsi="Times New Roman" w:eastAsia="仿宋" w:cs="Times New Roman"/>
          <w:szCs w:val="28"/>
        </w:rPr>
        <w:t>附图2  周边环境图</w:t>
      </w:r>
      <w:bookmarkEnd w:id="175"/>
      <w:bookmarkEnd w:id="176"/>
      <w:bookmarkEnd w:id="177"/>
      <w:bookmarkEnd w:id="178"/>
      <w:bookmarkEnd w:id="179"/>
    </w:p>
    <w:p w14:paraId="4D74098A">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附图3  平面布置图</w:t>
      </w:r>
    </w:p>
    <w:p w14:paraId="779EC46D">
      <w:pPr>
        <w:pStyle w:val="42"/>
        <w:ind w:left="0" w:leftChars="0" w:firstLine="560" w:firstLineChars="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附图4  雨水管网图</w:t>
      </w:r>
    </w:p>
    <w:p w14:paraId="20E28CE0">
      <w:pPr>
        <w:pStyle w:val="42"/>
        <w:ind w:left="0" w:leftChars="0" w:firstLine="560" w:firstLineChars="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附图5  环境风险受体分布图</w:t>
      </w:r>
    </w:p>
    <w:p w14:paraId="2E4329D8">
      <w:pPr>
        <w:pStyle w:val="42"/>
        <w:ind w:left="0" w:leftChars="0" w:firstLine="560" w:firstLineChars="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附图6  应急物资及应急疏散图</w:t>
      </w:r>
    </w:p>
    <w:p w14:paraId="61A90D59">
      <w:pPr>
        <w:ind w:firstLine="560" w:firstLineChars="200"/>
        <w:rPr>
          <w:rFonts w:hint="default" w:ascii="Times New Roman" w:hAnsi="Times New Roman" w:eastAsia="仿宋" w:cs="Times New Roman"/>
          <w:szCs w:val="28"/>
        </w:rPr>
      </w:pPr>
      <w:r>
        <w:rPr>
          <w:rFonts w:hint="default" w:ascii="Times New Roman" w:hAnsi="Times New Roman" w:eastAsia="仿宋" w:cs="Times New Roman"/>
          <w:szCs w:val="28"/>
        </w:rPr>
        <w:t>附图7  天津市海洋功能区划（2011-2020年）</w:t>
      </w:r>
    </w:p>
    <w:p w14:paraId="2D71ECEB">
      <w:pPr>
        <w:numPr>
          <w:ilvl w:val="0"/>
          <w:numId w:val="7"/>
        </w:numPr>
        <w:ind w:firstLine="560" w:firstLineChars="200"/>
        <w:rPr>
          <w:rFonts w:hint="default" w:ascii="Times New Roman" w:hAnsi="Times New Roman" w:eastAsia="仿宋" w:cs="Times New Roman"/>
          <w:szCs w:val="28"/>
        </w:rPr>
      </w:pPr>
      <w:bookmarkStart w:id="180" w:name="_Toc29202_WPSOffice_Level1"/>
      <w:r>
        <w:rPr>
          <w:rFonts w:hint="default" w:ascii="Times New Roman" w:hAnsi="Times New Roman" w:eastAsia="仿宋" w:cs="Times New Roman"/>
          <w:szCs w:val="28"/>
        </w:rPr>
        <w:t>附件</w:t>
      </w:r>
      <w:bookmarkEnd w:id="180"/>
    </w:p>
    <w:p w14:paraId="069AC832">
      <w:pPr>
        <w:pStyle w:val="42"/>
        <w:ind w:left="0" w:leftChars="0" w:firstLine="560" w:firstLineChars="0"/>
        <w:rPr>
          <w:rFonts w:hint="default" w:ascii="Times New Roman" w:hAnsi="Times New Roman" w:eastAsia="仿宋" w:cs="Times New Roman"/>
          <w:sz w:val="28"/>
          <w:szCs w:val="28"/>
        </w:rPr>
      </w:pPr>
      <w:bookmarkStart w:id="181" w:name="_Toc19220"/>
      <w:bookmarkStart w:id="182" w:name="_Toc33629950"/>
      <w:bookmarkStart w:id="183" w:name="_Toc6954"/>
      <w:r>
        <w:rPr>
          <w:rFonts w:hint="default" w:ascii="Times New Roman" w:hAnsi="Times New Roman" w:eastAsia="仿宋" w:cs="Times New Roman"/>
          <w:sz w:val="28"/>
          <w:szCs w:val="28"/>
        </w:rPr>
        <w:t>附件1  环评批复</w:t>
      </w:r>
    </w:p>
    <w:p w14:paraId="7AFECAF3">
      <w:pPr>
        <w:pStyle w:val="42"/>
        <w:ind w:left="0" w:leftChars="0" w:firstLine="560" w:firstLineChars="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附件2  危废协议</w:t>
      </w:r>
    </w:p>
    <w:p w14:paraId="1BBCD39A">
      <w:pPr>
        <w:pStyle w:val="42"/>
        <w:ind w:left="0" w:leftChars="0" w:firstLine="560" w:firstLineChars="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 xml:space="preserve">附件3  </w:t>
      </w:r>
      <w:bookmarkEnd w:id="181"/>
      <w:bookmarkEnd w:id="182"/>
      <w:bookmarkEnd w:id="183"/>
      <w:r>
        <w:rPr>
          <w:rFonts w:hint="default" w:ascii="Times New Roman" w:hAnsi="Times New Roman" w:eastAsia="仿宋" w:cs="Times New Roman"/>
          <w:sz w:val="28"/>
          <w:szCs w:val="28"/>
        </w:rPr>
        <w:t>应急成员名单及联系方式</w:t>
      </w:r>
    </w:p>
    <w:p w14:paraId="360E7038">
      <w:pPr>
        <w:pStyle w:val="42"/>
        <w:ind w:left="0" w:leftChars="0" w:firstLine="560" w:firstLineChars="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附件4  关键岗位应急处置卡</w:t>
      </w:r>
    </w:p>
    <w:p w14:paraId="62F3F3CD">
      <w:pPr>
        <w:pStyle w:val="42"/>
        <w:ind w:left="0" w:leftChars="0" w:firstLine="560" w:firstLineChars="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附件5  应急互助协议</w:t>
      </w:r>
    </w:p>
    <w:p w14:paraId="43DCE90C">
      <w:pPr>
        <w:pStyle w:val="42"/>
        <w:ind w:left="0" w:leftChars="0" w:firstLine="560" w:firstLineChars="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附件6  环境应急监测协议</w:t>
      </w:r>
    </w:p>
    <w:p w14:paraId="0CE54894">
      <w:pPr>
        <w:pStyle w:val="42"/>
        <w:ind w:left="0" w:leftChars="0" w:firstLine="560" w:firstLineChars="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附件7  专家打分表</w:t>
      </w:r>
    </w:p>
    <w:p w14:paraId="531E19BA">
      <w:pPr>
        <w:pStyle w:val="42"/>
        <w:ind w:left="0" w:leftChars="0" w:firstLine="560" w:firstLineChars="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附件8  评审意见表</w:t>
      </w:r>
    </w:p>
    <w:p w14:paraId="44CDC4BE">
      <w:pPr>
        <w:pStyle w:val="42"/>
        <w:ind w:left="0" w:leftChars="0" w:firstLine="560" w:firstLineChars="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附件9  修改索引</w:t>
      </w:r>
    </w:p>
    <w:p w14:paraId="25019480">
      <w:pPr>
        <w:pStyle w:val="42"/>
        <w:ind w:left="0" w:leftChars="0" w:firstLine="560" w:firstLineChars="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附件10  公示说明</w:t>
      </w:r>
    </w:p>
    <w:p w14:paraId="48AAC66B">
      <w:pPr>
        <w:pStyle w:val="42"/>
        <w:ind w:left="0" w:leftChars="0" w:firstLine="560" w:firstLineChars="0"/>
        <w:rPr>
          <w:rFonts w:hint="default" w:ascii="Times New Roman" w:hAnsi="Times New Roman" w:eastAsia="仿宋" w:cs="Times New Roman"/>
          <w:sz w:val="28"/>
          <w:szCs w:val="28"/>
        </w:rPr>
      </w:pPr>
    </w:p>
    <w:sectPr>
      <w:footerReference r:id="rId15" w:type="default"/>
      <w:pgSz w:w="11905" w:h="16838"/>
      <w:pgMar w:top="1440" w:right="1083" w:bottom="1440" w:left="1083" w:header="737" w:footer="567" w:gutter="0"/>
      <w:cols w:space="0" w:num="1"/>
      <w:rtlGutter w:val="0"/>
      <w:docGrid w:linePitch="28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等线 Light">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60043">
    <w:pPr>
      <w:pStyle w:val="2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C50756">
    <w:pPr>
      <w:pStyle w:val="28"/>
      <w:jc w:val="center"/>
    </w:pPr>
    <w:r>
      <w:fldChar w:fldCharType="begin"/>
    </w:r>
    <w:r>
      <w:instrText xml:space="preserve">PAGE   \* MERGEFORMAT</w:instrText>
    </w:r>
    <w:r>
      <w:fldChar w:fldCharType="separate"/>
    </w:r>
    <w:r>
      <w:rPr>
        <w:lang w:val="zh-CN"/>
      </w:rPr>
      <w:t>III</w:t>
    </w:r>
    <w:r>
      <w:fldChar w:fldCharType="end"/>
    </w:r>
  </w:p>
  <w:p w14:paraId="04B74EAE">
    <w:pPr>
      <w:pStyle w:val="28"/>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0A351">
    <w:pPr>
      <w:pStyle w:val="2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CCFD8">
    <w:pPr>
      <w:pStyle w:val="28"/>
      <w:jc w:val="both"/>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CD262F">
                          <w:pPr>
                            <w:pStyle w:val="28"/>
                          </w:pPr>
                          <w:r>
                            <w:rPr>
                              <w:rFonts w:hint="eastAsia"/>
                            </w:rPr>
                            <w:fldChar w:fldCharType="begin"/>
                          </w:r>
                          <w:r>
                            <w:rPr>
                              <w:rFonts w:hint="eastAsia"/>
                            </w:rPr>
                            <w:instrText xml:space="preserve"> PAGE  \* MERGEFORMAT </w:instrText>
                          </w:r>
                          <w:r>
                            <w:rPr>
                              <w:rFonts w:hint="eastAsia"/>
                            </w:rPr>
                            <w:fldChar w:fldCharType="separate"/>
                          </w:r>
                          <w:r>
                            <w:t>24</w:t>
                          </w:r>
                          <w:r>
                            <w:rPr>
                              <w:rFonts w:hint="eastAsia"/>
                            </w:rPr>
                            <w:fldChar w:fldCharType="end"/>
                          </w:r>
                        </w:p>
                      </w:txbxContent>
                    </wps:txbx>
                    <wps:bodyPr wrap="none" lIns="0" tIns="0" rIns="0" bIns="0" upright="1">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hswPEs0BAACdAwAADgAAAAAAAAABACAAAAAeAQAAZHJzL2Uy&#10;b0RvYy54bWxQSwUGAAAAAAYABgBZAQAAXQUAAAAA&#10;">
              <v:fill on="f" focussize="0,0"/>
              <v:stroke on="f"/>
              <v:imagedata o:title=""/>
              <o:lock v:ext="edit" aspectratio="f"/>
              <v:textbox inset="0mm,0mm,0mm,0mm" style="mso-fit-shape-to-text:t;">
                <w:txbxContent>
                  <w:p w14:paraId="24CD262F">
                    <w:pPr>
                      <w:pStyle w:val="28"/>
                    </w:pPr>
                    <w:r>
                      <w:rPr>
                        <w:rFonts w:hint="eastAsia"/>
                      </w:rPr>
                      <w:fldChar w:fldCharType="begin"/>
                    </w:r>
                    <w:r>
                      <w:rPr>
                        <w:rFonts w:hint="eastAsia"/>
                      </w:rPr>
                      <w:instrText xml:space="preserve"> PAGE  \* MERGEFORMAT </w:instrText>
                    </w:r>
                    <w:r>
                      <w:rPr>
                        <w:rFonts w:hint="eastAsia"/>
                      </w:rPr>
                      <w:fldChar w:fldCharType="separate"/>
                    </w:r>
                    <w:r>
                      <w:t>24</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3537D">
    <w:pPr>
      <w:pStyle w:val="28"/>
      <w:jc w:val="center"/>
    </w:pPr>
    <w:r>
      <w:fldChar w:fldCharType="begin"/>
    </w:r>
    <w:r>
      <w:instrText xml:space="preserve">PAGE   \* MERGEFORMAT</w:instrText>
    </w:r>
    <w:r>
      <w:fldChar w:fldCharType="separate"/>
    </w:r>
    <w:r>
      <w:rPr>
        <w:lang w:val="zh-CN"/>
      </w:rPr>
      <w:t>42</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A6E7E">
    <w:pPr>
      <w:pStyle w:val="28"/>
      <w:ind w:firstLine="4230" w:firstLineChars="235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57785" cy="131445"/>
              <wp:effectExtent l="0" t="0" r="0" b="0"/>
              <wp:wrapNone/>
              <wp:docPr id="24" name="文本框 11267"/>
              <wp:cNvGraphicFramePr/>
              <a:graphic xmlns:a="http://schemas.openxmlformats.org/drawingml/2006/main">
                <a:graphicData uri="http://schemas.microsoft.com/office/word/2010/wordprocessingShape">
                  <wps:wsp>
                    <wps:cNvSpPr/>
                    <wps:spPr>
                      <a:xfrm>
                        <a:off x="0" y="0"/>
                        <a:ext cx="57785" cy="131445"/>
                      </a:xfrm>
                      <a:prstGeom prst="rect">
                        <a:avLst/>
                      </a:prstGeom>
                      <a:noFill/>
                      <a:ln>
                        <a:noFill/>
                      </a:ln>
                    </wps:spPr>
                    <wps:txbx>
                      <w:txbxContent>
                        <w:p w14:paraId="16A80C1C">
                          <w:pPr>
                            <w:pStyle w:val="28"/>
                          </w:pPr>
                          <w:r>
                            <w:rPr>
                              <w:rFonts w:hint="eastAsia"/>
                            </w:rPr>
                            <w:fldChar w:fldCharType="begin"/>
                          </w:r>
                          <w:r>
                            <w:rPr>
                              <w:rFonts w:hint="eastAsia"/>
                            </w:rPr>
                            <w:instrText xml:space="preserve"> PAGE  \* MERGEFORMAT </w:instrText>
                          </w:r>
                          <w:r>
                            <w:rPr>
                              <w:rFonts w:hint="eastAsia"/>
                            </w:rPr>
                            <w:fldChar w:fldCharType="separate"/>
                          </w:r>
                          <w:r>
                            <w:t>31</w:t>
                          </w:r>
                          <w:r>
                            <w:rPr>
                              <w:rFonts w:hint="eastAsia"/>
                            </w:rPr>
                            <w:fldChar w:fldCharType="end"/>
                          </w:r>
                        </w:p>
                      </w:txbxContent>
                    </wps:txbx>
                    <wps:bodyPr wrap="none" lIns="0" tIns="0" rIns="0" bIns="0" upright="1">
                      <a:spAutoFit/>
                    </wps:bodyPr>
                  </wps:wsp>
                </a:graphicData>
              </a:graphic>
            </wp:anchor>
          </w:drawing>
        </mc:Choice>
        <mc:Fallback>
          <w:pict>
            <v:rect id="文本框 11267" o:spid="_x0000_s1026" o:spt="1" style="position:absolute;left:0pt;margin-top:0pt;height:10.35pt;width:4.55pt;mso-position-horizontal:center;mso-position-horizontal-relative:margin;mso-wrap-style:none;z-index:251661312;mso-width-relative:page;mso-height-relative:page;" filled="f" stroked="f" coordsize="21600,21600" o:gfxdata="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lRY/VtEAAAACAQAADwAAAAAAAAABACAAAAAiAAAAZHJzL2Rvd25y&#10;ZXYueG1sUEsBAhQAFAAAAAgAh07iQLjP56HMAQAAkQMAAA4AAAAAAAAAAQAgAAAAIAEAAGRycy9l&#10;Mm9Eb2MueG1sUEsFBgAAAAAGAAYAWQEAAF4FAAAAAA==&#10;">
              <v:fill on="f" focussize="0,0"/>
              <v:stroke on="f"/>
              <v:imagedata o:title=""/>
              <o:lock v:ext="edit" aspectratio="f"/>
              <v:textbox inset="0mm,0mm,0mm,0mm" style="mso-fit-shape-to-text:t;">
                <w:txbxContent>
                  <w:p w14:paraId="16A80C1C">
                    <w:pPr>
                      <w:pStyle w:val="28"/>
                    </w:pPr>
                    <w:r>
                      <w:rPr>
                        <w:rFonts w:hint="eastAsia"/>
                      </w:rPr>
                      <w:fldChar w:fldCharType="begin"/>
                    </w:r>
                    <w:r>
                      <w:rPr>
                        <w:rFonts w:hint="eastAsia"/>
                      </w:rPr>
                      <w:instrText xml:space="preserve"> PAGE  \* MERGEFORMAT </w:instrText>
                    </w:r>
                    <w:r>
                      <w:rPr>
                        <w:rFonts w:hint="eastAsia"/>
                      </w:rPr>
                      <w:fldChar w:fldCharType="separate"/>
                    </w:r>
                    <w:r>
                      <w:t>31</w:t>
                    </w:r>
                    <w:r>
                      <w:rPr>
                        <w:rFonts w:hint="eastAsia"/>
                      </w:rPr>
                      <w:fldChar w:fldCharType="end"/>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3B251">
    <w:pPr>
      <w:pStyle w:val="161"/>
      <w:pBdr>
        <w:bottom w:val="none" w:color="auto" w:sz="0" w:space="0"/>
      </w:pBdr>
      <w:ind w:right="180"/>
      <w:jc w:val="both"/>
      <w:rPr>
        <w:rFonts w:hint="eastAsia" w:ascii="仿宋_GB2312" w:eastAsia="仿宋_GB23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FE254">
    <w:pPr>
      <w:pStyle w:val="29"/>
      <w:spacing w:line="240" w:lineRule="auto"/>
      <w:jc w:val="right"/>
    </w:pPr>
    <w:r>
      <w:rPr>
        <w:rFonts w:hint="eastAsia"/>
        <w:b/>
        <w:bCs/>
      </w:rPr>
      <w:t>康瑞鑫（天津）药物研究院有限公司</w:t>
    </w:r>
    <w:r>
      <w:rPr>
        <w:rFonts w:hint="eastAsia" w:ascii="仿宋_GB2312" w:hAnsi="Arial Unicode MS" w:eastAsia="仿宋_GB2312" w:cs="Arial Unicode MS"/>
        <w:b/>
        <w:bCs/>
        <w:kern w:val="0"/>
        <w:szCs w:val="18"/>
      </w:rPr>
      <w:t>突发环境事件应急预案</w:t>
    </w:r>
  </w:p>
  <w:p w14:paraId="008A6558">
    <w:pPr>
      <w:pStyle w:val="29"/>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30CBD">
    <w:pPr>
      <w:pStyle w:val="29"/>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52FE4">
    <w:pPr>
      <w:pStyle w:val="29"/>
      <w:spacing w:line="240" w:lineRule="auto"/>
      <w:jc w:val="right"/>
    </w:pPr>
    <w:r>
      <w:rPr>
        <w:rFonts w:hint="eastAsia" w:ascii="仿宋_GB2312" w:hAnsi="Arial Unicode MS" w:eastAsia="仿宋_GB2312" w:cs="Arial Unicode MS"/>
        <w:b/>
        <w:bCs/>
        <w:kern w:val="0"/>
        <w:szCs w:val="18"/>
      </w:rPr>
      <w:t>东纶科技实业（天津）有限公司突发环境事件应急预案</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A9BE0">
    <w:pPr>
      <w:pStyle w:val="29"/>
      <w:adjustRightInd w:val="0"/>
      <w:spacing w:line="240" w:lineRule="auto"/>
      <w:ind w:firstLine="0"/>
      <w:jc w:val="right"/>
      <w:rPr>
        <w:rFonts w:ascii="仿宋" w:hAnsi="仿宋" w:eastAsia="仿宋"/>
        <w:b/>
      </w:rPr>
    </w:pPr>
    <w:r>
      <w:rPr>
        <w:rFonts w:hint="eastAsia" w:ascii="仿宋" w:hAnsi="仿宋" w:eastAsia="仿宋" w:cs="宋体"/>
        <w:b/>
      </w:rPr>
      <w:t>东纶科技实业（天津）有限公司</w:t>
    </w:r>
    <w:r>
      <w:rPr>
        <w:rFonts w:hint="eastAsia" w:ascii="仿宋" w:hAnsi="仿宋" w:eastAsia="仿宋"/>
        <w:b/>
      </w:rPr>
      <w:t>突发环境事件风险评估报告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0CD737"/>
    <w:multiLevelType w:val="singleLevel"/>
    <w:tmpl w:val="860CD737"/>
    <w:lvl w:ilvl="0" w:tentative="0">
      <w:start w:val="1"/>
      <w:numFmt w:val="decimal"/>
      <w:suff w:val="nothing"/>
      <w:lvlText w:val="（%1）"/>
      <w:lvlJc w:val="left"/>
    </w:lvl>
  </w:abstractNum>
  <w:abstractNum w:abstractNumId="1">
    <w:nsid w:val="C7964D2C"/>
    <w:multiLevelType w:val="singleLevel"/>
    <w:tmpl w:val="C7964D2C"/>
    <w:lvl w:ilvl="0" w:tentative="0">
      <w:start w:val="1"/>
      <w:numFmt w:val="decimal"/>
      <w:suff w:val="nothing"/>
      <w:lvlText w:val="%1、"/>
      <w:lvlJc w:val="left"/>
    </w:lvl>
  </w:abstractNum>
  <w:abstractNum w:abstractNumId="2">
    <w:nsid w:val="1A0216AB"/>
    <w:multiLevelType w:val="singleLevel"/>
    <w:tmpl w:val="1A0216AB"/>
    <w:lvl w:ilvl="0" w:tentative="0">
      <w:start w:val="1"/>
      <w:numFmt w:val="decimal"/>
      <w:suff w:val="nothing"/>
      <w:lvlText w:val="（%1）"/>
      <w:lvlJc w:val="left"/>
      <w:pPr>
        <w:ind w:left="0" w:firstLine="397"/>
      </w:pPr>
      <w:rPr>
        <w:rFonts w:hint="default"/>
      </w:rPr>
    </w:lvl>
  </w:abstractNum>
  <w:abstractNum w:abstractNumId="3">
    <w:nsid w:val="1C37D160"/>
    <w:multiLevelType w:val="singleLevel"/>
    <w:tmpl w:val="1C37D160"/>
    <w:lvl w:ilvl="0" w:tentative="0">
      <w:start w:val="2"/>
      <w:numFmt w:val="chineseCounting"/>
      <w:suff w:val="nothing"/>
      <w:lvlText w:val="%1、"/>
      <w:lvlJc w:val="left"/>
      <w:rPr>
        <w:rFonts w:hint="eastAsia"/>
      </w:rPr>
    </w:lvl>
  </w:abstractNum>
  <w:abstractNum w:abstractNumId="4">
    <w:nsid w:val="26A313B7"/>
    <w:multiLevelType w:val="singleLevel"/>
    <w:tmpl w:val="26A313B7"/>
    <w:lvl w:ilvl="0" w:tentative="0">
      <w:start w:val="8"/>
      <w:numFmt w:val="decimal"/>
      <w:lvlText w:val="%1."/>
      <w:lvlJc w:val="left"/>
      <w:pPr>
        <w:tabs>
          <w:tab w:val="left" w:pos="312"/>
        </w:tabs>
      </w:pPr>
    </w:lvl>
  </w:abstractNum>
  <w:abstractNum w:abstractNumId="5">
    <w:nsid w:val="277073A9"/>
    <w:multiLevelType w:val="singleLevel"/>
    <w:tmpl w:val="277073A9"/>
    <w:lvl w:ilvl="0" w:tentative="0">
      <w:start w:val="1"/>
      <w:numFmt w:val="decimal"/>
      <w:suff w:val="nothing"/>
      <w:lvlText w:val="（%1）"/>
      <w:lvlJc w:val="left"/>
      <w:pPr>
        <w:ind w:left="0" w:firstLine="397"/>
      </w:pPr>
      <w:rPr>
        <w:rFonts w:hint="default"/>
      </w:rPr>
    </w:lvl>
  </w:abstractNum>
  <w:abstractNum w:abstractNumId="6">
    <w:nsid w:val="7AAB5FB1"/>
    <w:multiLevelType w:val="singleLevel"/>
    <w:tmpl w:val="7AAB5FB1"/>
    <w:lvl w:ilvl="0" w:tentative="0">
      <w:start w:val="1"/>
      <w:numFmt w:val="decimal"/>
      <w:suff w:val="nothing"/>
      <w:lvlText w:val="（%1）"/>
      <w:lvlJc w:val="left"/>
      <w:pPr>
        <w:ind w:left="0" w:firstLine="397"/>
      </w:pPr>
      <w:rPr>
        <w:rFonts w:hint="default"/>
      </w:rPr>
    </w:lvl>
  </w:abstractNum>
  <w:num w:numId="1">
    <w:abstractNumId w:val="2"/>
  </w:num>
  <w:num w:numId="2">
    <w:abstractNumId w:val="6"/>
  </w:num>
  <w:num w:numId="3">
    <w:abstractNumId w:val="5"/>
  </w:num>
  <w:num w:numId="4">
    <w:abstractNumId w:val="0"/>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Moves/>
  <w:documentProtection w:enforcement="0"/>
  <w:defaultTabStop w:val="425"/>
  <w:drawingGridHorizontalSpacing w:val="105"/>
  <w:drawingGridVerticalSpacing w:val="20"/>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RlYjM0ODdhODc5ZjNiOTE0MjdiN2Y3ZDEyMjQ1OTEifQ=="/>
  </w:docVars>
  <w:rsids>
    <w:rsidRoot w:val="00172A27"/>
    <w:rsid w:val="000000B7"/>
    <w:rsid w:val="00000119"/>
    <w:rsid w:val="000001AC"/>
    <w:rsid w:val="00000226"/>
    <w:rsid w:val="00000312"/>
    <w:rsid w:val="000009E6"/>
    <w:rsid w:val="0000111E"/>
    <w:rsid w:val="00001339"/>
    <w:rsid w:val="000013C0"/>
    <w:rsid w:val="0000142F"/>
    <w:rsid w:val="00001865"/>
    <w:rsid w:val="00001CFF"/>
    <w:rsid w:val="00001D4E"/>
    <w:rsid w:val="0000245C"/>
    <w:rsid w:val="000026E3"/>
    <w:rsid w:val="0000283D"/>
    <w:rsid w:val="00003118"/>
    <w:rsid w:val="00003220"/>
    <w:rsid w:val="0000328F"/>
    <w:rsid w:val="0000361E"/>
    <w:rsid w:val="00003ECA"/>
    <w:rsid w:val="00004103"/>
    <w:rsid w:val="000046DE"/>
    <w:rsid w:val="0000477D"/>
    <w:rsid w:val="000047F4"/>
    <w:rsid w:val="00004B12"/>
    <w:rsid w:val="00004E85"/>
    <w:rsid w:val="0000501A"/>
    <w:rsid w:val="00005037"/>
    <w:rsid w:val="00005A20"/>
    <w:rsid w:val="00005A2A"/>
    <w:rsid w:val="00005BBC"/>
    <w:rsid w:val="00006667"/>
    <w:rsid w:val="000066A1"/>
    <w:rsid w:val="00006A7F"/>
    <w:rsid w:val="00006B2C"/>
    <w:rsid w:val="00006E2B"/>
    <w:rsid w:val="000072C6"/>
    <w:rsid w:val="00007347"/>
    <w:rsid w:val="000073C0"/>
    <w:rsid w:val="00007C0C"/>
    <w:rsid w:val="00007E80"/>
    <w:rsid w:val="000100E8"/>
    <w:rsid w:val="000101CC"/>
    <w:rsid w:val="00010674"/>
    <w:rsid w:val="000108F1"/>
    <w:rsid w:val="00010E42"/>
    <w:rsid w:val="00010FD4"/>
    <w:rsid w:val="000114F3"/>
    <w:rsid w:val="0001163E"/>
    <w:rsid w:val="000116C6"/>
    <w:rsid w:val="00011C24"/>
    <w:rsid w:val="0001244F"/>
    <w:rsid w:val="00012879"/>
    <w:rsid w:val="000128B7"/>
    <w:rsid w:val="00012B27"/>
    <w:rsid w:val="00012B56"/>
    <w:rsid w:val="00012FBA"/>
    <w:rsid w:val="00012FD7"/>
    <w:rsid w:val="0001350D"/>
    <w:rsid w:val="000135C0"/>
    <w:rsid w:val="00013613"/>
    <w:rsid w:val="0001373F"/>
    <w:rsid w:val="000137AD"/>
    <w:rsid w:val="000137B8"/>
    <w:rsid w:val="000137D0"/>
    <w:rsid w:val="00013A85"/>
    <w:rsid w:val="00013B15"/>
    <w:rsid w:val="00014B86"/>
    <w:rsid w:val="00014DE2"/>
    <w:rsid w:val="000151DE"/>
    <w:rsid w:val="000152D1"/>
    <w:rsid w:val="0001559F"/>
    <w:rsid w:val="00015821"/>
    <w:rsid w:val="00015D5B"/>
    <w:rsid w:val="00016ABC"/>
    <w:rsid w:val="00017163"/>
    <w:rsid w:val="0001731B"/>
    <w:rsid w:val="00017364"/>
    <w:rsid w:val="0001746B"/>
    <w:rsid w:val="00017690"/>
    <w:rsid w:val="00017F2B"/>
    <w:rsid w:val="000202AD"/>
    <w:rsid w:val="000203D6"/>
    <w:rsid w:val="0002069E"/>
    <w:rsid w:val="00020991"/>
    <w:rsid w:val="00020CBB"/>
    <w:rsid w:val="00020DC6"/>
    <w:rsid w:val="00021205"/>
    <w:rsid w:val="0002175B"/>
    <w:rsid w:val="00021EA9"/>
    <w:rsid w:val="00021FBF"/>
    <w:rsid w:val="0002212F"/>
    <w:rsid w:val="00022585"/>
    <w:rsid w:val="00022978"/>
    <w:rsid w:val="00023240"/>
    <w:rsid w:val="00023252"/>
    <w:rsid w:val="000233A4"/>
    <w:rsid w:val="0002343A"/>
    <w:rsid w:val="00023D66"/>
    <w:rsid w:val="00023FAA"/>
    <w:rsid w:val="000243C4"/>
    <w:rsid w:val="00024A19"/>
    <w:rsid w:val="00024D6D"/>
    <w:rsid w:val="00024E27"/>
    <w:rsid w:val="00024F5E"/>
    <w:rsid w:val="00025134"/>
    <w:rsid w:val="00025224"/>
    <w:rsid w:val="000253C3"/>
    <w:rsid w:val="00025F95"/>
    <w:rsid w:val="00026288"/>
    <w:rsid w:val="00026346"/>
    <w:rsid w:val="00026520"/>
    <w:rsid w:val="000265F7"/>
    <w:rsid w:val="00026891"/>
    <w:rsid w:val="0002699A"/>
    <w:rsid w:val="000269D8"/>
    <w:rsid w:val="00026A21"/>
    <w:rsid w:val="00026C69"/>
    <w:rsid w:val="00027487"/>
    <w:rsid w:val="000274FB"/>
    <w:rsid w:val="000275A9"/>
    <w:rsid w:val="000276A6"/>
    <w:rsid w:val="00027995"/>
    <w:rsid w:val="00027A3A"/>
    <w:rsid w:val="0003011D"/>
    <w:rsid w:val="00030250"/>
    <w:rsid w:val="00031153"/>
    <w:rsid w:val="0003118B"/>
    <w:rsid w:val="000311B3"/>
    <w:rsid w:val="0003133E"/>
    <w:rsid w:val="00032015"/>
    <w:rsid w:val="000320EF"/>
    <w:rsid w:val="000329CB"/>
    <w:rsid w:val="0003349C"/>
    <w:rsid w:val="00033658"/>
    <w:rsid w:val="0003387C"/>
    <w:rsid w:val="00033DD8"/>
    <w:rsid w:val="000340CA"/>
    <w:rsid w:val="0003435B"/>
    <w:rsid w:val="000343E9"/>
    <w:rsid w:val="00034D5D"/>
    <w:rsid w:val="00035078"/>
    <w:rsid w:val="00035134"/>
    <w:rsid w:val="0003560E"/>
    <w:rsid w:val="00035751"/>
    <w:rsid w:val="00035A91"/>
    <w:rsid w:val="00035E08"/>
    <w:rsid w:val="00035F86"/>
    <w:rsid w:val="00035FA4"/>
    <w:rsid w:val="00036003"/>
    <w:rsid w:val="00036179"/>
    <w:rsid w:val="000365D0"/>
    <w:rsid w:val="000368F2"/>
    <w:rsid w:val="000368FA"/>
    <w:rsid w:val="00036D58"/>
    <w:rsid w:val="00036D78"/>
    <w:rsid w:val="00036EBA"/>
    <w:rsid w:val="000370FC"/>
    <w:rsid w:val="0003743D"/>
    <w:rsid w:val="00037656"/>
    <w:rsid w:val="00037702"/>
    <w:rsid w:val="000378F3"/>
    <w:rsid w:val="00037C20"/>
    <w:rsid w:val="00037FF1"/>
    <w:rsid w:val="00040077"/>
    <w:rsid w:val="000400A2"/>
    <w:rsid w:val="00040119"/>
    <w:rsid w:val="00040462"/>
    <w:rsid w:val="00040543"/>
    <w:rsid w:val="0004054F"/>
    <w:rsid w:val="0004073A"/>
    <w:rsid w:val="00040C56"/>
    <w:rsid w:val="00041325"/>
    <w:rsid w:val="000418F9"/>
    <w:rsid w:val="00041AC8"/>
    <w:rsid w:val="00041AF4"/>
    <w:rsid w:val="00041C8A"/>
    <w:rsid w:val="00041EE3"/>
    <w:rsid w:val="00042284"/>
    <w:rsid w:val="000428FE"/>
    <w:rsid w:val="00043602"/>
    <w:rsid w:val="00043D4A"/>
    <w:rsid w:val="00044163"/>
    <w:rsid w:val="000442A6"/>
    <w:rsid w:val="0004466A"/>
    <w:rsid w:val="00044914"/>
    <w:rsid w:val="00044B93"/>
    <w:rsid w:val="00044E27"/>
    <w:rsid w:val="00044EE8"/>
    <w:rsid w:val="000452F9"/>
    <w:rsid w:val="0004567F"/>
    <w:rsid w:val="000457A5"/>
    <w:rsid w:val="00045800"/>
    <w:rsid w:val="00045805"/>
    <w:rsid w:val="00045A4A"/>
    <w:rsid w:val="00045B1B"/>
    <w:rsid w:val="000460FD"/>
    <w:rsid w:val="000461CB"/>
    <w:rsid w:val="00046238"/>
    <w:rsid w:val="00046A2D"/>
    <w:rsid w:val="00046BD9"/>
    <w:rsid w:val="00046C2D"/>
    <w:rsid w:val="00046D58"/>
    <w:rsid w:val="00046E1E"/>
    <w:rsid w:val="00047009"/>
    <w:rsid w:val="00047050"/>
    <w:rsid w:val="000473F1"/>
    <w:rsid w:val="00047572"/>
    <w:rsid w:val="000477C9"/>
    <w:rsid w:val="00047AB6"/>
    <w:rsid w:val="00047C07"/>
    <w:rsid w:val="00047C34"/>
    <w:rsid w:val="00047E50"/>
    <w:rsid w:val="00050472"/>
    <w:rsid w:val="00050663"/>
    <w:rsid w:val="00050FB3"/>
    <w:rsid w:val="00051426"/>
    <w:rsid w:val="00051B27"/>
    <w:rsid w:val="00051BEA"/>
    <w:rsid w:val="00051ED7"/>
    <w:rsid w:val="00051FA4"/>
    <w:rsid w:val="00052171"/>
    <w:rsid w:val="0005230A"/>
    <w:rsid w:val="000533CE"/>
    <w:rsid w:val="00053653"/>
    <w:rsid w:val="000537A0"/>
    <w:rsid w:val="00053D65"/>
    <w:rsid w:val="00053E04"/>
    <w:rsid w:val="00054170"/>
    <w:rsid w:val="00054955"/>
    <w:rsid w:val="00054BA1"/>
    <w:rsid w:val="00054CB8"/>
    <w:rsid w:val="00054F93"/>
    <w:rsid w:val="00055524"/>
    <w:rsid w:val="00055852"/>
    <w:rsid w:val="00055BBB"/>
    <w:rsid w:val="0005607C"/>
    <w:rsid w:val="00056210"/>
    <w:rsid w:val="00056A2A"/>
    <w:rsid w:val="00056E7C"/>
    <w:rsid w:val="00057274"/>
    <w:rsid w:val="000579F5"/>
    <w:rsid w:val="00057A5B"/>
    <w:rsid w:val="00060560"/>
    <w:rsid w:val="000606DE"/>
    <w:rsid w:val="000607FD"/>
    <w:rsid w:val="000608DA"/>
    <w:rsid w:val="00060A7E"/>
    <w:rsid w:val="00060CC9"/>
    <w:rsid w:val="00061552"/>
    <w:rsid w:val="000615CB"/>
    <w:rsid w:val="00061989"/>
    <w:rsid w:val="00061A3A"/>
    <w:rsid w:val="00061D26"/>
    <w:rsid w:val="00061E18"/>
    <w:rsid w:val="00061F4A"/>
    <w:rsid w:val="0006204B"/>
    <w:rsid w:val="000620A1"/>
    <w:rsid w:val="000620E2"/>
    <w:rsid w:val="000626B8"/>
    <w:rsid w:val="0006302C"/>
    <w:rsid w:val="000630B4"/>
    <w:rsid w:val="000632DD"/>
    <w:rsid w:val="00063632"/>
    <w:rsid w:val="00064279"/>
    <w:rsid w:val="00064BCF"/>
    <w:rsid w:val="00064D5B"/>
    <w:rsid w:val="0006503C"/>
    <w:rsid w:val="0006517C"/>
    <w:rsid w:val="00065565"/>
    <w:rsid w:val="000657F4"/>
    <w:rsid w:val="00065824"/>
    <w:rsid w:val="0006582A"/>
    <w:rsid w:val="000665E4"/>
    <w:rsid w:val="000667C4"/>
    <w:rsid w:val="00066A0A"/>
    <w:rsid w:val="00066C15"/>
    <w:rsid w:val="00066FE9"/>
    <w:rsid w:val="000672F0"/>
    <w:rsid w:val="00067388"/>
    <w:rsid w:val="00067C06"/>
    <w:rsid w:val="00067C82"/>
    <w:rsid w:val="00067EA5"/>
    <w:rsid w:val="0007038E"/>
    <w:rsid w:val="00070B50"/>
    <w:rsid w:val="000711FA"/>
    <w:rsid w:val="000714B3"/>
    <w:rsid w:val="00071650"/>
    <w:rsid w:val="00071D4C"/>
    <w:rsid w:val="00071D74"/>
    <w:rsid w:val="00072463"/>
    <w:rsid w:val="000728AE"/>
    <w:rsid w:val="00072B7E"/>
    <w:rsid w:val="00072E80"/>
    <w:rsid w:val="0007329B"/>
    <w:rsid w:val="000734A8"/>
    <w:rsid w:val="0007366C"/>
    <w:rsid w:val="00074186"/>
    <w:rsid w:val="00074235"/>
    <w:rsid w:val="000742E3"/>
    <w:rsid w:val="00074453"/>
    <w:rsid w:val="000746AD"/>
    <w:rsid w:val="00075076"/>
    <w:rsid w:val="0007516D"/>
    <w:rsid w:val="000754D4"/>
    <w:rsid w:val="00075505"/>
    <w:rsid w:val="00075746"/>
    <w:rsid w:val="0007623C"/>
    <w:rsid w:val="00076279"/>
    <w:rsid w:val="00076294"/>
    <w:rsid w:val="000762E5"/>
    <w:rsid w:val="00076447"/>
    <w:rsid w:val="00076449"/>
    <w:rsid w:val="0007651C"/>
    <w:rsid w:val="00076B91"/>
    <w:rsid w:val="00076BFD"/>
    <w:rsid w:val="00076EB5"/>
    <w:rsid w:val="00076F1C"/>
    <w:rsid w:val="000770E8"/>
    <w:rsid w:val="00077628"/>
    <w:rsid w:val="0007772F"/>
    <w:rsid w:val="000779C8"/>
    <w:rsid w:val="000779C9"/>
    <w:rsid w:val="00077C99"/>
    <w:rsid w:val="00077D44"/>
    <w:rsid w:val="00077F48"/>
    <w:rsid w:val="000805CA"/>
    <w:rsid w:val="000808A3"/>
    <w:rsid w:val="0008097A"/>
    <w:rsid w:val="00080A1D"/>
    <w:rsid w:val="00080AB8"/>
    <w:rsid w:val="00080F73"/>
    <w:rsid w:val="00081276"/>
    <w:rsid w:val="00081323"/>
    <w:rsid w:val="000813A6"/>
    <w:rsid w:val="000813CC"/>
    <w:rsid w:val="000815EA"/>
    <w:rsid w:val="00081DE3"/>
    <w:rsid w:val="000820CF"/>
    <w:rsid w:val="00082162"/>
    <w:rsid w:val="000822AA"/>
    <w:rsid w:val="000823E9"/>
    <w:rsid w:val="00082ABD"/>
    <w:rsid w:val="00082D44"/>
    <w:rsid w:val="0008367B"/>
    <w:rsid w:val="00083D76"/>
    <w:rsid w:val="000842BB"/>
    <w:rsid w:val="00084546"/>
    <w:rsid w:val="0008497B"/>
    <w:rsid w:val="00084AC5"/>
    <w:rsid w:val="00084DB6"/>
    <w:rsid w:val="00084DFF"/>
    <w:rsid w:val="00085029"/>
    <w:rsid w:val="00085148"/>
    <w:rsid w:val="000852F6"/>
    <w:rsid w:val="00085390"/>
    <w:rsid w:val="0008558B"/>
    <w:rsid w:val="00085B5C"/>
    <w:rsid w:val="00085F58"/>
    <w:rsid w:val="000861B0"/>
    <w:rsid w:val="00086278"/>
    <w:rsid w:val="00086351"/>
    <w:rsid w:val="00086659"/>
    <w:rsid w:val="000870A1"/>
    <w:rsid w:val="0008721E"/>
    <w:rsid w:val="000875B9"/>
    <w:rsid w:val="000876D9"/>
    <w:rsid w:val="000879DC"/>
    <w:rsid w:val="00087E48"/>
    <w:rsid w:val="00090646"/>
    <w:rsid w:val="000907E3"/>
    <w:rsid w:val="0009089C"/>
    <w:rsid w:val="00090F2F"/>
    <w:rsid w:val="00090F52"/>
    <w:rsid w:val="00091439"/>
    <w:rsid w:val="00091681"/>
    <w:rsid w:val="00091730"/>
    <w:rsid w:val="0009188C"/>
    <w:rsid w:val="00091BDD"/>
    <w:rsid w:val="00092E64"/>
    <w:rsid w:val="000931F4"/>
    <w:rsid w:val="00093513"/>
    <w:rsid w:val="00093701"/>
    <w:rsid w:val="00093707"/>
    <w:rsid w:val="00093873"/>
    <w:rsid w:val="00093B70"/>
    <w:rsid w:val="00093D8A"/>
    <w:rsid w:val="00093F11"/>
    <w:rsid w:val="0009401E"/>
    <w:rsid w:val="00094415"/>
    <w:rsid w:val="0009447D"/>
    <w:rsid w:val="000945DE"/>
    <w:rsid w:val="00094A10"/>
    <w:rsid w:val="00094CCC"/>
    <w:rsid w:val="00094DFF"/>
    <w:rsid w:val="00094F69"/>
    <w:rsid w:val="00095109"/>
    <w:rsid w:val="000951F6"/>
    <w:rsid w:val="000952B7"/>
    <w:rsid w:val="00095302"/>
    <w:rsid w:val="00095452"/>
    <w:rsid w:val="00095D84"/>
    <w:rsid w:val="00095DBE"/>
    <w:rsid w:val="00095E81"/>
    <w:rsid w:val="0009609D"/>
    <w:rsid w:val="000962AB"/>
    <w:rsid w:val="00096727"/>
    <w:rsid w:val="00096ADA"/>
    <w:rsid w:val="00096B9B"/>
    <w:rsid w:val="0009704D"/>
    <w:rsid w:val="00097351"/>
    <w:rsid w:val="000976BF"/>
    <w:rsid w:val="00097786"/>
    <w:rsid w:val="00097BF9"/>
    <w:rsid w:val="00097F88"/>
    <w:rsid w:val="000A0233"/>
    <w:rsid w:val="000A0398"/>
    <w:rsid w:val="000A0443"/>
    <w:rsid w:val="000A07E9"/>
    <w:rsid w:val="000A0CCD"/>
    <w:rsid w:val="000A0CD4"/>
    <w:rsid w:val="000A0F73"/>
    <w:rsid w:val="000A1089"/>
    <w:rsid w:val="000A12BF"/>
    <w:rsid w:val="000A1324"/>
    <w:rsid w:val="000A15FF"/>
    <w:rsid w:val="000A1AFA"/>
    <w:rsid w:val="000A1B9E"/>
    <w:rsid w:val="000A22DF"/>
    <w:rsid w:val="000A2603"/>
    <w:rsid w:val="000A265A"/>
    <w:rsid w:val="000A2A1C"/>
    <w:rsid w:val="000A2B4C"/>
    <w:rsid w:val="000A2CCD"/>
    <w:rsid w:val="000A2E93"/>
    <w:rsid w:val="000A31B4"/>
    <w:rsid w:val="000A36A6"/>
    <w:rsid w:val="000A3A6E"/>
    <w:rsid w:val="000A4026"/>
    <w:rsid w:val="000A4443"/>
    <w:rsid w:val="000A46FB"/>
    <w:rsid w:val="000A4FE8"/>
    <w:rsid w:val="000A5821"/>
    <w:rsid w:val="000A6649"/>
    <w:rsid w:val="000A6762"/>
    <w:rsid w:val="000A69E5"/>
    <w:rsid w:val="000A69F5"/>
    <w:rsid w:val="000A7297"/>
    <w:rsid w:val="000A7480"/>
    <w:rsid w:val="000A77D4"/>
    <w:rsid w:val="000A792D"/>
    <w:rsid w:val="000A7DC0"/>
    <w:rsid w:val="000B0283"/>
    <w:rsid w:val="000B02E5"/>
    <w:rsid w:val="000B0D87"/>
    <w:rsid w:val="000B1333"/>
    <w:rsid w:val="000B1D4E"/>
    <w:rsid w:val="000B2165"/>
    <w:rsid w:val="000B2341"/>
    <w:rsid w:val="000B248F"/>
    <w:rsid w:val="000B2530"/>
    <w:rsid w:val="000B264F"/>
    <w:rsid w:val="000B2B66"/>
    <w:rsid w:val="000B2C5B"/>
    <w:rsid w:val="000B2D23"/>
    <w:rsid w:val="000B2D67"/>
    <w:rsid w:val="000B301C"/>
    <w:rsid w:val="000B3123"/>
    <w:rsid w:val="000B3711"/>
    <w:rsid w:val="000B3DD0"/>
    <w:rsid w:val="000B3F03"/>
    <w:rsid w:val="000B4705"/>
    <w:rsid w:val="000B4861"/>
    <w:rsid w:val="000B49A7"/>
    <w:rsid w:val="000B4F8F"/>
    <w:rsid w:val="000B52F9"/>
    <w:rsid w:val="000B53A7"/>
    <w:rsid w:val="000B549E"/>
    <w:rsid w:val="000B567F"/>
    <w:rsid w:val="000B5A2E"/>
    <w:rsid w:val="000B6076"/>
    <w:rsid w:val="000B613C"/>
    <w:rsid w:val="000B62B7"/>
    <w:rsid w:val="000B62BC"/>
    <w:rsid w:val="000B654C"/>
    <w:rsid w:val="000B65B5"/>
    <w:rsid w:val="000B6769"/>
    <w:rsid w:val="000B67DC"/>
    <w:rsid w:val="000B6EF2"/>
    <w:rsid w:val="000B71CE"/>
    <w:rsid w:val="000B759F"/>
    <w:rsid w:val="000B7B4B"/>
    <w:rsid w:val="000C0696"/>
    <w:rsid w:val="000C095B"/>
    <w:rsid w:val="000C097C"/>
    <w:rsid w:val="000C0F44"/>
    <w:rsid w:val="000C1454"/>
    <w:rsid w:val="000C14B0"/>
    <w:rsid w:val="000C1875"/>
    <w:rsid w:val="000C2295"/>
    <w:rsid w:val="000C29DC"/>
    <w:rsid w:val="000C2A4C"/>
    <w:rsid w:val="000C2B3D"/>
    <w:rsid w:val="000C2C88"/>
    <w:rsid w:val="000C3264"/>
    <w:rsid w:val="000C32C1"/>
    <w:rsid w:val="000C37EE"/>
    <w:rsid w:val="000C3AFF"/>
    <w:rsid w:val="000C3ED4"/>
    <w:rsid w:val="000C3F90"/>
    <w:rsid w:val="000C42D1"/>
    <w:rsid w:val="000C4447"/>
    <w:rsid w:val="000C4576"/>
    <w:rsid w:val="000C4598"/>
    <w:rsid w:val="000C47EA"/>
    <w:rsid w:val="000C492A"/>
    <w:rsid w:val="000C4C64"/>
    <w:rsid w:val="000C4C69"/>
    <w:rsid w:val="000C4FEC"/>
    <w:rsid w:val="000C56B4"/>
    <w:rsid w:val="000C580D"/>
    <w:rsid w:val="000C5FFC"/>
    <w:rsid w:val="000C672F"/>
    <w:rsid w:val="000C6747"/>
    <w:rsid w:val="000C67F1"/>
    <w:rsid w:val="000C690A"/>
    <w:rsid w:val="000C6B51"/>
    <w:rsid w:val="000C6F00"/>
    <w:rsid w:val="000C7076"/>
    <w:rsid w:val="000C786F"/>
    <w:rsid w:val="000D0171"/>
    <w:rsid w:val="000D05AC"/>
    <w:rsid w:val="000D08C0"/>
    <w:rsid w:val="000D0B47"/>
    <w:rsid w:val="000D0D61"/>
    <w:rsid w:val="000D1491"/>
    <w:rsid w:val="000D1808"/>
    <w:rsid w:val="000D1827"/>
    <w:rsid w:val="000D1D15"/>
    <w:rsid w:val="000D1EF8"/>
    <w:rsid w:val="000D207B"/>
    <w:rsid w:val="000D22E2"/>
    <w:rsid w:val="000D24C6"/>
    <w:rsid w:val="000D2756"/>
    <w:rsid w:val="000D2E18"/>
    <w:rsid w:val="000D2EE1"/>
    <w:rsid w:val="000D313F"/>
    <w:rsid w:val="000D32BB"/>
    <w:rsid w:val="000D32CC"/>
    <w:rsid w:val="000D34B2"/>
    <w:rsid w:val="000D3797"/>
    <w:rsid w:val="000D3CBD"/>
    <w:rsid w:val="000D3F1A"/>
    <w:rsid w:val="000D452E"/>
    <w:rsid w:val="000D47A9"/>
    <w:rsid w:val="000D4A3C"/>
    <w:rsid w:val="000D4A86"/>
    <w:rsid w:val="000D4E14"/>
    <w:rsid w:val="000D4E7D"/>
    <w:rsid w:val="000D5267"/>
    <w:rsid w:val="000D53F6"/>
    <w:rsid w:val="000D5A1E"/>
    <w:rsid w:val="000D5BAD"/>
    <w:rsid w:val="000D614F"/>
    <w:rsid w:val="000D66F3"/>
    <w:rsid w:val="000D689A"/>
    <w:rsid w:val="000D6A52"/>
    <w:rsid w:val="000D6ACC"/>
    <w:rsid w:val="000D6D4B"/>
    <w:rsid w:val="000D6DBF"/>
    <w:rsid w:val="000D6F38"/>
    <w:rsid w:val="000D7A6D"/>
    <w:rsid w:val="000E0208"/>
    <w:rsid w:val="000E06D0"/>
    <w:rsid w:val="000E083D"/>
    <w:rsid w:val="000E0ABD"/>
    <w:rsid w:val="000E11A7"/>
    <w:rsid w:val="000E1233"/>
    <w:rsid w:val="000E12A9"/>
    <w:rsid w:val="000E12FE"/>
    <w:rsid w:val="000E153F"/>
    <w:rsid w:val="000E209C"/>
    <w:rsid w:val="000E21FC"/>
    <w:rsid w:val="000E24E9"/>
    <w:rsid w:val="000E250A"/>
    <w:rsid w:val="000E263C"/>
    <w:rsid w:val="000E263D"/>
    <w:rsid w:val="000E29EB"/>
    <w:rsid w:val="000E30BB"/>
    <w:rsid w:val="000E3136"/>
    <w:rsid w:val="000E3198"/>
    <w:rsid w:val="000E331A"/>
    <w:rsid w:val="000E35DF"/>
    <w:rsid w:val="000E394B"/>
    <w:rsid w:val="000E3A87"/>
    <w:rsid w:val="000E3BDE"/>
    <w:rsid w:val="000E3BF8"/>
    <w:rsid w:val="000E3D86"/>
    <w:rsid w:val="000E3E56"/>
    <w:rsid w:val="000E405E"/>
    <w:rsid w:val="000E4282"/>
    <w:rsid w:val="000E4898"/>
    <w:rsid w:val="000E49C3"/>
    <w:rsid w:val="000E4BB0"/>
    <w:rsid w:val="000E4C36"/>
    <w:rsid w:val="000E4F3D"/>
    <w:rsid w:val="000E4FA1"/>
    <w:rsid w:val="000E53C4"/>
    <w:rsid w:val="000E5436"/>
    <w:rsid w:val="000E5586"/>
    <w:rsid w:val="000E5C9E"/>
    <w:rsid w:val="000E5F3C"/>
    <w:rsid w:val="000E6F03"/>
    <w:rsid w:val="000E6FB4"/>
    <w:rsid w:val="000E7263"/>
    <w:rsid w:val="000E7285"/>
    <w:rsid w:val="000E749D"/>
    <w:rsid w:val="000E7FE0"/>
    <w:rsid w:val="000F005B"/>
    <w:rsid w:val="000F0253"/>
    <w:rsid w:val="000F02FA"/>
    <w:rsid w:val="000F067F"/>
    <w:rsid w:val="000F0EEA"/>
    <w:rsid w:val="000F10DF"/>
    <w:rsid w:val="000F1959"/>
    <w:rsid w:val="000F1A63"/>
    <w:rsid w:val="000F1E47"/>
    <w:rsid w:val="000F2983"/>
    <w:rsid w:val="000F29E3"/>
    <w:rsid w:val="000F2CB9"/>
    <w:rsid w:val="000F2E09"/>
    <w:rsid w:val="000F3184"/>
    <w:rsid w:val="000F38A7"/>
    <w:rsid w:val="000F3925"/>
    <w:rsid w:val="000F458C"/>
    <w:rsid w:val="000F47F5"/>
    <w:rsid w:val="000F4800"/>
    <w:rsid w:val="000F4876"/>
    <w:rsid w:val="000F48CA"/>
    <w:rsid w:val="000F4D0A"/>
    <w:rsid w:val="000F5B23"/>
    <w:rsid w:val="000F6219"/>
    <w:rsid w:val="000F63D5"/>
    <w:rsid w:val="000F7234"/>
    <w:rsid w:val="000F755C"/>
    <w:rsid w:val="000F7820"/>
    <w:rsid w:val="000F7D02"/>
    <w:rsid w:val="000F7F09"/>
    <w:rsid w:val="00100D72"/>
    <w:rsid w:val="001012D9"/>
    <w:rsid w:val="00101981"/>
    <w:rsid w:val="00101AB0"/>
    <w:rsid w:val="0010245E"/>
    <w:rsid w:val="00102500"/>
    <w:rsid w:val="00102549"/>
    <w:rsid w:val="00102742"/>
    <w:rsid w:val="001027BA"/>
    <w:rsid w:val="00102CC5"/>
    <w:rsid w:val="00102FAC"/>
    <w:rsid w:val="00103AEA"/>
    <w:rsid w:val="00103DF8"/>
    <w:rsid w:val="001044B1"/>
    <w:rsid w:val="001044E1"/>
    <w:rsid w:val="0010451A"/>
    <w:rsid w:val="00104B78"/>
    <w:rsid w:val="001050F6"/>
    <w:rsid w:val="00105760"/>
    <w:rsid w:val="00105AE6"/>
    <w:rsid w:val="001063AC"/>
    <w:rsid w:val="00106579"/>
    <w:rsid w:val="001065B4"/>
    <w:rsid w:val="00106961"/>
    <w:rsid w:val="00106A33"/>
    <w:rsid w:val="00107138"/>
    <w:rsid w:val="00107238"/>
    <w:rsid w:val="00107449"/>
    <w:rsid w:val="0010763B"/>
    <w:rsid w:val="00107986"/>
    <w:rsid w:val="00107BCA"/>
    <w:rsid w:val="00107EE9"/>
    <w:rsid w:val="00107FEB"/>
    <w:rsid w:val="001101ED"/>
    <w:rsid w:val="001101F8"/>
    <w:rsid w:val="001102B7"/>
    <w:rsid w:val="0011093C"/>
    <w:rsid w:val="00110B7F"/>
    <w:rsid w:val="001112B9"/>
    <w:rsid w:val="00111398"/>
    <w:rsid w:val="001113CB"/>
    <w:rsid w:val="00111BBA"/>
    <w:rsid w:val="00111F48"/>
    <w:rsid w:val="0011248D"/>
    <w:rsid w:val="001126FB"/>
    <w:rsid w:val="00112827"/>
    <w:rsid w:val="00112F4B"/>
    <w:rsid w:val="00113239"/>
    <w:rsid w:val="0011333B"/>
    <w:rsid w:val="0011347A"/>
    <w:rsid w:val="001136A4"/>
    <w:rsid w:val="0011376C"/>
    <w:rsid w:val="001138FB"/>
    <w:rsid w:val="00113F2A"/>
    <w:rsid w:val="00114016"/>
    <w:rsid w:val="00114231"/>
    <w:rsid w:val="00114691"/>
    <w:rsid w:val="0011485F"/>
    <w:rsid w:val="001148A4"/>
    <w:rsid w:val="00114CC2"/>
    <w:rsid w:val="00114DC5"/>
    <w:rsid w:val="00114E10"/>
    <w:rsid w:val="00115013"/>
    <w:rsid w:val="00115154"/>
    <w:rsid w:val="00115331"/>
    <w:rsid w:val="0011551E"/>
    <w:rsid w:val="00115877"/>
    <w:rsid w:val="00115F18"/>
    <w:rsid w:val="0011617D"/>
    <w:rsid w:val="0011644B"/>
    <w:rsid w:val="001164D3"/>
    <w:rsid w:val="00116668"/>
    <w:rsid w:val="0011676A"/>
    <w:rsid w:val="001169AC"/>
    <w:rsid w:val="00116AB8"/>
    <w:rsid w:val="00116CD8"/>
    <w:rsid w:val="001171C0"/>
    <w:rsid w:val="0011734C"/>
    <w:rsid w:val="00117781"/>
    <w:rsid w:val="00117805"/>
    <w:rsid w:val="00117D37"/>
    <w:rsid w:val="00117F03"/>
    <w:rsid w:val="00117FBC"/>
    <w:rsid w:val="001202D4"/>
    <w:rsid w:val="0012037B"/>
    <w:rsid w:val="0012039C"/>
    <w:rsid w:val="001204DC"/>
    <w:rsid w:val="0012095E"/>
    <w:rsid w:val="001209ED"/>
    <w:rsid w:val="00120E36"/>
    <w:rsid w:val="001216BF"/>
    <w:rsid w:val="00121AC4"/>
    <w:rsid w:val="00121E8A"/>
    <w:rsid w:val="001220AD"/>
    <w:rsid w:val="0012226F"/>
    <w:rsid w:val="0012242C"/>
    <w:rsid w:val="001225BD"/>
    <w:rsid w:val="001226DD"/>
    <w:rsid w:val="0012283B"/>
    <w:rsid w:val="0012286D"/>
    <w:rsid w:val="00122A90"/>
    <w:rsid w:val="00122B12"/>
    <w:rsid w:val="00123509"/>
    <w:rsid w:val="00123632"/>
    <w:rsid w:val="001237BD"/>
    <w:rsid w:val="001239F7"/>
    <w:rsid w:val="00123A76"/>
    <w:rsid w:val="00124818"/>
    <w:rsid w:val="00124911"/>
    <w:rsid w:val="00124B78"/>
    <w:rsid w:val="00125221"/>
    <w:rsid w:val="00125A43"/>
    <w:rsid w:val="00125AC2"/>
    <w:rsid w:val="00125EEC"/>
    <w:rsid w:val="00126201"/>
    <w:rsid w:val="0012627D"/>
    <w:rsid w:val="001266B9"/>
    <w:rsid w:val="00126ABA"/>
    <w:rsid w:val="00126FF1"/>
    <w:rsid w:val="00127608"/>
    <w:rsid w:val="00127B09"/>
    <w:rsid w:val="00127C18"/>
    <w:rsid w:val="00127CC2"/>
    <w:rsid w:val="00127F75"/>
    <w:rsid w:val="00130252"/>
    <w:rsid w:val="001302F1"/>
    <w:rsid w:val="0013043F"/>
    <w:rsid w:val="00130526"/>
    <w:rsid w:val="00130682"/>
    <w:rsid w:val="00130AF0"/>
    <w:rsid w:val="0013100A"/>
    <w:rsid w:val="00131B14"/>
    <w:rsid w:val="00131B22"/>
    <w:rsid w:val="00132044"/>
    <w:rsid w:val="0013234D"/>
    <w:rsid w:val="001325F9"/>
    <w:rsid w:val="00132719"/>
    <w:rsid w:val="00132B2B"/>
    <w:rsid w:val="00132DFB"/>
    <w:rsid w:val="00133022"/>
    <w:rsid w:val="001331A9"/>
    <w:rsid w:val="0013335D"/>
    <w:rsid w:val="00133A55"/>
    <w:rsid w:val="00134778"/>
    <w:rsid w:val="00134A63"/>
    <w:rsid w:val="00134ACA"/>
    <w:rsid w:val="00134B3F"/>
    <w:rsid w:val="00134C39"/>
    <w:rsid w:val="00134C82"/>
    <w:rsid w:val="0013517D"/>
    <w:rsid w:val="001353B1"/>
    <w:rsid w:val="0013589A"/>
    <w:rsid w:val="00135C93"/>
    <w:rsid w:val="001361E0"/>
    <w:rsid w:val="00136521"/>
    <w:rsid w:val="001367C3"/>
    <w:rsid w:val="00136898"/>
    <w:rsid w:val="00136C65"/>
    <w:rsid w:val="00136DA2"/>
    <w:rsid w:val="00137075"/>
    <w:rsid w:val="0013715A"/>
    <w:rsid w:val="0013776C"/>
    <w:rsid w:val="00137CD2"/>
    <w:rsid w:val="00137F7A"/>
    <w:rsid w:val="00140052"/>
    <w:rsid w:val="00140057"/>
    <w:rsid w:val="0014015C"/>
    <w:rsid w:val="00140234"/>
    <w:rsid w:val="00140E7B"/>
    <w:rsid w:val="00140F05"/>
    <w:rsid w:val="00141094"/>
    <w:rsid w:val="001415BB"/>
    <w:rsid w:val="001417DA"/>
    <w:rsid w:val="00141A8C"/>
    <w:rsid w:val="00141FB8"/>
    <w:rsid w:val="00141FBF"/>
    <w:rsid w:val="0014201F"/>
    <w:rsid w:val="001424CD"/>
    <w:rsid w:val="00142F66"/>
    <w:rsid w:val="0014322D"/>
    <w:rsid w:val="00143249"/>
    <w:rsid w:val="0014398F"/>
    <w:rsid w:val="00143FD3"/>
    <w:rsid w:val="0014412E"/>
    <w:rsid w:val="00144333"/>
    <w:rsid w:val="00144657"/>
    <w:rsid w:val="00144AB4"/>
    <w:rsid w:val="00144B50"/>
    <w:rsid w:val="00144C9B"/>
    <w:rsid w:val="001454AF"/>
    <w:rsid w:val="001455D7"/>
    <w:rsid w:val="00145895"/>
    <w:rsid w:val="00145CDF"/>
    <w:rsid w:val="00145E47"/>
    <w:rsid w:val="00145F65"/>
    <w:rsid w:val="00146112"/>
    <w:rsid w:val="001462C4"/>
    <w:rsid w:val="00146C9A"/>
    <w:rsid w:val="00147430"/>
    <w:rsid w:val="001477CF"/>
    <w:rsid w:val="001478EC"/>
    <w:rsid w:val="0014799F"/>
    <w:rsid w:val="00147B34"/>
    <w:rsid w:val="00147C17"/>
    <w:rsid w:val="001503A3"/>
    <w:rsid w:val="00150554"/>
    <w:rsid w:val="00150836"/>
    <w:rsid w:val="0015161C"/>
    <w:rsid w:val="00151665"/>
    <w:rsid w:val="00151939"/>
    <w:rsid w:val="00151A65"/>
    <w:rsid w:val="00151D70"/>
    <w:rsid w:val="00151F4C"/>
    <w:rsid w:val="001528DA"/>
    <w:rsid w:val="001528E5"/>
    <w:rsid w:val="00152D3C"/>
    <w:rsid w:val="0015352F"/>
    <w:rsid w:val="001539E6"/>
    <w:rsid w:val="00153F6B"/>
    <w:rsid w:val="001545B9"/>
    <w:rsid w:val="0015471D"/>
    <w:rsid w:val="00154AFF"/>
    <w:rsid w:val="00154D5C"/>
    <w:rsid w:val="00155365"/>
    <w:rsid w:val="00155578"/>
    <w:rsid w:val="0015565E"/>
    <w:rsid w:val="00155DB7"/>
    <w:rsid w:val="00156103"/>
    <w:rsid w:val="00156642"/>
    <w:rsid w:val="001566CB"/>
    <w:rsid w:val="00156C3F"/>
    <w:rsid w:val="00156E06"/>
    <w:rsid w:val="00156F07"/>
    <w:rsid w:val="00157268"/>
    <w:rsid w:val="001572B6"/>
    <w:rsid w:val="00157641"/>
    <w:rsid w:val="001579A4"/>
    <w:rsid w:val="00157C35"/>
    <w:rsid w:val="001602A2"/>
    <w:rsid w:val="001608B7"/>
    <w:rsid w:val="00160DA2"/>
    <w:rsid w:val="00160FA2"/>
    <w:rsid w:val="0016198A"/>
    <w:rsid w:val="00161D52"/>
    <w:rsid w:val="00162106"/>
    <w:rsid w:val="00162868"/>
    <w:rsid w:val="001629FF"/>
    <w:rsid w:val="00162D86"/>
    <w:rsid w:val="00163441"/>
    <w:rsid w:val="00163814"/>
    <w:rsid w:val="00163CD9"/>
    <w:rsid w:val="0016400D"/>
    <w:rsid w:val="0016402B"/>
    <w:rsid w:val="00164081"/>
    <w:rsid w:val="00164217"/>
    <w:rsid w:val="00164619"/>
    <w:rsid w:val="001648C3"/>
    <w:rsid w:val="0016495B"/>
    <w:rsid w:val="00164ABC"/>
    <w:rsid w:val="00164AD0"/>
    <w:rsid w:val="00164AF5"/>
    <w:rsid w:val="00164B3B"/>
    <w:rsid w:val="00164C39"/>
    <w:rsid w:val="00165046"/>
    <w:rsid w:val="00165084"/>
    <w:rsid w:val="001651B3"/>
    <w:rsid w:val="00165883"/>
    <w:rsid w:val="001660D7"/>
    <w:rsid w:val="00166B49"/>
    <w:rsid w:val="00166F29"/>
    <w:rsid w:val="00166F7E"/>
    <w:rsid w:val="00167045"/>
    <w:rsid w:val="001671C6"/>
    <w:rsid w:val="001673B7"/>
    <w:rsid w:val="00167B8D"/>
    <w:rsid w:val="001700F5"/>
    <w:rsid w:val="00170380"/>
    <w:rsid w:val="00170786"/>
    <w:rsid w:val="001710D5"/>
    <w:rsid w:val="00171211"/>
    <w:rsid w:val="00171408"/>
    <w:rsid w:val="00171434"/>
    <w:rsid w:val="001718FC"/>
    <w:rsid w:val="00171D5B"/>
    <w:rsid w:val="001721F3"/>
    <w:rsid w:val="0017220D"/>
    <w:rsid w:val="001724A8"/>
    <w:rsid w:val="001728CA"/>
    <w:rsid w:val="001728EF"/>
    <w:rsid w:val="00172A27"/>
    <w:rsid w:val="00173273"/>
    <w:rsid w:val="001735ED"/>
    <w:rsid w:val="0017374F"/>
    <w:rsid w:val="00173C1D"/>
    <w:rsid w:val="00173C6F"/>
    <w:rsid w:val="00174017"/>
    <w:rsid w:val="0017407C"/>
    <w:rsid w:val="00174372"/>
    <w:rsid w:val="001748D1"/>
    <w:rsid w:val="00174C1F"/>
    <w:rsid w:val="00174D6D"/>
    <w:rsid w:val="00174F2F"/>
    <w:rsid w:val="0017550A"/>
    <w:rsid w:val="001757CE"/>
    <w:rsid w:val="00175B07"/>
    <w:rsid w:val="0017610C"/>
    <w:rsid w:val="001761D6"/>
    <w:rsid w:val="00176464"/>
    <w:rsid w:val="001775B9"/>
    <w:rsid w:val="001776AF"/>
    <w:rsid w:val="00177795"/>
    <w:rsid w:val="00177B30"/>
    <w:rsid w:val="00177DD7"/>
    <w:rsid w:val="00180099"/>
    <w:rsid w:val="00180249"/>
    <w:rsid w:val="00180269"/>
    <w:rsid w:val="00181259"/>
    <w:rsid w:val="00181273"/>
    <w:rsid w:val="00181406"/>
    <w:rsid w:val="0018160D"/>
    <w:rsid w:val="00181785"/>
    <w:rsid w:val="00181CE3"/>
    <w:rsid w:val="00181DD3"/>
    <w:rsid w:val="00181E03"/>
    <w:rsid w:val="00182AA5"/>
    <w:rsid w:val="001830AD"/>
    <w:rsid w:val="001831C9"/>
    <w:rsid w:val="001832AA"/>
    <w:rsid w:val="0018333E"/>
    <w:rsid w:val="00183356"/>
    <w:rsid w:val="00183375"/>
    <w:rsid w:val="00183B9B"/>
    <w:rsid w:val="001841A2"/>
    <w:rsid w:val="0018428A"/>
    <w:rsid w:val="001843F0"/>
    <w:rsid w:val="001847AA"/>
    <w:rsid w:val="00184838"/>
    <w:rsid w:val="0018490E"/>
    <w:rsid w:val="00184BBD"/>
    <w:rsid w:val="00184CFE"/>
    <w:rsid w:val="00185082"/>
    <w:rsid w:val="001850DD"/>
    <w:rsid w:val="00185C99"/>
    <w:rsid w:val="00186236"/>
    <w:rsid w:val="001862D4"/>
    <w:rsid w:val="001864CD"/>
    <w:rsid w:val="00186DB0"/>
    <w:rsid w:val="0018711F"/>
    <w:rsid w:val="001871C2"/>
    <w:rsid w:val="00187432"/>
    <w:rsid w:val="0018776F"/>
    <w:rsid w:val="00187B5D"/>
    <w:rsid w:val="00187BEE"/>
    <w:rsid w:val="00187DC1"/>
    <w:rsid w:val="00190556"/>
    <w:rsid w:val="0019119A"/>
    <w:rsid w:val="001914F0"/>
    <w:rsid w:val="001922A1"/>
    <w:rsid w:val="00192366"/>
    <w:rsid w:val="001923A6"/>
    <w:rsid w:val="001923E1"/>
    <w:rsid w:val="00192D3D"/>
    <w:rsid w:val="00192E32"/>
    <w:rsid w:val="00192EDE"/>
    <w:rsid w:val="001935FA"/>
    <w:rsid w:val="001936A5"/>
    <w:rsid w:val="00194005"/>
    <w:rsid w:val="0019443A"/>
    <w:rsid w:val="001947F1"/>
    <w:rsid w:val="00194812"/>
    <w:rsid w:val="001948C4"/>
    <w:rsid w:val="00194C16"/>
    <w:rsid w:val="00194D3C"/>
    <w:rsid w:val="00194E44"/>
    <w:rsid w:val="001951D2"/>
    <w:rsid w:val="001951FC"/>
    <w:rsid w:val="00195674"/>
    <w:rsid w:val="00195D85"/>
    <w:rsid w:val="00195DD3"/>
    <w:rsid w:val="001963CB"/>
    <w:rsid w:val="00197347"/>
    <w:rsid w:val="00197558"/>
    <w:rsid w:val="001A01AD"/>
    <w:rsid w:val="001A0738"/>
    <w:rsid w:val="001A0797"/>
    <w:rsid w:val="001A0BB8"/>
    <w:rsid w:val="001A12A1"/>
    <w:rsid w:val="001A188B"/>
    <w:rsid w:val="001A18F0"/>
    <w:rsid w:val="001A1A99"/>
    <w:rsid w:val="001A226F"/>
    <w:rsid w:val="001A29E1"/>
    <w:rsid w:val="001A2CB6"/>
    <w:rsid w:val="001A2DFC"/>
    <w:rsid w:val="001A33F9"/>
    <w:rsid w:val="001A34F8"/>
    <w:rsid w:val="001A360A"/>
    <w:rsid w:val="001A42A4"/>
    <w:rsid w:val="001A43C7"/>
    <w:rsid w:val="001A482B"/>
    <w:rsid w:val="001A48B3"/>
    <w:rsid w:val="001A4B6E"/>
    <w:rsid w:val="001A4D02"/>
    <w:rsid w:val="001A50CF"/>
    <w:rsid w:val="001A525E"/>
    <w:rsid w:val="001A5271"/>
    <w:rsid w:val="001A5274"/>
    <w:rsid w:val="001A57AB"/>
    <w:rsid w:val="001A5A19"/>
    <w:rsid w:val="001A5BDB"/>
    <w:rsid w:val="001A5D73"/>
    <w:rsid w:val="001A6632"/>
    <w:rsid w:val="001A6C4A"/>
    <w:rsid w:val="001A6C9B"/>
    <w:rsid w:val="001A75DA"/>
    <w:rsid w:val="001A786B"/>
    <w:rsid w:val="001A7F8E"/>
    <w:rsid w:val="001B02FB"/>
    <w:rsid w:val="001B0A1D"/>
    <w:rsid w:val="001B0E9D"/>
    <w:rsid w:val="001B175B"/>
    <w:rsid w:val="001B1A26"/>
    <w:rsid w:val="001B1F60"/>
    <w:rsid w:val="001B2112"/>
    <w:rsid w:val="001B2883"/>
    <w:rsid w:val="001B3223"/>
    <w:rsid w:val="001B367F"/>
    <w:rsid w:val="001B3AFC"/>
    <w:rsid w:val="001B3FDB"/>
    <w:rsid w:val="001B4093"/>
    <w:rsid w:val="001B4355"/>
    <w:rsid w:val="001B4A2E"/>
    <w:rsid w:val="001B4E2A"/>
    <w:rsid w:val="001B4FEB"/>
    <w:rsid w:val="001B5226"/>
    <w:rsid w:val="001B5598"/>
    <w:rsid w:val="001B5A1A"/>
    <w:rsid w:val="001B5C77"/>
    <w:rsid w:val="001B6687"/>
    <w:rsid w:val="001B6B00"/>
    <w:rsid w:val="001B6C8A"/>
    <w:rsid w:val="001B6CBD"/>
    <w:rsid w:val="001B766C"/>
    <w:rsid w:val="001B7A23"/>
    <w:rsid w:val="001B7AB5"/>
    <w:rsid w:val="001C0075"/>
    <w:rsid w:val="001C01B5"/>
    <w:rsid w:val="001C054D"/>
    <w:rsid w:val="001C089F"/>
    <w:rsid w:val="001C0924"/>
    <w:rsid w:val="001C0B5C"/>
    <w:rsid w:val="001C1081"/>
    <w:rsid w:val="001C11D6"/>
    <w:rsid w:val="001C1662"/>
    <w:rsid w:val="001C1785"/>
    <w:rsid w:val="001C1AF0"/>
    <w:rsid w:val="001C204E"/>
    <w:rsid w:val="001C20EE"/>
    <w:rsid w:val="001C2299"/>
    <w:rsid w:val="001C2727"/>
    <w:rsid w:val="001C2A70"/>
    <w:rsid w:val="001C2BDB"/>
    <w:rsid w:val="001C2F00"/>
    <w:rsid w:val="001C3037"/>
    <w:rsid w:val="001C32A5"/>
    <w:rsid w:val="001C3332"/>
    <w:rsid w:val="001C3421"/>
    <w:rsid w:val="001C3B92"/>
    <w:rsid w:val="001C3BB0"/>
    <w:rsid w:val="001C410A"/>
    <w:rsid w:val="001C41ED"/>
    <w:rsid w:val="001C427D"/>
    <w:rsid w:val="001C47D1"/>
    <w:rsid w:val="001C4924"/>
    <w:rsid w:val="001C4A8E"/>
    <w:rsid w:val="001C4C2F"/>
    <w:rsid w:val="001C4E37"/>
    <w:rsid w:val="001C4E55"/>
    <w:rsid w:val="001C54A5"/>
    <w:rsid w:val="001C5E80"/>
    <w:rsid w:val="001C5FA5"/>
    <w:rsid w:val="001C6456"/>
    <w:rsid w:val="001C6856"/>
    <w:rsid w:val="001C6C75"/>
    <w:rsid w:val="001C7DCD"/>
    <w:rsid w:val="001D068E"/>
    <w:rsid w:val="001D0BC5"/>
    <w:rsid w:val="001D14A5"/>
    <w:rsid w:val="001D1696"/>
    <w:rsid w:val="001D18CC"/>
    <w:rsid w:val="001D2303"/>
    <w:rsid w:val="001D2A24"/>
    <w:rsid w:val="001D2F92"/>
    <w:rsid w:val="001D356A"/>
    <w:rsid w:val="001D3639"/>
    <w:rsid w:val="001D390B"/>
    <w:rsid w:val="001D398A"/>
    <w:rsid w:val="001D40F3"/>
    <w:rsid w:val="001D4198"/>
    <w:rsid w:val="001D42A2"/>
    <w:rsid w:val="001D4802"/>
    <w:rsid w:val="001D4A93"/>
    <w:rsid w:val="001D4D7B"/>
    <w:rsid w:val="001D4E4B"/>
    <w:rsid w:val="001D593C"/>
    <w:rsid w:val="001D5A99"/>
    <w:rsid w:val="001D6036"/>
    <w:rsid w:val="001D692B"/>
    <w:rsid w:val="001D6A3B"/>
    <w:rsid w:val="001D759C"/>
    <w:rsid w:val="001D764E"/>
    <w:rsid w:val="001D79D2"/>
    <w:rsid w:val="001D7E05"/>
    <w:rsid w:val="001D7EDF"/>
    <w:rsid w:val="001E037D"/>
    <w:rsid w:val="001E06DD"/>
    <w:rsid w:val="001E0912"/>
    <w:rsid w:val="001E0BAB"/>
    <w:rsid w:val="001E0BE6"/>
    <w:rsid w:val="001E0C94"/>
    <w:rsid w:val="001E1D75"/>
    <w:rsid w:val="001E1FC3"/>
    <w:rsid w:val="001E210F"/>
    <w:rsid w:val="001E2A6E"/>
    <w:rsid w:val="001E2A8F"/>
    <w:rsid w:val="001E3226"/>
    <w:rsid w:val="001E368F"/>
    <w:rsid w:val="001E381C"/>
    <w:rsid w:val="001E39CB"/>
    <w:rsid w:val="001E3E7D"/>
    <w:rsid w:val="001E430D"/>
    <w:rsid w:val="001E45C6"/>
    <w:rsid w:val="001E4945"/>
    <w:rsid w:val="001E4C07"/>
    <w:rsid w:val="001E4C8F"/>
    <w:rsid w:val="001E517C"/>
    <w:rsid w:val="001E5E67"/>
    <w:rsid w:val="001E60BF"/>
    <w:rsid w:val="001E65AA"/>
    <w:rsid w:val="001E6B64"/>
    <w:rsid w:val="001E6C29"/>
    <w:rsid w:val="001E6F7E"/>
    <w:rsid w:val="001E7003"/>
    <w:rsid w:val="001E7032"/>
    <w:rsid w:val="001E7269"/>
    <w:rsid w:val="001E78FB"/>
    <w:rsid w:val="001E7BAD"/>
    <w:rsid w:val="001F0008"/>
    <w:rsid w:val="001F0386"/>
    <w:rsid w:val="001F0778"/>
    <w:rsid w:val="001F0790"/>
    <w:rsid w:val="001F07BF"/>
    <w:rsid w:val="001F0E4A"/>
    <w:rsid w:val="001F146D"/>
    <w:rsid w:val="001F1556"/>
    <w:rsid w:val="001F172C"/>
    <w:rsid w:val="001F1868"/>
    <w:rsid w:val="001F19C8"/>
    <w:rsid w:val="001F230F"/>
    <w:rsid w:val="001F23C0"/>
    <w:rsid w:val="001F2E26"/>
    <w:rsid w:val="001F37DC"/>
    <w:rsid w:val="001F3861"/>
    <w:rsid w:val="001F3B1B"/>
    <w:rsid w:val="001F3B8F"/>
    <w:rsid w:val="001F4290"/>
    <w:rsid w:val="001F42E9"/>
    <w:rsid w:val="001F4882"/>
    <w:rsid w:val="001F4E77"/>
    <w:rsid w:val="001F4F48"/>
    <w:rsid w:val="001F4FA4"/>
    <w:rsid w:val="001F57A9"/>
    <w:rsid w:val="001F58A5"/>
    <w:rsid w:val="001F5ACF"/>
    <w:rsid w:val="001F5DDD"/>
    <w:rsid w:val="001F603B"/>
    <w:rsid w:val="001F64AF"/>
    <w:rsid w:val="001F6AB9"/>
    <w:rsid w:val="001F6E5F"/>
    <w:rsid w:val="001F75D4"/>
    <w:rsid w:val="001F76E4"/>
    <w:rsid w:val="001F7D74"/>
    <w:rsid w:val="001F7E6C"/>
    <w:rsid w:val="00200084"/>
    <w:rsid w:val="00200508"/>
    <w:rsid w:val="00200893"/>
    <w:rsid w:val="00200DCA"/>
    <w:rsid w:val="002014C7"/>
    <w:rsid w:val="00202052"/>
    <w:rsid w:val="00202108"/>
    <w:rsid w:val="002023A7"/>
    <w:rsid w:val="00202432"/>
    <w:rsid w:val="002024F5"/>
    <w:rsid w:val="00202880"/>
    <w:rsid w:val="00202C76"/>
    <w:rsid w:val="00203182"/>
    <w:rsid w:val="00203D5B"/>
    <w:rsid w:val="00203FBF"/>
    <w:rsid w:val="002041CB"/>
    <w:rsid w:val="002046BF"/>
    <w:rsid w:val="002047D9"/>
    <w:rsid w:val="00204955"/>
    <w:rsid w:val="00204CBB"/>
    <w:rsid w:val="002053F7"/>
    <w:rsid w:val="002054A5"/>
    <w:rsid w:val="00205B88"/>
    <w:rsid w:val="00205E80"/>
    <w:rsid w:val="002060E7"/>
    <w:rsid w:val="0020617F"/>
    <w:rsid w:val="002066E0"/>
    <w:rsid w:val="00206BDF"/>
    <w:rsid w:val="00206C60"/>
    <w:rsid w:val="00207154"/>
    <w:rsid w:val="00207345"/>
    <w:rsid w:val="0020781B"/>
    <w:rsid w:val="00207A52"/>
    <w:rsid w:val="00207C1D"/>
    <w:rsid w:val="002101C9"/>
    <w:rsid w:val="00210437"/>
    <w:rsid w:val="00210637"/>
    <w:rsid w:val="002108CC"/>
    <w:rsid w:val="00210CA0"/>
    <w:rsid w:val="00210DCA"/>
    <w:rsid w:val="00211322"/>
    <w:rsid w:val="002115DF"/>
    <w:rsid w:val="00211780"/>
    <w:rsid w:val="00211C8A"/>
    <w:rsid w:val="00211D88"/>
    <w:rsid w:val="00211E47"/>
    <w:rsid w:val="00211F2E"/>
    <w:rsid w:val="0021257C"/>
    <w:rsid w:val="00212E0B"/>
    <w:rsid w:val="0021313E"/>
    <w:rsid w:val="00213B07"/>
    <w:rsid w:val="002140F0"/>
    <w:rsid w:val="002146EE"/>
    <w:rsid w:val="002147FB"/>
    <w:rsid w:val="00214E77"/>
    <w:rsid w:val="0021501A"/>
    <w:rsid w:val="002151DC"/>
    <w:rsid w:val="00215A74"/>
    <w:rsid w:val="002160E1"/>
    <w:rsid w:val="002164F5"/>
    <w:rsid w:val="0021691B"/>
    <w:rsid w:val="00216B57"/>
    <w:rsid w:val="00216BC4"/>
    <w:rsid w:val="0021718B"/>
    <w:rsid w:val="00217255"/>
    <w:rsid w:val="002172AA"/>
    <w:rsid w:val="00217ECA"/>
    <w:rsid w:val="00217F5A"/>
    <w:rsid w:val="002201CC"/>
    <w:rsid w:val="00220237"/>
    <w:rsid w:val="00220277"/>
    <w:rsid w:val="00221685"/>
    <w:rsid w:val="00221776"/>
    <w:rsid w:val="00221DBA"/>
    <w:rsid w:val="00221E30"/>
    <w:rsid w:val="002220D2"/>
    <w:rsid w:val="00222128"/>
    <w:rsid w:val="0022213B"/>
    <w:rsid w:val="002222EA"/>
    <w:rsid w:val="00222313"/>
    <w:rsid w:val="00222424"/>
    <w:rsid w:val="00222471"/>
    <w:rsid w:val="0022251A"/>
    <w:rsid w:val="002226EE"/>
    <w:rsid w:val="00222754"/>
    <w:rsid w:val="0022282B"/>
    <w:rsid w:val="00222857"/>
    <w:rsid w:val="00222AA2"/>
    <w:rsid w:val="00222AE7"/>
    <w:rsid w:val="00222D6A"/>
    <w:rsid w:val="00223256"/>
    <w:rsid w:val="00223386"/>
    <w:rsid w:val="002233E5"/>
    <w:rsid w:val="00223603"/>
    <w:rsid w:val="0022379D"/>
    <w:rsid w:val="00223DFE"/>
    <w:rsid w:val="0022424A"/>
    <w:rsid w:val="0022431D"/>
    <w:rsid w:val="002244EA"/>
    <w:rsid w:val="002247C5"/>
    <w:rsid w:val="00224B2B"/>
    <w:rsid w:val="00224BB1"/>
    <w:rsid w:val="002250D3"/>
    <w:rsid w:val="00225210"/>
    <w:rsid w:val="00225D2B"/>
    <w:rsid w:val="00226651"/>
    <w:rsid w:val="002267BA"/>
    <w:rsid w:val="002269DE"/>
    <w:rsid w:val="00226ED7"/>
    <w:rsid w:val="00226EF8"/>
    <w:rsid w:val="0022705A"/>
    <w:rsid w:val="00227639"/>
    <w:rsid w:val="00230689"/>
    <w:rsid w:val="0023072A"/>
    <w:rsid w:val="00230E4C"/>
    <w:rsid w:val="00230F65"/>
    <w:rsid w:val="0023133D"/>
    <w:rsid w:val="00231358"/>
    <w:rsid w:val="002313E8"/>
    <w:rsid w:val="0023173F"/>
    <w:rsid w:val="002319DF"/>
    <w:rsid w:val="00231B41"/>
    <w:rsid w:val="00231E6E"/>
    <w:rsid w:val="002326BE"/>
    <w:rsid w:val="00232727"/>
    <w:rsid w:val="00232B03"/>
    <w:rsid w:val="00232E08"/>
    <w:rsid w:val="002331DA"/>
    <w:rsid w:val="002339B3"/>
    <w:rsid w:val="00233A02"/>
    <w:rsid w:val="00233D6B"/>
    <w:rsid w:val="00233EA7"/>
    <w:rsid w:val="00234139"/>
    <w:rsid w:val="00234B32"/>
    <w:rsid w:val="00234E73"/>
    <w:rsid w:val="00235073"/>
    <w:rsid w:val="0023590E"/>
    <w:rsid w:val="002363BB"/>
    <w:rsid w:val="002365D1"/>
    <w:rsid w:val="0023686A"/>
    <w:rsid w:val="002369D0"/>
    <w:rsid w:val="00236B6A"/>
    <w:rsid w:val="00236C13"/>
    <w:rsid w:val="00237252"/>
    <w:rsid w:val="002373E3"/>
    <w:rsid w:val="002400A3"/>
    <w:rsid w:val="00240270"/>
    <w:rsid w:val="00240920"/>
    <w:rsid w:val="00241030"/>
    <w:rsid w:val="00241060"/>
    <w:rsid w:val="00241698"/>
    <w:rsid w:val="00241726"/>
    <w:rsid w:val="00241E81"/>
    <w:rsid w:val="00241F5A"/>
    <w:rsid w:val="0024224B"/>
    <w:rsid w:val="0024231F"/>
    <w:rsid w:val="0024252F"/>
    <w:rsid w:val="00242538"/>
    <w:rsid w:val="0024269A"/>
    <w:rsid w:val="002427CD"/>
    <w:rsid w:val="00242F4F"/>
    <w:rsid w:val="002431CE"/>
    <w:rsid w:val="00243741"/>
    <w:rsid w:val="00243AE2"/>
    <w:rsid w:val="00243C31"/>
    <w:rsid w:val="002442D4"/>
    <w:rsid w:val="00244720"/>
    <w:rsid w:val="002449EC"/>
    <w:rsid w:val="0024502F"/>
    <w:rsid w:val="00245207"/>
    <w:rsid w:val="0024561A"/>
    <w:rsid w:val="002457BB"/>
    <w:rsid w:val="0024593D"/>
    <w:rsid w:val="00245AC8"/>
    <w:rsid w:val="00245C33"/>
    <w:rsid w:val="00245D06"/>
    <w:rsid w:val="00246095"/>
    <w:rsid w:val="00246239"/>
    <w:rsid w:val="002463EE"/>
    <w:rsid w:val="00246796"/>
    <w:rsid w:val="002468B8"/>
    <w:rsid w:val="002469DB"/>
    <w:rsid w:val="00246D58"/>
    <w:rsid w:val="00247203"/>
    <w:rsid w:val="00247690"/>
    <w:rsid w:val="00247E31"/>
    <w:rsid w:val="00247E9B"/>
    <w:rsid w:val="0025137B"/>
    <w:rsid w:val="002516D7"/>
    <w:rsid w:val="0025180C"/>
    <w:rsid w:val="00252313"/>
    <w:rsid w:val="00252388"/>
    <w:rsid w:val="002526B8"/>
    <w:rsid w:val="00252923"/>
    <w:rsid w:val="00252BA7"/>
    <w:rsid w:val="00253239"/>
    <w:rsid w:val="0025387B"/>
    <w:rsid w:val="00253A60"/>
    <w:rsid w:val="00253BCC"/>
    <w:rsid w:val="00254379"/>
    <w:rsid w:val="0025467B"/>
    <w:rsid w:val="0025481C"/>
    <w:rsid w:val="00254BC3"/>
    <w:rsid w:val="002550E0"/>
    <w:rsid w:val="00255435"/>
    <w:rsid w:val="002559D1"/>
    <w:rsid w:val="00255A8A"/>
    <w:rsid w:val="00255E9F"/>
    <w:rsid w:val="00255FAE"/>
    <w:rsid w:val="0025606A"/>
    <w:rsid w:val="002562E1"/>
    <w:rsid w:val="002565C2"/>
    <w:rsid w:val="00256706"/>
    <w:rsid w:val="00256837"/>
    <w:rsid w:val="00256A0D"/>
    <w:rsid w:val="00256BA6"/>
    <w:rsid w:val="00256E25"/>
    <w:rsid w:val="002573C7"/>
    <w:rsid w:val="00257753"/>
    <w:rsid w:val="00257CED"/>
    <w:rsid w:val="00257DDC"/>
    <w:rsid w:val="00257EA2"/>
    <w:rsid w:val="00257F2D"/>
    <w:rsid w:val="002600CE"/>
    <w:rsid w:val="00260A33"/>
    <w:rsid w:val="00260BEA"/>
    <w:rsid w:val="00261201"/>
    <w:rsid w:val="002619D3"/>
    <w:rsid w:val="00261AC7"/>
    <w:rsid w:val="00261C29"/>
    <w:rsid w:val="00261FD7"/>
    <w:rsid w:val="002620FE"/>
    <w:rsid w:val="002621A3"/>
    <w:rsid w:val="002624D3"/>
    <w:rsid w:val="00262841"/>
    <w:rsid w:val="00262D38"/>
    <w:rsid w:val="00262D9C"/>
    <w:rsid w:val="00262EFE"/>
    <w:rsid w:val="00262FE0"/>
    <w:rsid w:val="00263933"/>
    <w:rsid w:val="00263E10"/>
    <w:rsid w:val="00264057"/>
    <w:rsid w:val="00264799"/>
    <w:rsid w:val="0026486B"/>
    <w:rsid w:val="002648C6"/>
    <w:rsid w:val="00264E3B"/>
    <w:rsid w:val="0026508B"/>
    <w:rsid w:val="002650DE"/>
    <w:rsid w:val="00265157"/>
    <w:rsid w:val="00265F36"/>
    <w:rsid w:val="00266260"/>
    <w:rsid w:val="00266795"/>
    <w:rsid w:val="00266ADD"/>
    <w:rsid w:val="00266FDE"/>
    <w:rsid w:val="00267486"/>
    <w:rsid w:val="00267877"/>
    <w:rsid w:val="00267DDE"/>
    <w:rsid w:val="00270351"/>
    <w:rsid w:val="00270D88"/>
    <w:rsid w:val="00270F77"/>
    <w:rsid w:val="00270FCE"/>
    <w:rsid w:val="002715A5"/>
    <w:rsid w:val="00271981"/>
    <w:rsid w:val="00271A82"/>
    <w:rsid w:val="00271B1F"/>
    <w:rsid w:val="00271C5D"/>
    <w:rsid w:val="002720BC"/>
    <w:rsid w:val="002725AB"/>
    <w:rsid w:val="00272F9D"/>
    <w:rsid w:val="00273399"/>
    <w:rsid w:val="00273536"/>
    <w:rsid w:val="0027416D"/>
    <w:rsid w:val="002742FB"/>
    <w:rsid w:val="00274788"/>
    <w:rsid w:val="00274B78"/>
    <w:rsid w:val="00274E98"/>
    <w:rsid w:val="002752F2"/>
    <w:rsid w:val="00275335"/>
    <w:rsid w:val="00275CD3"/>
    <w:rsid w:val="00275D63"/>
    <w:rsid w:val="00276225"/>
    <w:rsid w:val="00276266"/>
    <w:rsid w:val="0027686A"/>
    <w:rsid w:val="00276A6F"/>
    <w:rsid w:val="00276D47"/>
    <w:rsid w:val="00276EA9"/>
    <w:rsid w:val="002776D7"/>
    <w:rsid w:val="002777A6"/>
    <w:rsid w:val="00277A5E"/>
    <w:rsid w:val="00277E52"/>
    <w:rsid w:val="00280126"/>
    <w:rsid w:val="00280230"/>
    <w:rsid w:val="00280519"/>
    <w:rsid w:val="00280738"/>
    <w:rsid w:val="0028094B"/>
    <w:rsid w:val="00280AD8"/>
    <w:rsid w:val="00280BBF"/>
    <w:rsid w:val="00280CFD"/>
    <w:rsid w:val="00280D48"/>
    <w:rsid w:val="002811FF"/>
    <w:rsid w:val="00281AC3"/>
    <w:rsid w:val="00282006"/>
    <w:rsid w:val="00282431"/>
    <w:rsid w:val="00282520"/>
    <w:rsid w:val="00282C0D"/>
    <w:rsid w:val="00282E8C"/>
    <w:rsid w:val="002833A1"/>
    <w:rsid w:val="00283739"/>
    <w:rsid w:val="00283BCF"/>
    <w:rsid w:val="00283C76"/>
    <w:rsid w:val="00283D39"/>
    <w:rsid w:val="00283D47"/>
    <w:rsid w:val="002846AC"/>
    <w:rsid w:val="00284829"/>
    <w:rsid w:val="002848AF"/>
    <w:rsid w:val="002850E3"/>
    <w:rsid w:val="00285953"/>
    <w:rsid w:val="002863D1"/>
    <w:rsid w:val="002866FF"/>
    <w:rsid w:val="00286CA8"/>
    <w:rsid w:val="00286CC8"/>
    <w:rsid w:val="00286D41"/>
    <w:rsid w:val="002878B8"/>
    <w:rsid w:val="00287A80"/>
    <w:rsid w:val="00287AF6"/>
    <w:rsid w:val="00287CBD"/>
    <w:rsid w:val="00287D0A"/>
    <w:rsid w:val="00287E76"/>
    <w:rsid w:val="00290986"/>
    <w:rsid w:val="00290E2C"/>
    <w:rsid w:val="0029116F"/>
    <w:rsid w:val="00291270"/>
    <w:rsid w:val="0029149C"/>
    <w:rsid w:val="0029162F"/>
    <w:rsid w:val="00291BF5"/>
    <w:rsid w:val="00292083"/>
    <w:rsid w:val="00292210"/>
    <w:rsid w:val="002922EF"/>
    <w:rsid w:val="002926E2"/>
    <w:rsid w:val="00292B52"/>
    <w:rsid w:val="00292BC6"/>
    <w:rsid w:val="00292C2A"/>
    <w:rsid w:val="00293101"/>
    <w:rsid w:val="00293697"/>
    <w:rsid w:val="002936AC"/>
    <w:rsid w:val="002936F1"/>
    <w:rsid w:val="00293876"/>
    <w:rsid w:val="00293C24"/>
    <w:rsid w:val="0029460E"/>
    <w:rsid w:val="00294B75"/>
    <w:rsid w:val="00294E23"/>
    <w:rsid w:val="002956A6"/>
    <w:rsid w:val="002956F5"/>
    <w:rsid w:val="00295C98"/>
    <w:rsid w:val="0029603C"/>
    <w:rsid w:val="00296B55"/>
    <w:rsid w:val="00296DA7"/>
    <w:rsid w:val="00297104"/>
    <w:rsid w:val="002971F9"/>
    <w:rsid w:val="00297570"/>
    <w:rsid w:val="00297A7F"/>
    <w:rsid w:val="00297BB0"/>
    <w:rsid w:val="00297D0A"/>
    <w:rsid w:val="00297D3B"/>
    <w:rsid w:val="00297FA4"/>
    <w:rsid w:val="002A02CA"/>
    <w:rsid w:val="002A0377"/>
    <w:rsid w:val="002A06CF"/>
    <w:rsid w:val="002A08F5"/>
    <w:rsid w:val="002A0913"/>
    <w:rsid w:val="002A0A51"/>
    <w:rsid w:val="002A0AF6"/>
    <w:rsid w:val="002A0DF3"/>
    <w:rsid w:val="002A0E03"/>
    <w:rsid w:val="002A116E"/>
    <w:rsid w:val="002A1C74"/>
    <w:rsid w:val="002A2406"/>
    <w:rsid w:val="002A24B6"/>
    <w:rsid w:val="002A2673"/>
    <w:rsid w:val="002A26F3"/>
    <w:rsid w:val="002A28A8"/>
    <w:rsid w:val="002A2A3E"/>
    <w:rsid w:val="002A2E02"/>
    <w:rsid w:val="002A2FE3"/>
    <w:rsid w:val="002A381C"/>
    <w:rsid w:val="002A4231"/>
    <w:rsid w:val="002A436C"/>
    <w:rsid w:val="002A4AE0"/>
    <w:rsid w:val="002A4B9E"/>
    <w:rsid w:val="002A4F2A"/>
    <w:rsid w:val="002A5360"/>
    <w:rsid w:val="002A5569"/>
    <w:rsid w:val="002A5663"/>
    <w:rsid w:val="002A5674"/>
    <w:rsid w:val="002A5701"/>
    <w:rsid w:val="002A601E"/>
    <w:rsid w:val="002A60A9"/>
    <w:rsid w:val="002A6738"/>
    <w:rsid w:val="002A6AD5"/>
    <w:rsid w:val="002A6E7A"/>
    <w:rsid w:val="002A7309"/>
    <w:rsid w:val="002A7C57"/>
    <w:rsid w:val="002A7CF6"/>
    <w:rsid w:val="002A7FCD"/>
    <w:rsid w:val="002B0055"/>
    <w:rsid w:val="002B015D"/>
    <w:rsid w:val="002B01EC"/>
    <w:rsid w:val="002B039E"/>
    <w:rsid w:val="002B09AE"/>
    <w:rsid w:val="002B0E33"/>
    <w:rsid w:val="002B0FF8"/>
    <w:rsid w:val="002B106B"/>
    <w:rsid w:val="002B14F9"/>
    <w:rsid w:val="002B1724"/>
    <w:rsid w:val="002B1D21"/>
    <w:rsid w:val="002B1DD8"/>
    <w:rsid w:val="002B258E"/>
    <w:rsid w:val="002B26EC"/>
    <w:rsid w:val="002B2710"/>
    <w:rsid w:val="002B2B08"/>
    <w:rsid w:val="002B2C13"/>
    <w:rsid w:val="002B3668"/>
    <w:rsid w:val="002B43A4"/>
    <w:rsid w:val="002B45B0"/>
    <w:rsid w:val="002B4662"/>
    <w:rsid w:val="002B46A4"/>
    <w:rsid w:val="002B46AA"/>
    <w:rsid w:val="002B5015"/>
    <w:rsid w:val="002B5430"/>
    <w:rsid w:val="002B58A3"/>
    <w:rsid w:val="002B5C2B"/>
    <w:rsid w:val="002B5CE2"/>
    <w:rsid w:val="002B5DAD"/>
    <w:rsid w:val="002B5F3B"/>
    <w:rsid w:val="002B6012"/>
    <w:rsid w:val="002B6292"/>
    <w:rsid w:val="002B6356"/>
    <w:rsid w:val="002B6365"/>
    <w:rsid w:val="002B647B"/>
    <w:rsid w:val="002B64E4"/>
    <w:rsid w:val="002B65E0"/>
    <w:rsid w:val="002B6C19"/>
    <w:rsid w:val="002B6CC3"/>
    <w:rsid w:val="002B7BF6"/>
    <w:rsid w:val="002C0152"/>
    <w:rsid w:val="002C01D5"/>
    <w:rsid w:val="002C093F"/>
    <w:rsid w:val="002C1C79"/>
    <w:rsid w:val="002C219C"/>
    <w:rsid w:val="002C2305"/>
    <w:rsid w:val="002C2C98"/>
    <w:rsid w:val="002C2E0F"/>
    <w:rsid w:val="002C3405"/>
    <w:rsid w:val="002C4276"/>
    <w:rsid w:val="002C4308"/>
    <w:rsid w:val="002C4897"/>
    <w:rsid w:val="002C4BFE"/>
    <w:rsid w:val="002C5238"/>
    <w:rsid w:val="002C52CF"/>
    <w:rsid w:val="002C53AD"/>
    <w:rsid w:val="002C5436"/>
    <w:rsid w:val="002C5595"/>
    <w:rsid w:val="002C55C2"/>
    <w:rsid w:val="002C5790"/>
    <w:rsid w:val="002C585B"/>
    <w:rsid w:val="002C58E7"/>
    <w:rsid w:val="002C5C5D"/>
    <w:rsid w:val="002C5EE8"/>
    <w:rsid w:val="002C62E9"/>
    <w:rsid w:val="002C63FA"/>
    <w:rsid w:val="002C6774"/>
    <w:rsid w:val="002C6B2A"/>
    <w:rsid w:val="002C6F66"/>
    <w:rsid w:val="002C775F"/>
    <w:rsid w:val="002C79C5"/>
    <w:rsid w:val="002C7A0E"/>
    <w:rsid w:val="002D003D"/>
    <w:rsid w:val="002D0591"/>
    <w:rsid w:val="002D062F"/>
    <w:rsid w:val="002D06A2"/>
    <w:rsid w:val="002D0D6E"/>
    <w:rsid w:val="002D0E27"/>
    <w:rsid w:val="002D12F6"/>
    <w:rsid w:val="002D1966"/>
    <w:rsid w:val="002D1C76"/>
    <w:rsid w:val="002D2470"/>
    <w:rsid w:val="002D2BEA"/>
    <w:rsid w:val="002D2D74"/>
    <w:rsid w:val="002D2EDA"/>
    <w:rsid w:val="002D3324"/>
    <w:rsid w:val="002D33CD"/>
    <w:rsid w:val="002D3437"/>
    <w:rsid w:val="002D37D6"/>
    <w:rsid w:val="002D3801"/>
    <w:rsid w:val="002D38AB"/>
    <w:rsid w:val="002D38F8"/>
    <w:rsid w:val="002D3CDB"/>
    <w:rsid w:val="002D3F53"/>
    <w:rsid w:val="002D435D"/>
    <w:rsid w:val="002D477D"/>
    <w:rsid w:val="002D4B47"/>
    <w:rsid w:val="002D544E"/>
    <w:rsid w:val="002D55E2"/>
    <w:rsid w:val="002D574D"/>
    <w:rsid w:val="002D5B1C"/>
    <w:rsid w:val="002D5C33"/>
    <w:rsid w:val="002D5F73"/>
    <w:rsid w:val="002D5FA7"/>
    <w:rsid w:val="002D5FA8"/>
    <w:rsid w:val="002D6366"/>
    <w:rsid w:val="002D644B"/>
    <w:rsid w:val="002D6781"/>
    <w:rsid w:val="002D6820"/>
    <w:rsid w:val="002D6BFC"/>
    <w:rsid w:val="002D6FD2"/>
    <w:rsid w:val="002D707E"/>
    <w:rsid w:val="002D737E"/>
    <w:rsid w:val="002D7747"/>
    <w:rsid w:val="002D7E48"/>
    <w:rsid w:val="002E0152"/>
    <w:rsid w:val="002E024D"/>
    <w:rsid w:val="002E0277"/>
    <w:rsid w:val="002E03F7"/>
    <w:rsid w:val="002E0883"/>
    <w:rsid w:val="002E09BF"/>
    <w:rsid w:val="002E0B47"/>
    <w:rsid w:val="002E0CD0"/>
    <w:rsid w:val="002E2054"/>
    <w:rsid w:val="002E233B"/>
    <w:rsid w:val="002E23DF"/>
    <w:rsid w:val="002E27EC"/>
    <w:rsid w:val="002E29FF"/>
    <w:rsid w:val="002E3351"/>
    <w:rsid w:val="002E3B60"/>
    <w:rsid w:val="002E3DB3"/>
    <w:rsid w:val="002E4747"/>
    <w:rsid w:val="002E4A8A"/>
    <w:rsid w:val="002E4CAE"/>
    <w:rsid w:val="002E4D47"/>
    <w:rsid w:val="002E4DF1"/>
    <w:rsid w:val="002E545C"/>
    <w:rsid w:val="002E54FB"/>
    <w:rsid w:val="002E5571"/>
    <w:rsid w:val="002E5A5A"/>
    <w:rsid w:val="002E5B9F"/>
    <w:rsid w:val="002E6173"/>
    <w:rsid w:val="002E61CA"/>
    <w:rsid w:val="002E6263"/>
    <w:rsid w:val="002E6732"/>
    <w:rsid w:val="002E6745"/>
    <w:rsid w:val="002E6E66"/>
    <w:rsid w:val="002E7443"/>
    <w:rsid w:val="002E747C"/>
    <w:rsid w:val="002E74C8"/>
    <w:rsid w:val="002E76A9"/>
    <w:rsid w:val="002E7782"/>
    <w:rsid w:val="002E787B"/>
    <w:rsid w:val="002E7BD3"/>
    <w:rsid w:val="002E7D46"/>
    <w:rsid w:val="002E7DB5"/>
    <w:rsid w:val="002F0EF8"/>
    <w:rsid w:val="002F0F7D"/>
    <w:rsid w:val="002F11B1"/>
    <w:rsid w:val="002F127E"/>
    <w:rsid w:val="002F12F8"/>
    <w:rsid w:val="002F17E5"/>
    <w:rsid w:val="002F1B03"/>
    <w:rsid w:val="002F1C87"/>
    <w:rsid w:val="002F243D"/>
    <w:rsid w:val="002F267B"/>
    <w:rsid w:val="002F2FCC"/>
    <w:rsid w:val="002F3167"/>
    <w:rsid w:val="002F351E"/>
    <w:rsid w:val="002F3B3C"/>
    <w:rsid w:val="002F3DBC"/>
    <w:rsid w:val="002F3F82"/>
    <w:rsid w:val="002F40A8"/>
    <w:rsid w:val="002F4406"/>
    <w:rsid w:val="002F4B61"/>
    <w:rsid w:val="002F4D20"/>
    <w:rsid w:val="002F4ECB"/>
    <w:rsid w:val="002F4EF0"/>
    <w:rsid w:val="002F5805"/>
    <w:rsid w:val="002F594A"/>
    <w:rsid w:val="002F6937"/>
    <w:rsid w:val="002F6988"/>
    <w:rsid w:val="002F6A73"/>
    <w:rsid w:val="002F6A75"/>
    <w:rsid w:val="002F6BA1"/>
    <w:rsid w:val="002F6CA3"/>
    <w:rsid w:val="002F6DB5"/>
    <w:rsid w:val="002F7507"/>
    <w:rsid w:val="002F7CE5"/>
    <w:rsid w:val="002F7DBE"/>
    <w:rsid w:val="002F7FEE"/>
    <w:rsid w:val="0030002C"/>
    <w:rsid w:val="00300320"/>
    <w:rsid w:val="00300462"/>
    <w:rsid w:val="003008DE"/>
    <w:rsid w:val="00300926"/>
    <w:rsid w:val="00300D35"/>
    <w:rsid w:val="003010CD"/>
    <w:rsid w:val="003010EA"/>
    <w:rsid w:val="003011F2"/>
    <w:rsid w:val="00301300"/>
    <w:rsid w:val="0030134A"/>
    <w:rsid w:val="0030147C"/>
    <w:rsid w:val="00301590"/>
    <w:rsid w:val="003016B8"/>
    <w:rsid w:val="00301C06"/>
    <w:rsid w:val="00301E08"/>
    <w:rsid w:val="00301F8E"/>
    <w:rsid w:val="0030205B"/>
    <w:rsid w:val="00302088"/>
    <w:rsid w:val="0030209E"/>
    <w:rsid w:val="003020B2"/>
    <w:rsid w:val="003023D4"/>
    <w:rsid w:val="00302509"/>
    <w:rsid w:val="00302C1A"/>
    <w:rsid w:val="00302C9E"/>
    <w:rsid w:val="00302F9C"/>
    <w:rsid w:val="00303324"/>
    <w:rsid w:val="003034EB"/>
    <w:rsid w:val="003035E0"/>
    <w:rsid w:val="00303A68"/>
    <w:rsid w:val="00303BB6"/>
    <w:rsid w:val="00303EEC"/>
    <w:rsid w:val="00304039"/>
    <w:rsid w:val="0030415F"/>
    <w:rsid w:val="003044A0"/>
    <w:rsid w:val="003052B9"/>
    <w:rsid w:val="003052C8"/>
    <w:rsid w:val="003054D7"/>
    <w:rsid w:val="003056CD"/>
    <w:rsid w:val="00305816"/>
    <w:rsid w:val="00305CDB"/>
    <w:rsid w:val="00305DC6"/>
    <w:rsid w:val="00306044"/>
    <w:rsid w:val="0030606B"/>
    <w:rsid w:val="003064C6"/>
    <w:rsid w:val="00306677"/>
    <w:rsid w:val="00306768"/>
    <w:rsid w:val="00307476"/>
    <w:rsid w:val="00307E94"/>
    <w:rsid w:val="003100DA"/>
    <w:rsid w:val="00310344"/>
    <w:rsid w:val="003103EC"/>
    <w:rsid w:val="00310582"/>
    <w:rsid w:val="003108C0"/>
    <w:rsid w:val="00311182"/>
    <w:rsid w:val="00311652"/>
    <w:rsid w:val="003116F2"/>
    <w:rsid w:val="00311755"/>
    <w:rsid w:val="00311799"/>
    <w:rsid w:val="00311950"/>
    <w:rsid w:val="003119B2"/>
    <w:rsid w:val="00311AC1"/>
    <w:rsid w:val="00311CB2"/>
    <w:rsid w:val="00311CE6"/>
    <w:rsid w:val="00311FF2"/>
    <w:rsid w:val="00312005"/>
    <w:rsid w:val="00312167"/>
    <w:rsid w:val="00312457"/>
    <w:rsid w:val="0031265E"/>
    <w:rsid w:val="0031291C"/>
    <w:rsid w:val="00312BC7"/>
    <w:rsid w:val="00312FBA"/>
    <w:rsid w:val="00313248"/>
    <w:rsid w:val="003133D2"/>
    <w:rsid w:val="0031375E"/>
    <w:rsid w:val="00313944"/>
    <w:rsid w:val="00313A0D"/>
    <w:rsid w:val="00313DD5"/>
    <w:rsid w:val="00313F48"/>
    <w:rsid w:val="003141EC"/>
    <w:rsid w:val="00314218"/>
    <w:rsid w:val="00314FA4"/>
    <w:rsid w:val="00315130"/>
    <w:rsid w:val="00315371"/>
    <w:rsid w:val="0031598F"/>
    <w:rsid w:val="00315C37"/>
    <w:rsid w:val="00315D93"/>
    <w:rsid w:val="00315E9E"/>
    <w:rsid w:val="003164D0"/>
    <w:rsid w:val="003165A7"/>
    <w:rsid w:val="0031671E"/>
    <w:rsid w:val="00316A42"/>
    <w:rsid w:val="003171B4"/>
    <w:rsid w:val="00317236"/>
    <w:rsid w:val="0031771E"/>
    <w:rsid w:val="0031780F"/>
    <w:rsid w:val="00320028"/>
    <w:rsid w:val="00320093"/>
    <w:rsid w:val="003200DF"/>
    <w:rsid w:val="003201B0"/>
    <w:rsid w:val="0032039B"/>
    <w:rsid w:val="00320732"/>
    <w:rsid w:val="00320A9C"/>
    <w:rsid w:val="00320F0B"/>
    <w:rsid w:val="00321068"/>
    <w:rsid w:val="00321122"/>
    <w:rsid w:val="00321C21"/>
    <w:rsid w:val="00321E1A"/>
    <w:rsid w:val="00322576"/>
    <w:rsid w:val="0032257A"/>
    <w:rsid w:val="003226AD"/>
    <w:rsid w:val="0032290C"/>
    <w:rsid w:val="00322E91"/>
    <w:rsid w:val="00322ED2"/>
    <w:rsid w:val="003232D5"/>
    <w:rsid w:val="003234D1"/>
    <w:rsid w:val="003235F6"/>
    <w:rsid w:val="003236B5"/>
    <w:rsid w:val="00323979"/>
    <w:rsid w:val="00323A9D"/>
    <w:rsid w:val="00324942"/>
    <w:rsid w:val="00324C2A"/>
    <w:rsid w:val="003252DA"/>
    <w:rsid w:val="003255A5"/>
    <w:rsid w:val="00325608"/>
    <w:rsid w:val="00325694"/>
    <w:rsid w:val="00325BE1"/>
    <w:rsid w:val="0032637C"/>
    <w:rsid w:val="0032640C"/>
    <w:rsid w:val="003269A6"/>
    <w:rsid w:val="00326BE5"/>
    <w:rsid w:val="00326C7B"/>
    <w:rsid w:val="00326E0F"/>
    <w:rsid w:val="00326F6C"/>
    <w:rsid w:val="00327220"/>
    <w:rsid w:val="00327675"/>
    <w:rsid w:val="00327742"/>
    <w:rsid w:val="00327757"/>
    <w:rsid w:val="00327B39"/>
    <w:rsid w:val="00327C0A"/>
    <w:rsid w:val="0033030B"/>
    <w:rsid w:val="003303F1"/>
    <w:rsid w:val="00330743"/>
    <w:rsid w:val="00330995"/>
    <w:rsid w:val="00330A84"/>
    <w:rsid w:val="00330ABC"/>
    <w:rsid w:val="00330F6B"/>
    <w:rsid w:val="00331731"/>
    <w:rsid w:val="00331C7E"/>
    <w:rsid w:val="00332BBB"/>
    <w:rsid w:val="00332C98"/>
    <w:rsid w:val="00332F7B"/>
    <w:rsid w:val="003331CE"/>
    <w:rsid w:val="00333270"/>
    <w:rsid w:val="0033369D"/>
    <w:rsid w:val="0033438C"/>
    <w:rsid w:val="00334A18"/>
    <w:rsid w:val="00334A47"/>
    <w:rsid w:val="00334EFB"/>
    <w:rsid w:val="00334F91"/>
    <w:rsid w:val="00334FAD"/>
    <w:rsid w:val="00335139"/>
    <w:rsid w:val="00335693"/>
    <w:rsid w:val="003356DD"/>
    <w:rsid w:val="00335C80"/>
    <w:rsid w:val="00335FD8"/>
    <w:rsid w:val="00336084"/>
    <w:rsid w:val="00336185"/>
    <w:rsid w:val="0033621B"/>
    <w:rsid w:val="0033637C"/>
    <w:rsid w:val="00336A1D"/>
    <w:rsid w:val="00336EBB"/>
    <w:rsid w:val="00337236"/>
    <w:rsid w:val="0033730F"/>
    <w:rsid w:val="003374C5"/>
    <w:rsid w:val="003375A6"/>
    <w:rsid w:val="003376DA"/>
    <w:rsid w:val="00337A42"/>
    <w:rsid w:val="00337B68"/>
    <w:rsid w:val="00340038"/>
    <w:rsid w:val="00340215"/>
    <w:rsid w:val="003402C6"/>
    <w:rsid w:val="00340BBE"/>
    <w:rsid w:val="003412CC"/>
    <w:rsid w:val="0034131F"/>
    <w:rsid w:val="00341437"/>
    <w:rsid w:val="00341729"/>
    <w:rsid w:val="003419D4"/>
    <w:rsid w:val="00341E08"/>
    <w:rsid w:val="00341E34"/>
    <w:rsid w:val="00341E59"/>
    <w:rsid w:val="00342292"/>
    <w:rsid w:val="00342422"/>
    <w:rsid w:val="003426D8"/>
    <w:rsid w:val="00342B1B"/>
    <w:rsid w:val="00342B25"/>
    <w:rsid w:val="00342D83"/>
    <w:rsid w:val="003431E1"/>
    <w:rsid w:val="00343207"/>
    <w:rsid w:val="003433A4"/>
    <w:rsid w:val="003439D2"/>
    <w:rsid w:val="00343EDD"/>
    <w:rsid w:val="00344064"/>
    <w:rsid w:val="003441A4"/>
    <w:rsid w:val="00344520"/>
    <w:rsid w:val="003448C3"/>
    <w:rsid w:val="00344BB5"/>
    <w:rsid w:val="00344E2E"/>
    <w:rsid w:val="00344FA3"/>
    <w:rsid w:val="003451AD"/>
    <w:rsid w:val="003453E0"/>
    <w:rsid w:val="003453FB"/>
    <w:rsid w:val="00345625"/>
    <w:rsid w:val="003457C1"/>
    <w:rsid w:val="003458D1"/>
    <w:rsid w:val="003459AE"/>
    <w:rsid w:val="00345ADD"/>
    <w:rsid w:val="0034608B"/>
    <w:rsid w:val="003463E5"/>
    <w:rsid w:val="003466DD"/>
    <w:rsid w:val="00346D65"/>
    <w:rsid w:val="00346EAC"/>
    <w:rsid w:val="0034730F"/>
    <w:rsid w:val="00347958"/>
    <w:rsid w:val="003479A8"/>
    <w:rsid w:val="00347A4C"/>
    <w:rsid w:val="00347C81"/>
    <w:rsid w:val="00347D06"/>
    <w:rsid w:val="003504F5"/>
    <w:rsid w:val="00350B79"/>
    <w:rsid w:val="00351518"/>
    <w:rsid w:val="003518CB"/>
    <w:rsid w:val="00351BB6"/>
    <w:rsid w:val="00352479"/>
    <w:rsid w:val="00352ADF"/>
    <w:rsid w:val="00352C43"/>
    <w:rsid w:val="003536D4"/>
    <w:rsid w:val="00353801"/>
    <w:rsid w:val="0035407B"/>
    <w:rsid w:val="00354669"/>
    <w:rsid w:val="00354722"/>
    <w:rsid w:val="00354B79"/>
    <w:rsid w:val="00354E0A"/>
    <w:rsid w:val="00354FA3"/>
    <w:rsid w:val="00355204"/>
    <w:rsid w:val="003552F6"/>
    <w:rsid w:val="00355741"/>
    <w:rsid w:val="00355A9F"/>
    <w:rsid w:val="00355ABD"/>
    <w:rsid w:val="003563C9"/>
    <w:rsid w:val="003566C0"/>
    <w:rsid w:val="00356DCB"/>
    <w:rsid w:val="00357326"/>
    <w:rsid w:val="0035751A"/>
    <w:rsid w:val="0035797C"/>
    <w:rsid w:val="00357A2C"/>
    <w:rsid w:val="00357E04"/>
    <w:rsid w:val="0036006A"/>
    <w:rsid w:val="00360665"/>
    <w:rsid w:val="00360759"/>
    <w:rsid w:val="00360802"/>
    <w:rsid w:val="00360B5F"/>
    <w:rsid w:val="00360DF8"/>
    <w:rsid w:val="00360EEE"/>
    <w:rsid w:val="00360FB5"/>
    <w:rsid w:val="0036105C"/>
    <w:rsid w:val="00361B19"/>
    <w:rsid w:val="0036201F"/>
    <w:rsid w:val="0036206D"/>
    <w:rsid w:val="0036245D"/>
    <w:rsid w:val="00362DC2"/>
    <w:rsid w:val="003630B1"/>
    <w:rsid w:val="00363644"/>
    <w:rsid w:val="00363A70"/>
    <w:rsid w:val="00364024"/>
    <w:rsid w:val="00364557"/>
    <w:rsid w:val="00364A98"/>
    <w:rsid w:val="00365052"/>
    <w:rsid w:val="003650B3"/>
    <w:rsid w:val="00365B76"/>
    <w:rsid w:val="00365E8E"/>
    <w:rsid w:val="003665BE"/>
    <w:rsid w:val="003666EF"/>
    <w:rsid w:val="003667A8"/>
    <w:rsid w:val="00366AC9"/>
    <w:rsid w:val="00367267"/>
    <w:rsid w:val="00367579"/>
    <w:rsid w:val="00367A5B"/>
    <w:rsid w:val="00367B3D"/>
    <w:rsid w:val="00367B64"/>
    <w:rsid w:val="00367C42"/>
    <w:rsid w:val="00367ED1"/>
    <w:rsid w:val="00370800"/>
    <w:rsid w:val="00371066"/>
    <w:rsid w:val="00371676"/>
    <w:rsid w:val="00371886"/>
    <w:rsid w:val="00371A04"/>
    <w:rsid w:val="00371CFF"/>
    <w:rsid w:val="00371D86"/>
    <w:rsid w:val="00371DA6"/>
    <w:rsid w:val="00372009"/>
    <w:rsid w:val="003727A8"/>
    <w:rsid w:val="00372A1D"/>
    <w:rsid w:val="00372E49"/>
    <w:rsid w:val="00372F22"/>
    <w:rsid w:val="00372F68"/>
    <w:rsid w:val="00372FE3"/>
    <w:rsid w:val="00373458"/>
    <w:rsid w:val="00373581"/>
    <w:rsid w:val="00373B93"/>
    <w:rsid w:val="00373BD6"/>
    <w:rsid w:val="00373CA6"/>
    <w:rsid w:val="00373D76"/>
    <w:rsid w:val="0037436B"/>
    <w:rsid w:val="003749AD"/>
    <w:rsid w:val="00374BA3"/>
    <w:rsid w:val="00375325"/>
    <w:rsid w:val="003759CF"/>
    <w:rsid w:val="00376045"/>
    <w:rsid w:val="00376114"/>
    <w:rsid w:val="003769CA"/>
    <w:rsid w:val="00376B86"/>
    <w:rsid w:val="00376DA8"/>
    <w:rsid w:val="0037709C"/>
    <w:rsid w:val="003770B6"/>
    <w:rsid w:val="00377598"/>
    <w:rsid w:val="0037792C"/>
    <w:rsid w:val="00380F75"/>
    <w:rsid w:val="00381091"/>
    <w:rsid w:val="003815D5"/>
    <w:rsid w:val="00381D3D"/>
    <w:rsid w:val="00382106"/>
    <w:rsid w:val="003824DF"/>
    <w:rsid w:val="0038267D"/>
    <w:rsid w:val="00382AC4"/>
    <w:rsid w:val="00382DAE"/>
    <w:rsid w:val="00383882"/>
    <w:rsid w:val="00383DC7"/>
    <w:rsid w:val="00383DC9"/>
    <w:rsid w:val="0038423D"/>
    <w:rsid w:val="003843A2"/>
    <w:rsid w:val="003845A0"/>
    <w:rsid w:val="00384636"/>
    <w:rsid w:val="00384731"/>
    <w:rsid w:val="00384CD4"/>
    <w:rsid w:val="0038522A"/>
    <w:rsid w:val="0038543A"/>
    <w:rsid w:val="00385449"/>
    <w:rsid w:val="00385B1D"/>
    <w:rsid w:val="00385D57"/>
    <w:rsid w:val="00386016"/>
    <w:rsid w:val="00386074"/>
    <w:rsid w:val="003865CE"/>
    <w:rsid w:val="00386670"/>
    <w:rsid w:val="00386A2D"/>
    <w:rsid w:val="00386E88"/>
    <w:rsid w:val="00387211"/>
    <w:rsid w:val="0038760A"/>
    <w:rsid w:val="00387A3F"/>
    <w:rsid w:val="00387C01"/>
    <w:rsid w:val="00387E35"/>
    <w:rsid w:val="00390151"/>
    <w:rsid w:val="0039074A"/>
    <w:rsid w:val="00390755"/>
    <w:rsid w:val="00390B60"/>
    <w:rsid w:val="00390FAF"/>
    <w:rsid w:val="00391360"/>
    <w:rsid w:val="00391533"/>
    <w:rsid w:val="00391B31"/>
    <w:rsid w:val="00391DF6"/>
    <w:rsid w:val="003921FB"/>
    <w:rsid w:val="00392358"/>
    <w:rsid w:val="00392413"/>
    <w:rsid w:val="00392AAC"/>
    <w:rsid w:val="00392B28"/>
    <w:rsid w:val="00392B95"/>
    <w:rsid w:val="00392E89"/>
    <w:rsid w:val="00392FD8"/>
    <w:rsid w:val="00393323"/>
    <w:rsid w:val="003933DD"/>
    <w:rsid w:val="00393E03"/>
    <w:rsid w:val="00393E24"/>
    <w:rsid w:val="00394005"/>
    <w:rsid w:val="003940EA"/>
    <w:rsid w:val="0039422E"/>
    <w:rsid w:val="00394653"/>
    <w:rsid w:val="00394714"/>
    <w:rsid w:val="003948F1"/>
    <w:rsid w:val="00395210"/>
    <w:rsid w:val="003952B0"/>
    <w:rsid w:val="00395304"/>
    <w:rsid w:val="0039567B"/>
    <w:rsid w:val="003957C5"/>
    <w:rsid w:val="00395B22"/>
    <w:rsid w:val="003961DB"/>
    <w:rsid w:val="003965C0"/>
    <w:rsid w:val="003965C2"/>
    <w:rsid w:val="00396F3B"/>
    <w:rsid w:val="00397260"/>
    <w:rsid w:val="00397527"/>
    <w:rsid w:val="003975B3"/>
    <w:rsid w:val="003978A5"/>
    <w:rsid w:val="003A0006"/>
    <w:rsid w:val="003A0064"/>
    <w:rsid w:val="003A0163"/>
    <w:rsid w:val="003A072F"/>
    <w:rsid w:val="003A0B00"/>
    <w:rsid w:val="003A12F2"/>
    <w:rsid w:val="003A195F"/>
    <w:rsid w:val="003A1A33"/>
    <w:rsid w:val="003A1FB9"/>
    <w:rsid w:val="003A201E"/>
    <w:rsid w:val="003A252D"/>
    <w:rsid w:val="003A2586"/>
    <w:rsid w:val="003A2FA4"/>
    <w:rsid w:val="003A31F0"/>
    <w:rsid w:val="003A37CC"/>
    <w:rsid w:val="003A4091"/>
    <w:rsid w:val="003A4092"/>
    <w:rsid w:val="003A4114"/>
    <w:rsid w:val="003A437E"/>
    <w:rsid w:val="003A482E"/>
    <w:rsid w:val="003A4835"/>
    <w:rsid w:val="003A4A50"/>
    <w:rsid w:val="003A4EB1"/>
    <w:rsid w:val="003A5431"/>
    <w:rsid w:val="003A583C"/>
    <w:rsid w:val="003A5C25"/>
    <w:rsid w:val="003A5D01"/>
    <w:rsid w:val="003A5D47"/>
    <w:rsid w:val="003A5FDF"/>
    <w:rsid w:val="003A652A"/>
    <w:rsid w:val="003A66CA"/>
    <w:rsid w:val="003A67C5"/>
    <w:rsid w:val="003A6892"/>
    <w:rsid w:val="003A690F"/>
    <w:rsid w:val="003A6AF6"/>
    <w:rsid w:val="003A6B1A"/>
    <w:rsid w:val="003A7165"/>
    <w:rsid w:val="003A745E"/>
    <w:rsid w:val="003A7F27"/>
    <w:rsid w:val="003B020F"/>
    <w:rsid w:val="003B0519"/>
    <w:rsid w:val="003B1464"/>
    <w:rsid w:val="003B16AC"/>
    <w:rsid w:val="003B177D"/>
    <w:rsid w:val="003B195F"/>
    <w:rsid w:val="003B1A48"/>
    <w:rsid w:val="003B1A98"/>
    <w:rsid w:val="003B1B86"/>
    <w:rsid w:val="003B22D7"/>
    <w:rsid w:val="003B2803"/>
    <w:rsid w:val="003B2882"/>
    <w:rsid w:val="003B2CBE"/>
    <w:rsid w:val="003B3246"/>
    <w:rsid w:val="003B3997"/>
    <w:rsid w:val="003B3B17"/>
    <w:rsid w:val="003B3BD2"/>
    <w:rsid w:val="003B3CC4"/>
    <w:rsid w:val="003B41DF"/>
    <w:rsid w:val="003B482B"/>
    <w:rsid w:val="003B498D"/>
    <w:rsid w:val="003B4E86"/>
    <w:rsid w:val="003B5908"/>
    <w:rsid w:val="003B5A26"/>
    <w:rsid w:val="003B5D14"/>
    <w:rsid w:val="003B6055"/>
    <w:rsid w:val="003B66FB"/>
    <w:rsid w:val="003B6813"/>
    <w:rsid w:val="003B6E3A"/>
    <w:rsid w:val="003B6FE8"/>
    <w:rsid w:val="003B7047"/>
    <w:rsid w:val="003B797F"/>
    <w:rsid w:val="003B79CE"/>
    <w:rsid w:val="003B7AE7"/>
    <w:rsid w:val="003B7C7F"/>
    <w:rsid w:val="003B7D43"/>
    <w:rsid w:val="003C0964"/>
    <w:rsid w:val="003C09C6"/>
    <w:rsid w:val="003C0A3A"/>
    <w:rsid w:val="003C0ACE"/>
    <w:rsid w:val="003C1043"/>
    <w:rsid w:val="003C10AF"/>
    <w:rsid w:val="003C2E4A"/>
    <w:rsid w:val="003C3221"/>
    <w:rsid w:val="003C32E5"/>
    <w:rsid w:val="003C32E6"/>
    <w:rsid w:val="003C348D"/>
    <w:rsid w:val="003C3526"/>
    <w:rsid w:val="003C37AF"/>
    <w:rsid w:val="003C3A6E"/>
    <w:rsid w:val="003C3AC5"/>
    <w:rsid w:val="003C406B"/>
    <w:rsid w:val="003C4101"/>
    <w:rsid w:val="003C4460"/>
    <w:rsid w:val="003C4466"/>
    <w:rsid w:val="003C4B6A"/>
    <w:rsid w:val="003C4F77"/>
    <w:rsid w:val="003C5ACD"/>
    <w:rsid w:val="003C5CB4"/>
    <w:rsid w:val="003C5D5B"/>
    <w:rsid w:val="003C6104"/>
    <w:rsid w:val="003C631B"/>
    <w:rsid w:val="003C642A"/>
    <w:rsid w:val="003C66A4"/>
    <w:rsid w:val="003C6860"/>
    <w:rsid w:val="003C695F"/>
    <w:rsid w:val="003C77CE"/>
    <w:rsid w:val="003C7859"/>
    <w:rsid w:val="003C78A2"/>
    <w:rsid w:val="003C7963"/>
    <w:rsid w:val="003C7A77"/>
    <w:rsid w:val="003C7D37"/>
    <w:rsid w:val="003D0178"/>
    <w:rsid w:val="003D052F"/>
    <w:rsid w:val="003D0F52"/>
    <w:rsid w:val="003D10D3"/>
    <w:rsid w:val="003D1582"/>
    <w:rsid w:val="003D1748"/>
    <w:rsid w:val="003D18B9"/>
    <w:rsid w:val="003D19AD"/>
    <w:rsid w:val="003D1C8F"/>
    <w:rsid w:val="003D1E3D"/>
    <w:rsid w:val="003D1E58"/>
    <w:rsid w:val="003D1EA1"/>
    <w:rsid w:val="003D216B"/>
    <w:rsid w:val="003D21EB"/>
    <w:rsid w:val="003D2422"/>
    <w:rsid w:val="003D24A4"/>
    <w:rsid w:val="003D2547"/>
    <w:rsid w:val="003D26A8"/>
    <w:rsid w:val="003D2A22"/>
    <w:rsid w:val="003D2FE4"/>
    <w:rsid w:val="003D3653"/>
    <w:rsid w:val="003D365B"/>
    <w:rsid w:val="003D37A2"/>
    <w:rsid w:val="003D3ED3"/>
    <w:rsid w:val="003D4797"/>
    <w:rsid w:val="003D4AD2"/>
    <w:rsid w:val="003D50BE"/>
    <w:rsid w:val="003D58E3"/>
    <w:rsid w:val="003D5A97"/>
    <w:rsid w:val="003D5BB9"/>
    <w:rsid w:val="003D5ED3"/>
    <w:rsid w:val="003D6319"/>
    <w:rsid w:val="003D703B"/>
    <w:rsid w:val="003D7410"/>
    <w:rsid w:val="003D74FC"/>
    <w:rsid w:val="003D783E"/>
    <w:rsid w:val="003D7844"/>
    <w:rsid w:val="003D7B78"/>
    <w:rsid w:val="003D7C52"/>
    <w:rsid w:val="003D7CA1"/>
    <w:rsid w:val="003D7D25"/>
    <w:rsid w:val="003E0094"/>
    <w:rsid w:val="003E02E9"/>
    <w:rsid w:val="003E0AD5"/>
    <w:rsid w:val="003E0BE8"/>
    <w:rsid w:val="003E0DB7"/>
    <w:rsid w:val="003E119C"/>
    <w:rsid w:val="003E126D"/>
    <w:rsid w:val="003E162B"/>
    <w:rsid w:val="003E16EC"/>
    <w:rsid w:val="003E1AC3"/>
    <w:rsid w:val="003E1C14"/>
    <w:rsid w:val="003E1F4B"/>
    <w:rsid w:val="003E20FA"/>
    <w:rsid w:val="003E223A"/>
    <w:rsid w:val="003E2299"/>
    <w:rsid w:val="003E2432"/>
    <w:rsid w:val="003E26B6"/>
    <w:rsid w:val="003E2746"/>
    <w:rsid w:val="003E2955"/>
    <w:rsid w:val="003E3153"/>
    <w:rsid w:val="003E3292"/>
    <w:rsid w:val="003E34E3"/>
    <w:rsid w:val="003E4601"/>
    <w:rsid w:val="003E4802"/>
    <w:rsid w:val="003E5142"/>
    <w:rsid w:val="003E51DC"/>
    <w:rsid w:val="003E51FD"/>
    <w:rsid w:val="003E5763"/>
    <w:rsid w:val="003E5D33"/>
    <w:rsid w:val="003E6148"/>
    <w:rsid w:val="003E62E8"/>
    <w:rsid w:val="003E643A"/>
    <w:rsid w:val="003E6495"/>
    <w:rsid w:val="003E6E15"/>
    <w:rsid w:val="003E7661"/>
    <w:rsid w:val="003E7698"/>
    <w:rsid w:val="003E7D87"/>
    <w:rsid w:val="003F003C"/>
    <w:rsid w:val="003F0206"/>
    <w:rsid w:val="003F0293"/>
    <w:rsid w:val="003F03B6"/>
    <w:rsid w:val="003F03E8"/>
    <w:rsid w:val="003F062A"/>
    <w:rsid w:val="003F0EA1"/>
    <w:rsid w:val="003F1509"/>
    <w:rsid w:val="003F17BC"/>
    <w:rsid w:val="003F2205"/>
    <w:rsid w:val="003F2785"/>
    <w:rsid w:val="003F3CC9"/>
    <w:rsid w:val="003F4227"/>
    <w:rsid w:val="003F43A8"/>
    <w:rsid w:val="003F4400"/>
    <w:rsid w:val="003F4544"/>
    <w:rsid w:val="003F4AED"/>
    <w:rsid w:val="003F4E31"/>
    <w:rsid w:val="003F4F11"/>
    <w:rsid w:val="003F508C"/>
    <w:rsid w:val="003F59BE"/>
    <w:rsid w:val="003F5D51"/>
    <w:rsid w:val="003F5DD1"/>
    <w:rsid w:val="003F63F1"/>
    <w:rsid w:val="003F64EF"/>
    <w:rsid w:val="003F651D"/>
    <w:rsid w:val="003F701F"/>
    <w:rsid w:val="003F78F9"/>
    <w:rsid w:val="003F7BEA"/>
    <w:rsid w:val="003F7D44"/>
    <w:rsid w:val="003F7DEF"/>
    <w:rsid w:val="004008D9"/>
    <w:rsid w:val="00400BD5"/>
    <w:rsid w:val="00400D6B"/>
    <w:rsid w:val="00400EC3"/>
    <w:rsid w:val="00401661"/>
    <w:rsid w:val="00401827"/>
    <w:rsid w:val="0040193F"/>
    <w:rsid w:val="004019AA"/>
    <w:rsid w:val="00401AB5"/>
    <w:rsid w:val="00401E42"/>
    <w:rsid w:val="00402155"/>
    <w:rsid w:val="0040222A"/>
    <w:rsid w:val="00402259"/>
    <w:rsid w:val="0040261E"/>
    <w:rsid w:val="004026B4"/>
    <w:rsid w:val="0040324A"/>
    <w:rsid w:val="0040326B"/>
    <w:rsid w:val="004036B5"/>
    <w:rsid w:val="00403D42"/>
    <w:rsid w:val="00404590"/>
    <w:rsid w:val="00404B36"/>
    <w:rsid w:val="00404B4C"/>
    <w:rsid w:val="00404BC7"/>
    <w:rsid w:val="00404E36"/>
    <w:rsid w:val="0040600F"/>
    <w:rsid w:val="00406048"/>
    <w:rsid w:val="00406482"/>
    <w:rsid w:val="0040672D"/>
    <w:rsid w:val="0040690D"/>
    <w:rsid w:val="00406B94"/>
    <w:rsid w:val="00406C8C"/>
    <w:rsid w:val="00406E10"/>
    <w:rsid w:val="00406ED8"/>
    <w:rsid w:val="00406F45"/>
    <w:rsid w:val="00407121"/>
    <w:rsid w:val="00407652"/>
    <w:rsid w:val="004077C9"/>
    <w:rsid w:val="00407A30"/>
    <w:rsid w:val="00407C51"/>
    <w:rsid w:val="00407CE3"/>
    <w:rsid w:val="00407F4A"/>
    <w:rsid w:val="00410751"/>
    <w:rsid w:val="00410C7B"/>
    <w:rsid w:val="00411762"/>
    <w:rsid w:val="0041205B"/>
    <w:rsid w:val="004121D7"/>
    <w:rsid w:val="004127AB"/>
    <w:rsid w:val="00412B87"/>
    <w:rsid w:val="00412BB8"/>
    <w:rsid w:val="004134DD"/>
    <w:rsid w:val="0041377C"/>
    <w:rsid w:val="0041389C"/>
    <w:rsid w:val="004141B4"/>
    <w:rsid w:val="0041436D"/>
    <w:rsid w:val="00414A3A"/>
    <w:rsid w:val="00414BDB"/>
    <w:rsid w:val="004152A0"/>
    <w:rsid w:val="00415394"/>
    <w:rsid w:val="00415406"/>
    <w:rsid w:val="004156B9"/>
    <w:rsid w:val="0041619A"/>
    <w:rsid w:val="004162E6"/>
    <w:rsid w:val="00416ABF"/>
    <w:rsid w:val="00416D34"/>
    <w:rsid w:val="00416DF6"/>
    <w:rsid w:val="00417574"/>
    <w:rsid w:val="00417610"/>
    <w:rsid w:val="0041770D"/>
    <w:rsid w:val="00417D37"/>
    <w:rsid w:val="00417EC9"/>
    <w:rsid w:val="0042017F"/>
    <w:rsid w:val="0042025E"/>
    <w:rsid w:val="004205E5"/>
    <w:rsid w:val="00420B8D"/>
    <w:rsid w:val="00421214"/>
    <w:rsid w:val="00421569"/>
    <w:rsid w:val="004217F9"/>
    <w:rsid w:val="004220F3"/>
    <w:rsid w:val="00422257"/>
    <w:rsid w:val="004225E6"/>
    <w:rsid w:val="00422936"/>
    <w:rsid w:val="00422F3D"/>
    <w:rsid w:val="004230C7"/>
    <w:rsid w:val="004231C5"/>
    <w:rsid w:val="00423268"/>
    <w:rsid w:val="004232F1"/>
    <w:rsid w:val="00423774"/>
    <w:rsid w:val="0042398E"/>
    <w:rsid w:val="004249B5"/>
    <w:rsid w:val="004250B2"/>
    <w:rsid w:val="00425487"/>
    <w:rsid w:val="00425607"/>
    <w:rsid w:val="00425A70"/>
    <w:rsid w:val="00425BC1"/>
    <w:rsid w:val="00425FAA"/>
    <w:rsid w:val="00426148"/>
    <w:rsid w:val="004266EA"/>
    <w:rsid w:val="00426773"/>
    <w:rsid w:val="004267B8"/>
    <w:rsid w:val="00426C29"/>
    <w:rsid w:val="004272C4"/>
    <w:rsid w:val="0042755D"/>
    <w:rsid w:val="004276D5"/>
    <w:rsid w:val="0042794D"/>
    <w:rsid w:val="0042798C"/>
    <w:rsid w:val="00427CAF"/>
    <w:rsid w:val="00427D23"/>
    <w:rsid w:val="00430816"/>
    <w:rsid w:val="00430817"/>
    <w:rsid w:val="00430EFD"/>
    <w:rsid w:val="0043103B"/>
    <w:rsid w:val="00431043"/>
    <w:rsid w:val="00431185"/>
    <w:rsid w:val="00431419"/>
    <w:rsid w:val="004315DA"/>
    <w:rsid w:val="0043198A"/>
    <w:rsid w:val="0043252B"/>
    <w:rsid w:val="004328E0"/>
    <w:rsid w:val="00432CFA"/>
    <w:rsid w:val="00432FE0"/>
    <w:rsid w:val="00432FEE"/>
    <w:rsid w:val="0043385D"/>
    <w:rsid w:val="004339EE"/>
    <w:rsid w:val="00433B1D"/>
    <w:rsid w:val="00433DF7"/>
    <w:rsid w:val="00433F1C"/>
    <w:rsid w:val="004340E5"/>
    <w:rsid w:val="00434364"/>
    <w:rsid w:val="0043472A"/>
    <w:rsid w:val="00434BCE"/>
    <w:rsid w:val="00434D72"/>
    <w:rsid w:val="00434EA9"/>
    <w:rsid w:val="0043518D"/>
    <w:rsid w:val="004355DD"/>
    <w:rsid w:val="00435846"/>
    <w:rsid w:val="00435B81"/>
    <w:rsid w:val="00435E46"/>
    <w:rsid w:val="00435E81"/>
    <w:rsid w:val="004362B5"/>
    <w:rsid w:val="0043640B"/>
    <w:rsid w:val="00436647"/>
    <w:rsid w:val="00436BA0"/>
    <w:rsid w:val="00436C4C"/>
    <w:rsid w:val="00436EB7"/>
    <w:rsid w:val="004375EB"/>
    <w:rsid w:val="004379B5"/>
    <w:rsid w:val="00437DC8"/>
    <w:rsid w:val="00437F81"/>
    <w:rsid w:val="004401D6"/>
    <w:rsid w:val="00440404"/>
    <w:rsid w:val="0044078B"/>
    <w:rsid w:val="004408EE"/>
    <w:rsid w:val="004409F8"/>
    <w:rsid w:val="00440BC4"/>
    <w:rsid w:val="00440F30"/>
    <w:rsid w:val="004418D5"/>
    <w:rsid w:val="00441D81"/>
    <w:rsid w:val="00441EFA"/>
    <w:rsid w:val="0044244C"/>
    <w:rsid w:val="00442751"/>
    <w:rsid w:val="00442845"/>
    <w:rsid w:val="004428D5"/>
    <w:rsid w:val="004428D9"/>
    <w:rsid w:val="00443131"/>
    <w:rsid w:val="0044343A"/>
    <w:rsid w:val="0044381C"/>
    <w:rsid w:val="004441FF"/>
    <w:rsid w:val="00444965"/>
    <w:rsid w:val="00444A0A"/>
    <w:rsid w:val="00444B49"/>
    <w:rsid w:val="00444C81"/>
    <w:rsid w:val="00444E4B"/>
    <w:rsid w:val="00444E51"/>
    <w:rsid w:val="0044510C"/>
    <w:rsid w:val="0044535C"/>
    <w:rsid w:val="004454EB"/>
    <w:rsid w:val="0044552F"/>
    <w:rsid w:val="00445592"/>
    <w:rsid w:val="00445B04"/>
    <w:rsid w:val="00445B1B"/>
    <w:rsid w:val="00446318"/>
    <w:rsid w:val="00446323"/>
    <w:rsid w:val="004463FA"/>
    <w:rsid w:val="004466DE"/>
    <w:rsid w:val="00446AA3"/>
    <w:rsid w:val="00446BDF"/>
    <w:rsid w:val="004500B7"/>
    <w:rsid w:val="004501D0"/>
    <w:rsid w:val="00450595"/>
    <w:rsid w:val="00450A94"/>
    <w:rsid w:val="00450C21"/>
    <w:rsid w:val="00450FE7"/>
    <w:rsid w:val="00450FFC"/>
    <w:rsid w:val="00451156"/>
    <w:rsid w:val="004518B5"/>
    <w:rsid w:val="00451ABF"/>
    <w:rsid w:val="00451AFB"/>
    <w:rsid w:val="00452059"/>
    <w:rsid w:val="0045261E"/>
    <w:rsid w:val="004529B2"/>
    <w:rsid w:val="004530E9"/>
    <w:rsid w:val="004534C3"/>
    <w:rsid w:val="00453814"/>
    <w:rsid w:val="0045398B"/>
    <w:rsid w:val="0045425E"/>
    <w:rsid w:val="00454971"/>
    <w:rsid w:val="004549B1"/>
    <w:rsid w:val="00454B08"/>
    <w:rsid w:val="00455A05"/>
    <w:rsid w:val="00455B11"/>
    <w:rsid w:val="00455C6A"/>
    <w:rsid w:val="00455FA2"/>
    <w:rsid w:val="0045620B"/>
    <w:rsid w:val="00456940"/>
    <w:rsid w:val="004569BD"/>
    <w:rsid w:val="00456BF1"/>
    <w:rsid w:val="00456FA6"/>
    <w:rsid w:val="004570B1"/>
    <w:rsid w:val="004576F1"/>
    <w:rsid w:val="00457FFB"/>
    <w:rsid w:val="004602BC"/>
    <w:rsid w:val="0046052A"/>
    <w:rsid w:val="00460700"/>
    <w:rsid w:val="00460789"/>
    <w:rsid w:val="004607B6"/>
    <w:rsid w:val="00460DD3"/>
    <w:rsid w:val="00460EDA"/>
    <w:rsid w:val="00461053"/>
    <w:rsid w:val="00461236"/>
    <w:rsid w:val="004615BB"/>
    <w:rsid w:val="00461BD4"/>
    <w:rsid w:val="00461C3B"/>
    <w:rsid w:val="00461E73"/>
    <w:rsid w:val="00461F5B"/>
    <w:rsid w:val="00462660"/>
    <w:rsid w:val="00462755"/>
    <w:rsid w:val="00462B2C"/>
    <w:rsid w:val="00462E0E"/>
    <w:rsid w:val="00462FFC"/>
    <w:rsid w:val="004630D7"/>
    <w:rsid w:val="004630E7"/>
    <w:rsid w:val="0046321B"/>
    <w:rsid w:val="004632AE"/>
    <w:rsid w:val="004636C9"/>
    <w:rsid w:val="00463846"/>
    <w:rsid w:val="00463EDD"/>
    <w:rsid w:val="004640F7"/>
    <w:rsid w:val="0046422D"/>
    <w:rsid w:val="00464865"/>
    <w:rsid w:val="0046492D"/>
    <w:rsid w:val="00464DB7"/>
    <w:rsid w:val="00464E74"/>
    <w:rsid w:val="00465DF2"/>
    <w:rsid w:val="00465F3F"/>
    <w:rsid w:val="00466356"/>
    <w:rsid w:val="0046651D"/>
    <w:rsid w:val="004666A3"/>
    <w:rsid w:val="004667C6"/>
    <w:rsid w:val="004668D4"/>
    <w:rsid w:val="00466E3C"/>
    <w:rsid w:val="004670B0"/>
    <w:rsid w:val="00467A83"/>
    <w:rsid w:val="00467B12"/>
    <w:rsid w:val="00467EDA"/>
    <w:rsid w:val="00467F0B"/>
    <w:rsid w:val="00470058"/>
    <w:rsid w:val="00471341"/>
    <w:rsid w:val="00471369"/>
    <w:rsid w:val="00471868"/>
    <w:rsid w:val="00471919"/>
    <w:rsid w:val="00472698"/>
    <w:rsid w:val="004726BF"/>
    <w:rsid w:val="00472787"/>
    <w:rsid w:val="004728A2"/>
    <w:rsid w:val="00472BC2"/>
    <w:rsid w:val="00472D0A"/>
    <w:rsid w:val="00472E36"/>
    <w:rsid w:val="00472F77"/>
    <w:rsid w:val="0047317B"/>
    <w:rsid w:val="004733C2"/>
    <w:rsid w:val="0047340F"/>
    <w:rsid w:val="004738F3"/>
    <w:rsid w:val="00473DF1"/>
    <w:rsid w:val="0047465E"/>
    <w:rsid w:val="00474B25"/>
    <w:rsid w:val="00474CBA"/>
    <w:rsid w:val="00474DF8"/>
    <w:rsid w:val="00475004"/>
    <w:rsid w:val="0047501B"/>
    <w:rsid w:val="004751D1"/>
    <w:rsid w:val="0047563B"/>
    <w:rsid w:val="0047589E"/>
    <w:rsid w:val="004758B2"/>
    <w:rsid w:val="004759C3"/>
    <w:rsid w:val="00476325"/>
    <w:rsid w:val="00476412"/>
    <w:rsid w:val="00476496"/>
    <w:rsid w:val="004764C5"/>
    <w:rsid w:val="00476612"/>
    <w:rsid w:val="00476677"/>
    <w:rsid w:val="0047676A"/>
    <w:rsid w:val="00476893"/>
    <w:rsid w:val="0047710D"/>
    <w:rsid w:val="00477116"/>
    <w:rsid w:val="0047733C"/>
    <w:rsid w:val="004774CD"/>
    <w:rsid w:val="00477AB5"/>
    <w:rsid w:val="004801DF"/>
    <w:rsid w:val="00480739"/>
    <w:rsid w:val="00481018"/>
    <w:rsid w:val="00481209"/>
    <w:rsid w:val="004812C9"/>
    <w:rsid w:val="0048174B"/>
    <w:rsid w:val="00481B00"/>
    <w:rsid w:val="00481BDC"/>
    <w:rsid w:val="00481D61"/>
    <w:rsid w:val="00481DFD"/>
    <w:rsid w:val="004825E2"/>
    <w:rsid w:val="00482CC0"/>
    <w:rsid w:val="00482D4A"/>
    <w:rsid w:val="00483B6E"/>
    <w:rsid w:val="004841EB"/>
    <w:rsid w:val="0048423D"/>
    <w:rsid w:val="0048450F"/>
    <w:rsid w:val="0048453A"/>
    <w:rsid w:val="0048473E"/>
    <w:rsid w:val="004848CA"/>
    <w:rsid w:val="004848DE"/>
    <w:rsid w:val="00484CB8"/>
    <w:rsid w:val="00484D05"/>
    <w:rsid w:val="00485094"/>
    <w:rsid w:val="004850A0"/>
    <w:rsid w:val="00485111"/>
    <w:rsid w:val="004851EE"/>
    <w:rsid w:val="00485227"/>
    <w:rsid w:val="00485501"/>
    <w:rsid w:val="00485625"/>
    <w:rsid w:val="00485C78"/>
    <w:rsid w:val="00485E8E"/>
    <w:rsid w:val="004860A6"/>
    <w:rsid w:val="00486272"/>
    <w:rsid w:val="00486755"/>
    <w:rsid w:val="004867B4"/>
    <w:rsid w:val="00486907"/>
    <w:rsid w:val="00487160"/>
    <w:rsid w:val="00487565"/>
    <w:rsid w:val="00487609"/>
    <w:rsid w:val="00487BC1"/>
    <w:rsid w:val="00487DDC"/>
    <w:rsid w:val="00487E8F"/>
    <w:rsid w:val="00487EA2"/>
    <w:rsid w:val="00487FE9"/>
    <w:rsid w:val="004904F3"/>
    <w:rsid w:val="00490552"/>
    <w:rsid w:val="00490A0D"/>
    <w:rsid w:val="00490E24"/>
    <w:rsid w:val="004910A8"/>
    <w:rsid w:val="00491288"/>
    <w:rsid w:val="004912D2"/>
    <w:rsid w:val="0049163E"/>
    <w:rsid w:val="00491C67"/>
    <w:rsid w:val="00492172"/>
    <w:rsid w:val="004921CF"/>
    <w:rsid w:val="004921F8"/>
    <w:rsid w:val="00492575"/>
    <w:rsid w:val="00492696"/>
    <w:rsid w:val="004929C9"/>
    <w:rsid w:val="004929E4"/>
    <w:rsid w:val="00492D1D"/>
    <w:rsid w:val="00492FB4"/>
    <w:rsid w:val="0049394E"/>
    <w:rsid w:val="00493A92"/>
    <w:rsid w:val="00493C66"/>
    <w:rsid w:val="00493C6F"/>
    <w:rsid w:val="00493D7D"/>
    <w:rsid w:val="00493E0B"/>
    <w:rsid w:val="004949F4"/>
    <w:rsid w:val="00494AA0"/>
    <w:rsid w:val="00494D55"/>
    <w:rsid w:val="004950B1"/>
    <w:rsid w:val="00495105"/>
    <w:rsid w:val="004951EA"/>
    <w:rsid w:val="0049539D"/>
    <w:rsid w:val="00495509"/>
    <w:rsid w:val="00495AB8"/>
    <w:rsid w:val="00495C05"/>
    <w:rsid w:val="00495D14"/>
    <w:rsid w:val="00495EF7"/>
    <w:rsid w:val="0049606E"/>
    <w:rsid w:val="0049686E"/>
    <w:rsid w:val="00496982"/>
    <w:rsid w:val="00496E4B"/>
    <w:rsid w:val="00497143"/>
    <w:rsid w:val="004972E1"/>
    <w:rsid w:val="00497536"/>
    <w:rsid w:val="0049771E"/>
    <w:rsid w:val="0049798A"/>
    <w:rsid w:val="00497A0B"/>
    <w:rsid w:val="00497E55"/>
    <w:rsid w:val="004A00A4"/>
    <w:rsid w:val="004A048A"/>
    <w:rsid w:val="004A0866"/>
    <w:rsid w:val="004A0BE9"/>
    <w:rsid w:val="004A0CE4"/>
    <w:rsid w:val="004A1510"/>
    <w:rsid w:val="004A1598"/>
    <w:rsid w:val="004A1CD6"/>
    <w:rsid w:val="004A2049"/>
    <w:rsid w:val="004A205D"/>
    <w:rsid w:val="004A223A"/>
    <w:rsid w:val="004A25A9"/>
    <w:rsid w:val="004A288D"/>
    <w:rsid w:val="004A297B"/>
    <w:rsid w:val="004A2A1D"/>
    <w:rsid w:val="004A2A73"/>
    <w:rsid w:val="004A2EAA"/>
    <w:rsid w:val="004A3090"/>
    <w:rsid w:val="004A3973"/>
    <w:rsid w:val="004A3C83"/>
    <w:rsid w:val="004A3DA7"/>
    <w:rsid w:val="004A3E16"/>
    <w:rsid w:val="004A4924"/>
    <w:rsid w:val="004A4EE9"/>
    <w:rsid w:val="004A5317"/>
    <w:rsid w:val="004A55F5"/>
    <w:rsid w:val="004A584D"/>
    <w:rsid w:val="004A59AB"/>
    <w:rsid w:val="004A5D6A"/>
    <w:rsid w:val="004A6126"/>
    <w:rsid w:val="004A62EA"/>
    <w:rsid w:val="004A664A"/>
    <w:rsid w:val="004A6798"/>
    <w:rsid w:val="004A6D5C"/>
    <w:rsid w:val="004A6EED"/>
    <w:rsid w:val="004A789F"/>
    <w:rsid w:val="004A7BD9"/>
    <w:rsid w:val="004B02EF"/>
    <w:rsid w:val="004B06DE"/>
    <w:rsid w:val="004B07DD"/>
    <w:rsid w:val="004B0EC5"/>
    <w:rsid w:val="004B1468"/>
    <w:rsid w:val="004B14F0"/>
    <w:rsid w:val="004B235E"/>
    <w:rsid w:val="004B259C"/>
    <w:rsid w:val="004B2893"/>
    <w:rsid w:val="004B2DE0"/>
    <w:rsid w:val="004B3037"/>
    <w:rsid w:val="004B33DA"/>
    <w:rsid w:val="004B3546"/>
    <w:rsid w:val="004B3566"/>
    <w:rsid w:val="004B3A89"/>
    <w:rsid w:val="004B3B0D"/>
    <w:rsid w:val="004B3BD4"/>
    <w:rsid w:val="004B3C66"/>
    <w:rsid w:val="004B4019"/>
    <w:rsid w:val="004B4020"/>
    <w:rsid w:val="004B4355"/>
    <w:rsid w:val="004B45C1"/>
    <w:rsid w:val="004B4F2E"/>
    <w:rsid w:val="004B508B"/>
    <w:rsid w:val="004B51D7"/>
    <w:rsid w:val="004B5639"/>
    <w:rsid w:val="004B59A7"/>
    <w:rsid w:val="004B5D46"/>
    <w:rsid w:val="004B5D91"/>
    <w:rsid w:val="004B605B"/>
    <w:rsid w:val="004B6068"/>
    <w:rsid w:val="004B62CF"/>
    <w:rsid w:val="004B639B"/>
    <w:rsid w:val="004B63C4"/>
    <w:rsid w:val="004B677B"/>
    <w:rsid w:val="004B7528"/>
    <w:rsid w:val="004B75FA"/>
    <w:rsid w:val="004B7627"/>
    <w:rsid w:val="004B7777"/>
    <w:rsid w:val="004B7C6A"/>
    <w:rsid w:val="004B7CBE"/>
    <w:rsid w:val="004C0197"/>
    <w:rsid w:val="004C01EB"/>
    <w:rsid w:val="004C057D"/>
    <w:rsid w:val="004C06CF"/>
    <w:rsid w:val="004C077C"/>
    <w:rsid w:val="004C0823"/>
    <w:rsid w:val="004C0AE7"/>
    <w:rsid w:val="004C0D93"/>
    <w:rsid w:val="004C1691"/>
    <w:rsid w:val="004C1D17"/>
    <w:rsid w:val="004C1EC7"/>
    <w:rsid w:val="004C203D"/>
    <w:rsid w:val="004C21ED"/>
    <w:rsid w:val="004C2BCC"/>
    <w:rsid w:val="004C3298"/>
    <w:rsid w:val="004C36D7"/>
    <w:rsid w:val="004C3B05"/>
    <w:rsid w:val="004C3BAF"/>
    <w:rsid w:val="004C3FC2"/>
    <w:rsid w:val="004C44D4"/>
    <w:rsid w:val="004C4894"/>
    <w:rsid w:val="004C49A9"/>
    <w:rsid w:val="004C4DE3"/>
    <w:rsid w:val="004C515E"/>
    <w:rsid w:val="004C56A4"/>
    <w:rsid w:val="004C5712"/>
    <w:rsid w:val="004C574A"/>
    <w:rsid w:val="004C5D77"/>
    <w:rsid w:val="004C614B"/>
    <w:rsid w:val="004C63E6"/>
    <w:rsid w:val="004C667E"/>
    <w:rsid w:val="004C66CF"/>
    <w:rsid w:val="004C6B01"/>
    <w:rsid w:val="004C6B65"/>
    <w:rsid w:val="004C75EE"/>
    <w:rsid w:val="004C787C"/>
    <w:rsid w:val="004C7C13"/>
    <w:rsid w:val="004C7EE2"/>
    <w:rsid w:val="004D0008"/>
    <w:rsid w:val="004D02B8"/>
    <w:rsid w:val="004D04F6"/>
    <w:rsid w:val="004D07D0"/>
    <w:rsid w:val="004D0F49"/>
    <w:rsid w:val="004D1011"/>
    <w:rsid w:val="004D126F"/>
    <w:rsid w:val="004D137A"/>
    <w:rsid w:val="004D1539"/>
    <w:rsid w:val="004D1679"/>
    <w:rsid w:val="004D182E"/>
    <w:rsid w:val="004D1C3A"/>
    <w:rsid w:val="004D1EDC"/>
    <w:rsid w:val="004D201C"/>
    <w:rsid w:val="004D2261"/>
    <w:rsid w:val="004D239C"/>
    <w:rsid w:val="004D2DEF"/>
    <w:rsid w:val="004D3224"/>
    <w:rsid w:val="004D370A"/>
    <w:rsid w:val="004D38B7"/>
    <w:rsid w:val="004D38FA"/>
    <w:rsid w:val="004D3AB9"/>
    <w:rsid w:val="004D4192"/>
    <w:rsid w:val="004D439C"/>
    <w:rsid w:val="004D4536"/>
    <w:rsid w:val="004D504E"/>
    <w:rsid w:val="004D50A9"/>
    <w:rsid w:val="004D548B"/>
    <w:rsid w:val="004D5C6E"/>
    <w:rsid w:val="004D5FCA"/>
    <w:rsid w:val="004D611D"/>
    <w:rsid w:val="004D65AD"/>
    <w:rsid w:val="004D6B25"/>
    <w:rsid w:val="004D6EAB"/>
    <w:rsid w:val="004D7092"/>
    <w:rsid w:val="004D7285"/>
    <w:rsid w:val="004D7980"/>
    <w:rsid w:val="004D7C48"/>
    <w:rsid w:val="004E07F4"/>
    <w:rsid w:val="004E0844"/>
    <w:rsid w:val="004E0DE8"/>
    <w:rsid w:val="004E124C"/>
    <w:rsid w:val="004E12A5"/>
    <w:rsid w:val="004E1B53"/>
    <w:rsid w:val="004E2028"/>
    <w:rsid w:val="004E23F7"/>
    <w:rsid w:val="004E26FC"/>
    <w:rsid w:val="004E277B"/>
    <w:rsid w:val="004E28E9"/>
    <w:rsid w:val="004E2A46"/>
    <w:rsid w:val="004E2ACA"/>
    <w:rsid w:val="004E2BB6"/>
    <w:rsid w:val="004E2DBC"/>
    <w:rsid w:val="004E3148"/>
    <w:rsid w:val="004E3320"/>
    <w:rsid w:val="004E34C1"/>
    <w:rsid w:val="004E34CD"/>
    <w:rsid w:val="004E38FE"/>
    <w:rsid w:val="004E42DD"/>
    <w:rsid w:val="004E43FA"/>
    <w:rsid w:val="004E4AAD"/>
    <w:rsid w:val="004E4D73"/>
    <w:rsid w:val="004E4F85"/>
    <w:rsid w:val="004E50CF"/>
    <w:rsid w:val="004E5ED9"/>
    <w:rsid w:val="004E600B"/>
    <w:rsid w:val="004E71A0"/>
    <w:rsid w:val="004E7FF3"/>
    <w:rsid w:val="004F003C"/>
    <w:rsid w:val="004F026A"/>
    <w:rsid w:val="004F03F5"/>
    <w:rsid w:val="004F0417"/>
    <w:rsid w:val="004F0562"/>
    <w:rsid w:val="004F0D64"/>
    <w:rsid w:val="004F0F52"/>
    <w:rsid w:val="004F15D2"/>
    <w:rsid w:val="004F1CDB"/>
    <w:rsid w:val="004F1E0C"/>
    <w:rsid w:val="004F2234"/>
    <w:rsid w:val="004F22FB"/>
    <w:rsid w:val="004F310E"/>
    <w:rsid w:val="004F32B4"/>
    <w:rsid w:val="004F389C"/>
    <w:rsid w:val="004F38A5"/>
    <w:rsid w:val="004F38C0"/>
    <w:rsid w:val="004F493E"/>
    <w:rsid w:val="004F4B41"/>
    <w:rsid w:val="004F4CB4"/>
    <w:rsid w:val="004F4FC2"/>
    <w:rsid w:val="004F5192"/>
    <w:rsid w:val="004F52A6"/>
    <w:rsid w:val="004F5645"/>
    <w:rsid w:val="004F57BA"/>
    <w:rsid w:val="004F5D6D"/>
    <w:rsid w:val="004F5F6A"/>
    <w:rsid w:val="004F5F99"/>
    <w:rsid w:val="004F6170"/>
    <w:rsid w:val="004F6376"/>
    <w:rsid w:val="004F66E3"/>
    <w:rsid w:val="004F6CAA"/>
    <w:rsid w:val="004F6E5F"/>
    <w:rsid w:val="004F6EA0"/>
    <w:rsid w:val="004F72E1"/>
    <w:rsid w:val="004F738C"/>
    <w:rsid w:val="004F7669"/>
    <w:rsid w:val="004F7EB1"/>
    <w:rsid w:val="004F7FF1"/>
    <w:rsid w:val="0050002C"/>
    <w:rsid w:val="00500038"/>
    <w:rsid w:val="00500AEC"/>
    <w:rsid w:val="00500C97"/>
    <w:rsid w:val="00500CC4"/>
    <w:rsid w:val="00500F41"/>
    <w:rsid w:val="00501100"/>
    <w:rsid w:val="0050132D"/>
    <w:rsid w:val="005014A6"/>
    <w:rsid w:val="005016EF"/>
    <w:rsid w:val="005019DD"/>
    <w:rsid w:val="00501E4C"/>
    <w:rsid w:val="00502A8A"/>
    <w:rsid w:val="00502E93"/>
    <w:rsid w:val="0050306C"/>
    <w:rsid w:val="005036BC"/>
    <w:rsid w:val="00503736"/>
    <w:rsid w:val="005039FD"/>
    <w:rsid w:val="00503B4C"/>
    <w:rsid w:val="00504628"/>
    <w:rsid w:val="005047A9"/>
    <w:rsid w:val="00505284"/>
    <w:rsid w:val="00505CBE"/>
    <w:rsid w:val="00506220"/>
    <w:rsid w:val="00506411"/>
    <w:rsid w:val="00506A15"/>
    <w:rsid w:val="005070E5"/>
    <w:rsid w:val="005072BA"/>
    <w:rsid w:val="005074DB"/>
    <w:rsid w:val="0050790B"/>
    <w:rsid w:val="00507987"/>
    <w:rsid w:val="00507F76"/>
    <w:rsid w:val="005103AA"/>
    <w:rsid w:val="005103CD"/>
    <w:rsid w:val="00510D23"/>
    <w:rsid w:val="00510D85"/>
    <w:rsid w:val="00511038"/>
    <w:rsid w:val="00512014"/>
    <w:rsid w:val="005121E3"/>
    <w:rsid w:val="0051260E"/>
    <w:rsid w:val="00512AE0"/>
    <w:rsid w:val="00512D69"/>
    <w:rsid w:val="00512E47"/>
    <w:rsid w:val="00512E6D"/>
    <w:rsid w:val="00513268"/>
    <w:rsid w:val="0051353E"/>
    <w:rsid w:val="005135AA"/>
    <w:rsid w:val="005139D9"/>
    <w:rsid w:val="00513AB0"/>
    <w:rsid w:val="00513C29"/>
    <w:rsid w:val="00514021"/>
    <w:rsid w:val="0051438F"/>
    <w:rsid w:val="00514909"/>
    <w:rsid w:val="00514E26"/>
    <w:rsid w:val="00515478"/>
    <w:rsid w:val="005155EF"/>
    <w:rsid w:val="00515722"/>
    <w:rsid w:val="00515CE5"/>
    <w:rsid w:val="00515D3B"/>
    <w:rsid w:val="0051666F"/>
    <w:rsid w:val="00516814"/>
    <w:rsid w:val="00516CB5"/>
    <w:rsid w:val="00517290"/>
    <w:rsid w:val="00517541"/>
    <w:rsid w:val="005176D2"/>
    <w:rsid w:val="00517943"/>
    <w:rsid w:val="00517E01"/>
    <w:rsid w:val="00517E62"/>
    <w:rsid w:val="00517F62"/>
    <w:rsid w:val="00517F8E"/>
    <w:rsid w:val="0052015B"/>
    <w:rsid w:val="00520296"/>
    <w:rsid w:val="005204C8"/>
    <w:rsid w:val="005205D0"/>
    <w:rsid w:val="00520C96"/>
    <w:rsid w:val="00521B75"/>
    <w:rsid w:val="00521F52"/>
    <w:rsid w:val="00521F67"/>
    <w:rsid w:val="005221D3"/>
    <w:rsid w:val="0052293A"/>
    <w:rsid w:val="00522A1A"/>
    <w:rsid w:val="00522D95"/>
    <w:rsid w:val="00523717"/>
    <w:rsid w:val="00523A72"/>
    <w:rsid w:val="00523B08"/>
    <w:rsid w:val="00523C24"/>
    <w:rsid w:val="00523CB3"/>
    <w:rsid w:val="00523FF3"/>
    <w:rsid w:val="0052404E"/>
    <w:rsid w:val="00524370"/>
    <w:rsid w:val="00524457"/>
    <w:rsid w:val="00524732"/>
    <w:rsid w:val="00524BDE"/>
    <w:rsid w:val="00524EDE"/>
    <w:rsid w:val="00524F64"/>
    <w:rsid w:val="00525077"/>
    <w:rsid w:val="0052516F"/>
    <w:rsid w:val="005251AA"/>
    <w:rsid w:val="00525643"/>
    <w:rsid w:val="00525838"/>
    <w:rsid w:val="00525A95"/>
    <w:rsid w:val="00525B21"/>
    <w:rsid w:val="00525C02"/>
    <w:rsid w:val="00526289"/>
    <w:rsid w:val="00526528"/>
    <w:rsid w:val="005270B6"/>
    <w:rsid w:val="0052780C"/>
    <w:rsid w:val="00527A04"/>
    <w:rsid w:val="00527A63"/>
    <w:rsid w:val="00527E3C"/>
    <w:rsid w:val="0053019C"/>
    <w:rsid w:val="005301BF"/>
    <w:rsid w:val="005309C1"/>
    <w:rsid w:val="00530C17"/>
    <w:rsid w:val="005319BB"/>
    <w:rsid w:val="00531AC4"/>
    <w:rsid w:val="00531CAE"/>
    <w:rsid w:val="00532617"/>
    <w:rsid w:val="005329ED"/>
    <w:rsid w:val="00532BBC"/>
    <w:rsid w:val="00532D7B"/>
    <w:rsid w:val="00532DE6"/>
    <w:rsid w:val="005332F7"/>
    <w:rsid w:val="00534453"/>
    <w:rsid w:val="005347BC"/>
    <w:rsid w:val="0053492E"/>
    <w:rsid w:val="00534A18"/>
    <w:rsid w:val="00534BD2"/>
    <w:rsid w:val="00534F7F"/>
    <w:rsid w:val="005352B2"/>
    <w:rsid w:val="005355F3"/>
    <w:rsid w:val="005359C0"/>
    <w:rsid w:val="00536516"/>
    <w:rsid w:val="00536A04"/>
    <w:rsid w:val="00536B31"/>
    <w:rsid w:val="00536CA8"/>
    <w:rsid w:val="00536E25"/>
    <w:rsid w:val="00537A9C"/>
    <w:rsid w:val="00537C35"/>
    <w:rsid w:val="00537F5B"/>
    <w:rsid w:val="00540147"/>
    <w:rsid w:val="00540421"/>
    <w:rsid w:val="00540E6C"/>
    <w:rsid w:val="0054156A"/>
    <w:rsid w:val="00541A97"/>
    <w:rsid w:val="005420B9"/>
    <w:rsid w:val="00542317"/>
    <w:rsid w:val="00542AC6"/>
    <w:rsid w:val="00542F4C"/>
    <w:rsid w:val="005430EE"/>
    <w:rsid w:val="0054358D"/>
    <w:rsid w:val="005435E4"/>
    <w:rsid w:val="005439B7"/>
    <w:rsid w:val="005443A8"/>
    <w:rsid w:val="00544CDC"/>
    <w:rsid w:val="00545400"/>
    <w:rsid w:val="0054565C"/>
    <w:rsid w:val="00545DF9"/>
    <w:rsid w:val="0054631C"/>
    <w:rsid w:val="00546360"/>
    <w:rsid w:val="005463AE"/>
    <w:rsid w:val="005464D1"/>
    <w:rsid w:val="00550234"/>
    <w:rsid w:val="00550271"/>
    <w:rsid w:val="005503CE"/>
    <w:rsid w:val="00551185"/>
    <w:rsid w:val="00551330"/>
    <w:rsid w:val="0055138B"/>
    <w:rsid w:val="005516CE"/>
    <w:rsid w:val="005519EC"/>
    <w:rsid w:val="00551E49"/>
    <w:rsid w:val="00551FCE"/>
    <w:rsid w:val="00552051"/>
    <w:rsid w:val="005520BA"/>
    <w:rsid w:val="0055212D"/>
    <w:rsid w:val="0055214E"/>
    <w:rsid w:val="0055245C"/>
    <w:rsid w:val="00552BA5"/>
    <w:rsid w:val="00552CF5"/>
    <w:rsid w:val="00553142"/>
    <w:rsid w:val="005531EB"/>
    <w:rsid w:val="005539F7"/>
    <w:rsid w:val="00554126"/>
    <w:rsid w:val="0055437A"/>
    <w:rsid w:val="0055474E"/>
    <w:rsid w:val="0055498D"/>
    <w:rsid w:val="00554BB5"/>
    <w:rsid w:val="00554E4F"/>
    <w:rsid w:val="00556325"/>
    <w:rsid w:val="005564D3"/>
    <w:rsid w:val="00556538"/>
    <w:rsid w:val="00556F79"/>
    <w:rsid w:val="005570F9"/>
    <w:rsid w:val="00557384"/>
    <w:rsid w:val="005578F3"/>
    <w:rsid w:val="00557A3B"/>
    <w:rsid w:val="00557D0D"/>
    <w:rsid w:val="005601A8"/>
    <w:rsid w:val="005601D7"/>
    <w:rsid w:val="005605FE"/>
    <w:rsid w:val="00560643"/>
    <w:rsid w:val="0056088C"/>
    <w:rsid w:val="00560D00"/>
    <w:rsid w:val="00560E31"/>
    <w:rsid w:val="00560FE0"/>
    <w:rsid w:val="005610BE"/>
    <w:rsid w:val="0056129E"/>
    <w:rsid w:val="0056164D"/>
    <w:rsid w:val="00561CD5"/>
    <w:rsid w:val="0056200F"/>
    <w:rsid w:val="005628C6"/>
    <w:rsid w:val="00562918"/>
    <w:rsid w:val="00562A06"/>
    <w:rsid w:val="005631EF"/>
    <w:rsid w:val="00563AE1"/>
    <w:rsid w:val="00563EB8"/>
    <w:rsid w:val="00564CCD"/>
    <w:rsid w:val="00564CD4"/>
    <w:rsid w:val="00564DB0"/>
    <w:rsid w:val="00565052"/>
    <w:rsid w:val="00565279"/>
    <w:rsid w:val="00565333"/>
    <w:rsid w:val="00565CD3"/>
    <w:rsid w:val="00565D76"/>
    <w:rsid w:val="00565DBE"/>
    <w:rsid w:val="0056612A"/>
    <w:rsid w:val="0056622D"/>
    <w:rsid w:val="00566551"/>
    <w:rsid w:val="0056669B"/>
    <w:rsid w:val="0056693B"/>
    <w:rsid w:val="005669A9"/>
    <w:rsid w:val="005669B6"/>
    <w:rsid w:val="00567370"/>
    <w:rsid w:val="00567C61"/>
    <w:rsid w:val="00567FCA"/>
    <w:rsid w:val="00570745"/>
    <w:rsid w:val="0057076E"/>
    <w:rsid w:val="00570BFF"/>
    <w:rsid w:val="00570CC8"/>
    <w:rsid w:val="00570D55"/>
    <w:rsid w:val="00570FF1"/>
    <w:rsid w:val="0057100E"/>
    <w:rsid w:val="005714DB"/>
    <w:rsid w:val="0057152A"/>
    <w:rsid w:val="005718D0"/>
    <w:rsid w:val="00571BAD"/>
    <w:rsid w:val="005723AE"/>
    <w:rsid w:val="00572731"/>
    <w:rsid w:val="00572973"/>
    <w:rsid w:val="00572EF9"/>
    <w:rsid w:val="00572F66"/>
    <w:rsid w:val="0057310E"/>
    <w:rsid w:val="00573270"/>
    <w:rsid w:val="00573D3F"/>
    <w:rsid w:val="00573DBD"/>
    <w:rsid w:val="00574157"/>
    <w:rsid w:val="005746C0"/>
    <w:rsid w:val="00574819"/>
    <w:rsid w:val="00574C5C"/>
    <w:rsid w:val="005757AB"/>
    <w:rsid w:val="00575965"/>
    <w:rsid w:val="00575DA5"/>
    <w:rsid w:val="005761DA"/>
    <w:rsid w:val="005764CF"/>
    <w:rsid w:val="00576604"/>
    <w:rsid w:val="005766B8"/>
    <w:rsid w:val="00576782"/>
    <w:rsid w:val="005771F2"/>
    <w:rsid w:val="0057795E"/>
    <w:rsid w:val="00580ABA"/>
    <w:rsid w:val="00580DC7"/>
    <w:rsid w:val="00581C9A"/>
    <w:rsid w:val="005823D0"/>
    <w:rsid w:val="00582414"/>
    <w:rsid w:val="005828BD"/>
    <w:rsid w:val="005830CE"/>
    <w:rsid w:val="0058323F"/>
    <w:rsid w:val="0058334A"/>
    <w:rsid w:val="00583927"/>
    <w:rsid w:val="005839DF"/>
    <w:rsid w:val="00583B8D"/>
    <w:rsid w:val="00584F78"/>
    <w:rsid w:val="00585330"/>
    <w:rsid w:val="0058567D"/>
    <w:rsid w:val="00585F2C"/>
    <w:rsid w:val="0058625E"/>
    <w:rsid w:val="005864D6"/>
    <w:rsid w:val="00586A9E"/>
    <w:rsid w:val="00586E26"/>
    <w:rsid w:val="00587234"/>
    <w:rsid w:val="00587247"/>
    <w:rsid w:val="00587930"/>
    <w:rsid w:val="00587B9F"/>
    <w:rsid w:val="00587C23"/>
    <w:rsid w:val="005902DC"/>
    <w:rsid w:val="005905E4"/>
    <w:rsid w:val="0059073C"/>
    <w:rsid w:val="005908B4"/>
    <w:rsid w:val="00590918"/>
    <w:rsid w:val="00590950"/>
    <w:rsid w:val="00590A0F"/>
    <w:rsid w:val="00590B52"/>
    <w:rsid w:val="00591235"/>
    <w:rsid w:val="0059142A"/>
    <w:rsid w:val="005914F9"/>
    <w:rsid w:val="0059237F"/>
    <w:rsid w:val="005925C2"/>
    <w:rsid w:val="0059276D"/>
    <w:rsid w:val="005927AA"/>
    <w:rsid w:val="00592BE6"/>
    <w:rsid w:val="00592C7C"/>
    <w:rsid w:val="00592D8C"/>
    <w:rsid w:val="005934B4"/>
    <w:rsid w:val="0059351A"/>
    <w:rsid w:val="00593829"/>
    <w:rsid w:val="00593886"/>
    <w:rsid w:val="00593D76"/>
    <w:rsid w:val="00594388"/>
    <w:rsid w:val="005948EF"/>
    <w:rsid w:val="005951C6"/>
    <w:rsid w:val="00595215"/>
    <w:rsid w:val="0059527E"/>
    <w:rsid w:val="00595298"/>
    <w:rsid w:val="005960C9"/>
    <w:rsid w:val="00596580"/>
    <w:rsid w:val="00596993"/>
    <w:rsid w:val="00596ADE"/>
    <w:rsid w:val="00596B18"/>
    <w:rsid w:val="00596B4E"/>
    <w:rsid w:val="00596E05"/>
    <w:rsid w:val="0059702A"/>
    <w:rsid w:val="0059787A"/>
    <w:rsid w:val="005978EE"/>
    <w:rsid w:val="00597C94"/>
    <w:rsid w:val="00597D1E"/>
    <w:rsid w:val="005A032F"/>
    <w:rsid w:val="005A05FB"/>
    <w:rsid w:val="005A07F0"/>
    <w:rsid w:val="005A08C2"/>
    <w:rsid w:val="005A0B15"/>
    <w:rsid w:val="005A0C72"/>
    <w:rsid w:val="005A0DA2"/>
    <w:rsid w:val="005A0EA8"/>
    <w:rsid w:val="005A1720"/>
    <w:rsid w:val="005A1907"/>
    <w:rsid w:val="005A1ADE"/>
    <w:rsid w:val="005A1D98"/>
    <w:rsid w:val="005A1E56"/>
    <w:rsid w:val="005A1F3F"/>
    <w:rsid w:val="005A2496"/>
    <w:rsid w:val="005A2BB6"/>
    <w:rsid w:val="005A2D7F"/>
    <w:rsid w:val="005A33BB"/>
    <w:rsid w:val="005A398B"/>
    <w:rsid w:val="005A3B7E"/>
    <w:rsid w:val="005A44BE"/>
    <w:rsid w:val="005A49C5"/>
    <w:rsid w:val="005A4A5E"/>
    <w:rsid w:val="005A4E92"/>
    <w:rsid w:val="005A5351"/>
    <w:rsid w:val="005A5461"/>
    <w:rsid w:val="005A55A2"/>
    <w:rsid w:val="005A56C5"/>
    <w:rsid w:val="005A56DF"/>
    <w:rsid w:val="005A58DF"/>
    <w:rsid w:val="005A59A2"/>
    <w:rsid w:val="005A5D93"/>
    <w:rsid w:val="005A5DE2"/>
    <w:rsid w:val="005A6A1F"/>
    <w:rsid w:val="005A72D9"/>
    <w:rsid w:val="005B048E"/>
    <w:rsid w:val="005B04D5"/>
    <w:rsid w:val="005B058D"/>
    <w:rsid w:val="005B07C7"/>
    <w:rsid w:val="005B0ABD"/>
    <w:rsid w:val="005B12D6"/>
    <w:rsid w:val="005B164E"/>
    <w:rsid w:val="005B1813"/>
    <w:rsid w:val="005B1D56"/>
    <w:rsid w:val="005B22D8"/>
    <w:rsid w:val="005B2A6D"/>
    <w:rsid w:val="005B2F7B"/>
    <w:rsid w:val="005B3130"/>
    <w:rsid w:val="005B3152"/>
    <w:rsid w:val="005B35E7"/>
    <w:rsid w:val="005B3F82"/>
    <w:rsid w:val="005B4107"/>
    <w:rsid w:val="005B41ED"/>
    <w:rsid w:val="005B424A"/>
    <w:rsid w:val="005B4607"/>
    <w:rsid w:val="005B4659"/>
    <w:rsid w:val="005B48C8"/>
    <w:rsid w:val="005B48E3"/>
    <w:rsid w:val="005B4ADD"/>
    <w:rsid w:val="005B4B05"/>
    <w:rsid w:val="005B4B23"/>
    <w:rsid w:val="005B4E44"/>
    <w:rsid w:val="005B4F17"/>
    <w:rsid w:val="005B4F76"/>
    <w:rsid w:val="005B4FA7"/>
    <w:rsid w:val="005B4FC6"/>
    <w:rsid w:val="005B557C"/>
    <w:rsid w:val="005B5D47"/>
    <w:rsid w:val="005B6386"/>
    <w:rsid w:val="005B6549"/>
    <w:rsid w:val="005B6D56"/>
    <w:rsid w:val="005B6DAE"/>
    <w:rsid w:val="005B7422"/>
    <w:rsid w:val="005B7556"/>
    <w:rsid w:val="005B7DDD"/>
    <w:rsid w:val="005C0C1A"/>
    <w:rsid w:val="005C121E"/>
    <w:rsid w:val="005C1666"/>
    <w:rsid w:val="005C186B"/>
    <w:rsid w:val="005C197F"/>
    <w:rsid w:val="005C1A42"/>
    <w:rsid w:val="005C1C86"/>
    <w:rsid w:val="005C2095"/>
    <w:rsid w:val="005C25D1"/>
    <w:rsid w:val="005C26B9"/>
    <w:rsid w:val="005C2C9C"/>
    <w:rsid w:val="005C3A29"/>
    <w:rsid w:val="005C3E27"/>
    <w:rsid w:val="005C3E33"/>
    <w:rsid w:val="005C4782"/>
    <w:rsid w:val="005C4DB2"/>
    <w:rsid w:val="005C582C"/>
    <w:rsid w:val="005C590C"/>
    <w:rsid w:val="005C5A69"/>
    <w:rsid w:val="005C5B4C"/>
    <w:rsid w:val="005C5C26"/>
    <w:rsid w:val="005C5DCB"/>
    <w:rsid w:val="005C5ED7"/>
    <w:rsid w:val="005C5FD3"/>
    <w:rsid w:val="005C6239"/>
    <w:rsid w:val="005C63DC"/>
    <w:rsid w:val="005C690D"/>
    <w:rsid w:val="005C69DD"/>
    <w:rsid w:val="005C6DF9"/>
    <w:rsid w:val="005C71D0"/>
    <w:rsid w:val="005C7553"/>
    <w:rsid w:val="005C764E"/>
    <w:rsid w:val="005C76C7"/>
    <w:rsid w:val="005C798D"/>
    <w:rsid w:val="005C7ECD"/>
    <w:rsid w:val="005D08A8"/>
    <w:rsid w:val="005D08BA"/>
    <w:rsid w:val="005D0986"/>
    <w:rsid w:val="005D0B0F"/>
    <w:rsid w:val="005D0C88"/>
    <w:rsid w:val="005D0D22"/>
    <w:rsid w:val="005D10E8"/>
    <w:rsid w:val="005D1372"/>
    <w:rsid w:val="005D1A1A"/>
    <w:rsid w:val="005D1AF3"/>
    <w:rsid w:val="005D1C64"/>
    <w:rsid w:val="005D1F01"/>
    <w:rsid w:val="005D2146"/>
    <w:rsid w:val="005D244F"/>
    <w:rsid w:val="005D2492"/>
    <w:rsid w:val="005D2B03"/>
    <w:rsid w:val="005D2B53"/>
    <w:rsid w:val="005D2B5E"/>
    <w:rsid w:val="005D2D04"/>
    <w:rsid w:val="005D30D0"/>
    <w:rsid w:val="005D31C1"/>
    <w:rsid w:val="005D39A7"/>
    <w:rsid w:val="005D3A8E"/>
    <w:rsid w:val="005D4022"/>
    <w:rsid w:val="005D4385"/>
    <w:rsid w:val="005D4388"/>
    <w:rsid w:val="005D4589"/>
    <w:rsid w:val="005D4C09"/>
    <w:rsid w:val="005D4E32"/>
    <w:rsid w:val="005D4E6B"/>
    <w:rsid w:val="005D50B2"/>
    <w:rsid w:val="005D5110"/>
    <w:rsid w:val="005D621B"/>
    <w:rsid w:val="005D66D6"/>
    <w:rsid w:val="005D6ECE"/>
    <w:rsid w:val="005D76AD"/>
    <w:rsid w:val="005D77A3"/>
    <w:rsid w:val="005D7934"/>
    <w:rsid w:val="005D7B23"/>
    <w:rsid w:val="005D7D8C"/>
    <w:rsid w:val="005D7DD0"/>
    <w:rsid w:val="005E017A"/>
    <w:rsid w:val="005E0189"/>
    <w:rsid w:val="005E0372"/>
    <w:rsid w:val="005E0B6B"/>
    <w:rsid w:val="005E141C"/>
    <w:rsid w:val="005E1508"/>
    <w:rsid w:val="005E1CF5"/>
    <w:rsid w:val="005E1D50"/>
    <w:rsid w:val="005E2263"/>
    <w:rsid w:val="005E2356"/>
    <w:rsid w:val="005E283D"/>
    <w:rsid w:val="005E2C6B"/>
    <w:rsid w:val="005E2F2F"/>
    <w:rsid w:val="005E2FD2"/>
    <w:rsid w:val="005E34FA"/>
    <w:rsid w:val="005E372A"/>
    <w:rsid w:val="005E380A"/>
    <w:rsid w:val="005E3A69"/>
    <w:rsid w:val="005E3D86"/>
    <w:rsid w:val="005E407E"/>
    <w:rsid w:val="005E44E9"/>
    <w:rsid w:val="005E464C"/>
    <w:rsid w:val="005E4BD1"/>
    <w:rsid w:val="005E5055"/>
    <w:rsid w:val="005E50E2"/>
    <w:rsid w:val="005E5C0F"/>
    <w:rsid w:val="005E5D03"/>
    <w:rsid w:val="005E66F6"/>
    <w:rsid w:val="005E6A47"/>
    <w:rsid w:val="005E7883"/>
    <w:rsid w:val="005E7BB7"/>
    <w:rsid w:val="005E7EBC"/>
    <w:rsid w:val="005F0714"/>
    <w:rsid w:val="005F0858"/>
    <w:rsid w:val="005F0FF8"/>
    <w:rsid w:val="005F1DE4"/>
    <w:rsid w:val="005F1E0F"/>
    <w:rsid w:val="005F1E3C"/>
    <w:rsid w:val="005F2267"/>
    <w:rsid w:val="005F232E"/>
    <w:rsid w:val="005F2844"/>
    <w:rsid w:val="005F2DBB"/>
    <w:rsid w:val="005F31E7"/>
    <w:rsid w:val="005F358F"/>
    <w:rsid w:val="005F4271"/>
    <w:rsid w:val="005F42A0"/>
    <w:rsid w:val="005F4550"/>
    <w:rsid w:val="005F49FE"/>
    <w:rsid w:val="005F4D2E"/>
    <w:rsid w:val="005F506D"/>
    <w:rsid w:val="005F5428"/>
    <w:rsid w:val="005F5C57"/>
    <w:rsid w:val="005F5E8B"/>
    <w:rsid w:val="005F6677"/>
    <w:rsid w:val="005F6678"/>
    <w:rsid w:val="005F67A3"/>
    <w:rsid w:val="005F7399"/>
    <w:rsid w:val="005F7720"/>
    <w:rsid w:val="005F77A1"/>
    <w:rsid w:val="005F78BF"/>
    <w:rsid w:val="005F7A34"/>
    <w:rsid w:val="005F7D91"/>
    <w:rsid w:val="005F7DD2"/>
    <w:rsid w:val="005F7E8E"/>
    <w:rsid w:val="005F7F05"/>
    <w:rsid w:val="00600347"/>
    <w:rsid w:val="006003AC"/>
    <w:rsid w:val="00600605"/>
    <w:rsid w:val="00600F3D"/>
    <w:rsid w:val="00600F92"/>
    <w:rsid w:val="0060151A"/>
    <w:rsid w:val="0060190C"/>
    <w:rsid w:val="006026EE"/>
    <w:rsid w:val="00602D30"/>
    <w:rsid w:val="00602D77"/>
    <w:rsid w:val="006034EE"/>
    <w:rsid w:val="006035F4"/>
    <w:rsid w:val="006036BA"/>
    <w:rsid w:val="006036E1"/>
    <w:rsid w:val="006039EA"/>
    <w:rsid w:val="00603C3E"/>
    <w:rsid w:val="006044CA"/>
    <w:rsid w:val="0060464B"/>
    <w:rsid w:val="00604B12"/>
    <w:rsid w:val="00604D0A"/>
    <w:rsid w:val="00604E22"/>
    <w:rsid w:val="00604EFD"/>
    <w:rsid w:val="006050F6"/>
    <w:rsid w:val="0060571E"/>
    <w:rsid w:val="006058B0"/>
    <w:rsid w:val="006062B2"/>
    <w:rsid w:val="0060640C"/>
    <w:rsid w:val="006069EB"/>
    <w:rsid w:val="00606F6D"/>
    <w:rsid w:val="00607117"/>
    <w:rsid w:val="006074C7"/>
    <w:rsid w:val="00607554"/>
    <w:rsid w:val="00607F08"/>
    <w:rsid w:val="006101FE"/>
    <w:rsid w:val="006102EA"/>
    <w:rsid w:val="0061037E"/>
    <w:rsid w:val="00610C33"/>
    <w:rsid w:val="00610EAB"/>
    <w:rsid w:val="00611707"/>
    <w:rsid w:val="006117A2"/>
    <w:rsid w:val="00611B28"/>
    <w:rsid w:val="00611D14"/>
    <w:rsid w:val="006127D9"/>
    <w:rsid w:val="00612972"/>
    <w:rsid w:val="00612C74"/>
    <w:rsid w:val="00612E1E"/>
    <w:rsid w:val="00613698"/>
    <w:rsid w:val="00613BB3"/>
    <w:rsid w:val="00613EF3"/>
    <w:rsid w:val="00613FA7"/>
    <w:rsid w:val="0061403F"/>
    <w:rsid w:val="00614655"/>
    <w:rsid w:val="00614658"/>
    <w:rsid w:val="00614872"/>
    <w:rsid w:val="00614975"/>
    <w:rsid w:val="00614BFF"/>
    <w:rsid w:val="00614DAF"/>
    <w:rsid w:val="006151EB"/>
    <w:rsid w:val="006154B8"/>
    <w:rsid w:val="006157B2"/>
    <w:rsid w:val="006163A3"/>
    <w:rsid w:val="0061649C"/>
    <w:rsid w:val="0061649E"/>
    <w:rsid w:val="006164F8"/>
    <w:rsid w:val="00616ED5"/>
    <w:rsid w:val="006173D1"/>
    <w:rsid w:val="0061754B"/>
    <w:rsid w:val="00617692"/>
    <w:rsid w:val="00617798"/>
    <w:rsid w:val="00617BBC"/>
    <w:rsid w:val="0062025E"/>
    <w:rsid w:val="00620292"/>
    <w:rsid w:val="00620658"/>
    <w:rsid w:val="00620DC8"/>
    <w:rsid w:val="00621DDA"/>
    <w:rsid w:val="0062283C"/>
    <w:rsid w:val="00622894"/>
    <w:rsid w:val="00622A3B"/>
    <w:rsid w:val="00622A4C"/>
    <w:rsid w:val="006232E5"/>
    <w:rsid w:val="0062347E"/>
    <w:rsid w:val="006234FC"/>
    <w:rsid w:val="0062369D"/>
    <w:rsid w:val="006236EE"/>
    <w:rsid w:val="006239B7"/>
    <w:rsid w:val="00623A18"/>
    <w:rsid w:val="00623A4D"/>
    <w:rsid w:val="00623BB6"/>
    <w:rsid w:val="00623F09"/>
    <w:rsid w:val="00623F5E"/>
    <w:rsid w:val="0062420C"/>
    <w:rsid w:val="006242DB"/>
    <w:rsid w:val="00625796"/>
    <w:rsid w:val="006257FF"/>
    <w:rsid w:val="0062585B"/>
    <w:rsid w:val="006258B7"/>
    <w:rsid w:val="006259CC"/>
    <w:rsid w:val="00625DB1"/>
    <w:rsid w:val="00625EEF"/>
    <w:rsid w:val="0062658F"/>
    <w:rsid w:val="006265EF"/>
    <w:rsid w:val="00626EED"/>
    <w:rsid w:val="00627BE1"/>
    <w:rsid w:val="00627D04"/>
    <w:rsid w:val="0063037F"/>
    <w:rsid w:val="0063049C"/>
    <w:rsid w:val="0063053B"/>
    <w:rsid w:val="006305DE"/>
    <w:rsid w:val="00630755"/>
    <w:rsid w:val="00630DEC"/>
    <w:rsid w:val="00630DF2"/>
    <w:rsid w:val="006312D5"/>
    <w:rsid w:val="00631658"/>
    <w:rsid w:val="006317BA"/>
    <w:rsid w:val="00631957"/>
    <w:rsid w:val="00631A8D"/>
    <w:rsid w:val="00631E0B"/>
    <w:rsid w:val="006324D0"/>
    <w:rsid w:val="006324E1"/>
    <w:rsid w:val="00632832"/>
    <w:rsid w:val="0063291E"/>
    <w:rsid w:val="00632BCF"/>
    <w:rsid w:val="006334FA"/>
    <w:rsid w:val="00633A97"/>
    <w:rsid w:val="0063440A"/>
    <w:rsid w:val="0063451C"/>
    <w:rsid w:val="00634520"/>
    <w:rsid w:val="0063454A"/>
    <w:rsid w:val="006345A3"/>
    <w:rsid w:val="00634DAB"/>
    <w:rsid w:val="00634FB2"/>
    <w:rsid w:val="0063504E"/>
    <w:rsid w:val="00635391"/>
    <w:rsid w:val="006353E9"/>
    <w:rsid w:val="0063559E"/>
    <w:rsid w:val="00636309"/>
    <w:rsid w:val="00636953"/>
    <w:rsid w:val="006369DE"/>
    <w:rsid w:val="00636B5E"/>
    <w:rsid w:val="00636B6F"/>
    <w:rsid w:val="00636CDB"/>
    <w:rsid w:val="006371A8"/>
    <w:rsid w:val="00637204"/>
    <w:rsid w:val="006372A9"/>
    <w:rsid w:val="00637443"/>
    <w:rsid w:val="006374A4"/>
    <w:rsid w:val="00637AD3"/>
    <w:rsid w:val="00637F52"/>
    <w:rsid w:val="006401B8"/>
    <w:rsid w:val="0064048D"/>
    <w:rsid w:val="006408A6"/>
    <w:rsid w:val="006410E5"/>
    <w:rsid w:val="0064146B"/>
    <w:rsid w:val="006416B1"/>
    <w:rsid w:val="0064177A"/>
    <w:rsid w:val="0064180A"/>
    <w:rsid w:val="00642141"/>
    <w:rsid w:val="0064217B"/>
    <w:rsid w:val="00642338"/>
    <w:rsid w:val="006423E9"/>
    <w:rsid w:val="00642E6B"/>
    <w:rsid w:val="006431D4"/>
    <w:rsid w:val="0064320E"/>
    <w:rsid w:val="00643728"/>
    <w:rsid w:val="0064388C"/>
    <w:rsid w:val="00644482"/>
    <w:rsid w:val="0064482A"/>
    <w:rsid w:val="00644B2F"/>
    <w:rsid w:val="00644B6A"/>
    <w:rsid w:val="00645009"/>
    <w:rsid w:val="0064530D"/>
    <w:rsid w:val="00645B4B"/>
    <w:rsid w:val="00645BEE"/>
    <w:rsid w:val="00646016"/>
    <w:rsid w:val="0064628E"/>
    <w:rsid w:val="006463EF"/>
    <w:rsid w:val="0064667F"/>
    <w:rsid w:val="006466BB"/>
    <w:rsid w:val="006467EC"/>
    <w:rsid w:val="00646A6E"/>
    <w:rsid w:val="00646E8D"/>
    <w:rsid w:val="0064790B"/>
    <w:rsid w:val="00647ABB"/>
    <w:rsid w:val="00647B7B"/>
    <w:rsid w:val="00647D8E"/>
    <w:rsid w:val="00647DB6"/>
    <w:rsid w:val="00647DCB"/>
    <w:rsid w:val="00650342"/>
    <w:rsid w:val="0065034D"/>
    <w:rsid w:val="006505E0"/>
    <w:rsid w:val="006505E5"/>
    <w:rsid w:val="00650734"/>
    <w:rsid w:val="0065091C"/>
    <w:rsid w:val="0065094C"/>
    <w:rsid w:val="00650A2A"/>
    <w:rsid w:val="00650A9B"/>
    <w:rsid w:val="00650DFD"/>
    <w:rsid w:val="006511AB"/>
    <w:rsid w:val="00651705"/>
    <w:rsid w:val="006517A0"/>
    <w:rsid w:val="00651C6D"/>
    <w:rsid w:val="00651DB2"/>
    <w:rsid w:val="00651DC7"/>
    <w:rsid w:val="006520B6"/>
    <w:rsid w:val="0065291F"/>
    <w:rsid w:val="00652B64"/>
    <w:rsid w:val="00652F07"/>
    <w:rsid w:val="00653212"/>
    <w:rsid w:val="00653A00"/>
    <w:rsid w:val="006546F2"/>
    <w:rsid w:val="0065507E"/>
    <w:rsid w:val="00655B52"/>
    <w:rsid w:val="006565B9"/>
    <w:rsid w:val="0065660B"/>
    <w:rsid w:val="00656A16"/>
    <w:rsid w:val="0065778F"/>
    <w:rsid w:val="00657ABF"/>
    <w:rsid w:val="00657B6B"/>
    <w:rsid w:val="00657F6A"/>
    <w:rsid w:val="0066092E"/>
    <w:rsid w:val="00660946"/>
    <w:rsid w:val="00660E7C"/>
    <w:rsid w:val="00660FCE"/>
    <w:rsid w:val="00661235"/>
    <w:rsid w:val="00661795"/>
    <w:rsid w:val="00661839"/>
    <w:rsid w:val="00661840"/>
    <w:rsid w:val="00661FF9"/>
    <w:rsid w:val="006628F2"/>
    <w:rsid w:val="00662AEB"/>
    <w:rsid w:val="0066320A"/>
    <w:rsid w:val="006633FE"/>
    <w:rsid w:val="006635B3"/>
    <w:rsid w:val="006636CA"/>
    <w:rsid w:val="0066377A"/>
    <w:rsid w:val="00663886"/>
    <w:rsid w:val="0066413B"/>
    <w:rsid w:val="00664681"/>
    <w:rsid w:val="006655A3"/>
    <w:rsid w:val="006655FB"/>
    <w:rsid w:val="006657C0"/>
    <w:rsid w:val="00665991"/>
    <w:rsid w:val="00665AFC"/>
    <w:rsid w:val="00666194"/>
    <w:rsid w:val="00666453"/>
    <w:rsid w:val="00666518"/>
    <w:rsid w:val="00667193"/>
    <w:rsid w:val="006672BB"/>
    <w:rsid w:val="00670199"/>
    <w:rsid w:val="006701E0"/>
    <w:rsid w:val="00670365"/>
    <w:rsid w:val="00670635"/>
    <w:rsid w:val="00670806"/>
    <w:rsid w:val="006708A7"/>
    <w:rsid w:val="0067113E"/>
    <w:rsid w:val="006719D7"/>
    <w:rsid w:val="006719F3"/>
    <w:rsid w:val="00671A49"/>
    <w:rsid w:val="00671B18"/>
    <w:rsid w:val="006726E7"/>
    <w:rsid w:val="0067281D"/>
    <w:rsid w:val="0067291F"/>
    <w:rsid w:val="00672CC5"/>
    <w:rsid w:val="00672D31"/>
    <w:rsid w:val="00672E46"/>
    <w:rsid w:val="00672E56"/>
    <w:rsid w:val="00673645"/>
    <w:rsid w:val="006737FA"/>
    <w:rsid w:val="00673927"/>
    <w:rsid w:val="00673B2F"/>
    <w:rsid w:val="00673E23"/>
    <w:rsid w:val="006741E1"/>
    <w:rsid w:val="006746BC"/>
    <w:rsid w:val="00674932"/>
    <w:rsid w:val="00674E70"/>
    <w:rsid w:val="00675086"/>
    <w:rsid w:val="006754D8"/>
    <w:rsid w:val="006755A0"/>
    <w:rsid w:val="00675811"/>
    <w:rsid w:val="00675B26"/>
    <w:rsid w:val="00676130"/>
    <w:rsid w:val="0067674D"/>
    <w:rsid w:val="00676C98"/>
    <w:rsid w:val="00676E3D"/>
    <w:rsid w:val="006773C7"/>
    <w:rsid w:val="00677833"/>
    <w:rsid w:val="00677A8A"/>
    <w:rsid w:val="00677D95"/>
    <w:rsid w:val="00677DBB"/>
    <w:rsid w:val="00680C91"/>
    <w:rsid w:val="00680FE3"/>
    <w:rsid w:val="006810F9"/>
    <w:rsid w:val="0068145D"/>
    <w:rsid w:val="006814D4"/>
    <w:rsid w:val="0068165D"/>
    <w:rsid w:val="0068191E"/>
    <w:rsid w:val="00681A61"/>
    <w:rsid w:val="00681B2F"/>
    <w:rsid w:val="00682091"/>
    <w:rsid w:val="00682902"/>
    <w:rsid w:val="00682B0F"/>
    <w:rsid w:val="00682E5D"/>
    <w:rsid w:val="00683268"/>
    <w:rsid w:val="00683352"/>
    <w:rsid w:val="0068359D"/>
    <w:rsid w:val="00683972"/>
    <w:rsid w:val="00683BD7"/>
    <w:rsid w:val="00683F40"/>
    <w:rsid w:val="00683FAE"/>
    <w:rsid w:val="006847FE"/>
    <w:rsid w:val="00684824"/>
    <w:rsid w:val="00684EE4"/>
    <w:rsid w:val="00685365"/>
    <w:rsid w:val="0068544E"/>
    <w:rsid w:val="006854E7"/>
    <w:rsid w:val="00685727"/>
    <w:rsid w:val="00685B3A"/>
    <w:rsid w:val="0068618F"/>
    <w:rsid w:val="006863D3"/>
    <w:rsid w:val="0068664F"/>
    <w:rsid w:val="00686885"/>
    <w:rsid w:val="006868C6"/>
    <w:rsid w:val="00686AAC"/>
    <w:rsid w:val="00686D03"/>
    <w:rsid w:val="00686FDA"/>
    <w:rsid w:val="006870B0"/>
    <w:rsid w:val="0068758D"/>
    <w:rsid w:val="006878B6"/>
    <w:rsid w:val="006879C3"/>
    <w:rsid w:val="00690342"/>
    <w:rsid w:val="00690C9F"/>
    <w:rsid w:val="00690D2F"/>
    <w:rsid w:val="0069163F"/>
    <w:rsid w:val="00691A5C"/>
    <w:rsid w:val="00691BBF"/>
    <w:rsid w:val="00691D66"/>
    <w:rsid w:val="006924C4"/>
    <w:rsid w:val="00692761"/>
    <w:rsid w:val="00692FCC"/>
    <w:rsid w:val="0069339F"/>
    <w:rsid w:val="006933B6"/>
    <w:rsid w:val="00693404"/>
    <w:rsid w:val="0069348B"/>
    <w:rsid w:val="00693A3D"/>
    <w:rsid w:val="00693A6C"/>
    <w:rsid w:val="00694180"/>
    <w:rsid w:val="00694229"/>
    <w:rsid w:val="006946ED"/>
    <w:rsid w:val="00694EBD"/>
    <w:rsid w:val="00695093"/>
    <w:rsid w:val="006957D6"/>
    <w:rsid w:val="00695E10"/>
    <w:rsid w:val="00695F85"/>
    <w:rsid w:val="0069612B"/>
    <w:rsid w:val="00696368"/>
    <w:rsid w:val="006966E0"/>
    <w:rsid w:val="00696AB4"/>
    <w:rsid w:val="00696BDF"/>
    <w:rsid w:val="00696C58"/>
    <w:rsid w:val="00697579"/>
    <w:rsid w:val="00697790"/>
    <w:rsid w:val="00697937"/>
    <w:rsid w:val="0069793C"/>
    <w:rsid w:val="00697E5A"/>
    <w:rsid w:val="00697F41"/>
    <w:rsid w:val="006A05A9"/>
    <w:rsid w:val="006A0709"/>
    <w:rsid w:val="006A0AA9"/>
    <w:rsid w:val="006A0BE4"/>
    <w:rsid w:val="006A1131"/>
    <w:rsid w:val="006A13CB"/>
    <w:rsid w:val="006A1835"/>
    <w:rsid w:val="006A1F38"/>
    <w:rsid w:val="006A1F8A"/>
    <w:rsid w:val="006A200C"/>
    <w:rsid w:val="006A2162"/>
    <w:rsid w:val="006A2518"/>
    <w:rsid w:val="006A3261"/>
    <w:rsid w:val="006A44B9"/>
    <w:rsid w:val="006A47C5"/>
    <w:rsid w:val="006A49A6"/>
    <w:rsid w:val="006A4B30"/>
    <w:rsid w:val="006A4EF0"/>
    <w:rsid w:val="006A4FAB"/>
    <w:rsid w:val="006A5122"/>
    <w:rsid w:val="006A52AF"/>
    <w:rsid w:val="006A58DC"/>
    <w:rsid w:val="006A59BB"/>
    <w:rsid w:val="006A5AE6"/>
    <w:rsid w:val="006A5ECA"/>
    <w:rsid w:val="006A6287"/>
    <w:rsid w:val="006A6AFF"/>
    <w:rsid w:val="006A6EF5"/>
    <w:rsid w:val="006A6FC9"/>
    <w:rsid w:val="006A726C"/>
    <w:rsid w:val="006A773B"/>
    <w:rsid w:val="006A78F7"/>
    <w:rsid w:val="006A7B60"/>
    <w:rsid w:val="006A7C60"/>
    <w:rsid w:val="006A7E49"/>
    <w:rsid w:val="006A7FB3"/>
    <w:rsid w:val="006B1165"/>
    <w:rsid w:val="006B173D"/>
    <w:rsid w:val="006B18B2"/>
    <w:rsid w:val="006B1A1D"/>
    <w:rsid w:val="006B1ACB"/>
    <w:rsid w:val="006B1F5D"/>
    <w:rsid w:val="006B22A9"/>
    <w:rsid w:val="006B2885"/>
    <w:rsid w:val="006B2D70"/>
    <w:rsid w:val="006B34BF"/>
    <w:rsid w:val="006B3DD6"/>
    <w:rsid w:val="006B3ECC"/>
    <w:rsid w:val="006B41B6"/>
    <w:rsid w:val="006B4245"/>
    <w:rsid w:val="006B43F8"/>
    <w:rsid w:val="006B4996"/>
    <w:rsid w:val="006B4A2C"/>
    <w:rsid w:val="006B4A73"/>
    <w:rsid w:val="006B4AE1"/>
    <w:rsid w:val="006B4BB0"/>
    <w:rsid w:val="006B5010"/>
    <w:rsid w:val="006B50CC"/>
    <w:rsid w:val="006B515A"/>
    <w:rsid w:val="006B5235"/>
    <w:rsid w:val="006B61AD"/>
    <w:rsid w:val="006B61E1"/>
    <w:rsid w:val="006B6AD6"/>
    <w:rsid w:val="006B6E28"/>
    <w:rsid w:val="006B6EE7"/>
    <w:rsid w:val="006B7171"/>
    <w:rsid w:val="006B78FD"/>
    <w:rsid w:val="006B7CB6"/>
    <w:rsid w:val="006C1073"/>
    <w:rsid w:val="006C16ED"/>
    <w:rsid w:val="006C1E9D"/>
    <w:rsid w:val="006C2569"/>
    <w:rsid w:val="006C2FD4"/>
    <w:rsid w:val="006C3100"/>
    <w:rsid w:val="006C313E"/>
    <w:rsid w:val="006C31D7"/>
    <w:rsid w:val="006C34FB"/>
    <w:rsid w:val="006C3792"/>
    <w:rsid w:val="006C392E"/>
    <w:rsid w:val="006C4672"/>
    <w:rsid w:val="006C4934"/>
    <w:rsid w:val="006C4E61"/>
    <w:rsid w:val="006C4F3B"/>
    <w:rsid w:val="006C5045"/>
    <w:rsid w:val="006C54E2"/>
    <w:rsid w:val="006C55FD"/>
    <w:rsid w:val="006C575D"/>
    <w:rsid w:val="006C59B5"/>
    <w:rsid w:val="006C5B6A"/>
    <w:rsid w:val="006C5BE1"/>
    <w:rsid w:val="006C5D2C"/>
    <w:rsid w:val="006C6776"/>
    <w:rsid w:val="006C67D6"/>
    <w:rsid w:val="006C6A01"/>
    <w:rsid w:val="006C73B1"/>
    <w:rsid w:val="006C7B36"/>
    <w:rsid w:val="006C7F48"/>
    <w:rsid w:val="006D02D6"/>
    <w:rsid w:val="006D0478"/>
    <w:rsid w:val="006D0940"/>
    <w:rsid w:val="006D0AF3"/>
    <w:rsid w:val="006D12AE"/>
    <w:rsid w:val="006D14D6"/>
    <w:rsid w:val="006D1CE0"/>
    <w:rsid w:val="006D266B"/>
    <w:rsid w:val="006D2687"/>
    <w:rsid w:val="006D2CEE"/>
    <w:rsid w:val="006D2D44"/>
    <w:rsid w:val="006D3181"/>
    <w:rsid w:val="006D3BEB"/>
    <w:rsid w:val="006D3D7A"/>
    <w:rsid w:val="006D4239"/>
    <w:rsid w:val="006D43C7"/>
    <w:rsid w:val="006D43E8"/>
    <w:rsid w:val="006D45DA"/>
    <w:rsid w:val="006D4700"/>
    <w:rsid w:val="006D4820"/>
    <w:rsid w:val="006D4B13"/>
    <w:rsid w:val="006D5494"/>
    <w:rsid w:val="006D5643"/>
    <w:rsid w:val="006D584E"/>
    <w:rsid w:val="006D5D16"/>
    <w:rsid w:val="006D6249"/>
    <w:rsid w:val="006D6B8D"/>
    <w:rsid w:val="006D6D08"/>
    <w:rsid w:val="006E0072"/>
    <w:rsid w:val="006E018F"/>
    <w:rsid w:val="006E034C"/>
    <w:rsid w:val="006E05BA"/>
    <w:rsid w:val="006E0C1C"/>
    <w:rsid w:val="006E0F70"/>
    <w:rsid w:val="006E1052"/>
    <w:rsid w:val="006E1299"/>
    <w:rsid w:val="006E17AA"/>
    <w:rsid w:val="006E1E9D"/>
    <w:rsid w:val="006E1FE3"/>
    <w:rsid w:val="006E2490"/>
    <w:rsid w:val="006E289E"/>
    <w:rsid w:val="006E293C"/>
    <w:rsid w:val="006E2CCB"/>
    <w:rsid w:val="006E2EDF"/>
    <w:rsid w:val="006E3048"/>
    <w:rsid w:val="006E35B7"/>
    <w:rsid w:val="006E3734"/>
    <w:rsid w:val="006E3D31"/>
    <w:rsid w:val="006E4051"/>
    <w:rsid w:val="006E4089"/>
    <w:rsid w:val="006E5245"/>
    <w:rsid w:val="006E59E1"/>
    <w:rsid w:val="006E5E71"/>
    <w:rsid w:val="006E6AFD"/>
    <w:rsid w:val="006E6C1A"/>
    <w:rsid w:val="006E7009"/>
    <w:rsid w:val="006E7278"/>
    <w:rsid w:val="006E74A7"/>
    <w:rsid w:val="006E74C5"/>
    <w:rsid w:val="006E7C2D"/>
    <w:rsid w:val="006F0108"/>
    <w:rsid w:val="006F1469"/>
    <w:rsid w:val="006F155E"/>
    <w:rsid w:val="006F1A49"/>
    <w:rsid w:val="006F1B9E"/>
    <w:rsid w:val="006F1FB3"/>
    <w:rsid w:val="006F2087"/>
    <w:rsid w:val="006F2BAF"/>
    <w:rsid w:val="006F2E0B"/>
    <w:rsid w:val="006F2E41"/>
    <w:rsid w:val="006F2E5C"/>
    <w:rsid w:val="006F3442"/>
    <w:rsid w:val="006F38FF"/>
    <w:rsid w:val="006F3FDF"/>
    <w:rsid w:val="006F40BD"/>
    <w:rsid w:val="006F414A"/>
    <w:rsid w:val="006F45F0"/>
    <w:rsid w:val="006F476C"/>
    <w:rsid w:val="006F4A57"/>
    <w:rsid w:val="006F4C10"/>
    <w:rsid w:val="006F4E2A"/>
    <w:rsid w:val="006F4FC5"/>
    <w:rsid w:val="006F526E"/>
    <w:rsid w:val="006F580A"/>
    <w:rsid w:val="006F59E1"/>
    <w:rsid w:val="006F5DB4"/>
    <w:rsid w:val="006F5F51"/>
    <w:rsid w:val="006F5F62"/>
    <w:rsid w:val="006F608B"/>
    <w:rsid w:val="006F61BF"/>
    <w:rsid w:val="006F744E"/>
    <w:rsid w:val="006F757D"/>
    <w:rsid w:val="006F75CC"/>
    <w:rsid w:val="006F7911"/>
    <w:rsid w:val="006F7C0D"/>
    <w:rsid w:val="006F7DF2"/>
    <w:rsid w:val="007005B5"/>
    <w:rsid w:val="00701024"/>
    <w:rsid w:val="00701671"/>
    <w:rsid w:val="007016A4"/>
    <w:rsid w:val="00701DEF"/>
    <w:rsid w:val="00702556"/>
    <w:rsid w:val="00702B61"/>
    <w:rsid w:val="00702DA5"/>
    <w:rsid w:val="00702EF3"/>
    <w:rsid w:val="00702F3A"/>
    <w:rsid w:val="00703431"/>
    <w:rsid w:val="0070385A"/>
    <w:rsid w:val="007038D2"/>
    <w:rsid w:val="007042A6"/>
    <w:rsid w:val="007046B0"/>
    <w:rsid w:val="00704F0A"/>
    <w:rsid w:val="007050EE"/>
    <w:rsid w:val="007052B3"/>
    <w:rsid w:val="0070533D"/>
    <w:rsid w:val="007055FA"/>
    <w:rsid w:val="007059FB"/>
    <w:rsid w:val="00705ABF"/>
    <w:rsid w:val="00706008"/>
    <w:rsid w:val="00706086"/>
    <w:rsid w:val="007061AD"/>
    <w:rsid w:val="00706321"/>
    <w:rsid w:val="007063C0"/>
    <w:rsid w:val="00706A16"/>
    <w:rsid w:val="00706A30"/>
    <w:rsid w:val="00706F51"/>
    <w:rsid w:val="00707A6E"/>
    <w:rsid w:val="00707E0D"/>
    <w:rsid w:val="007100BD"/>
    <w:rsid w:val="00710958"/>
    <w:rsid w:val="00710DE4"/>
    <w:rsid w:val="007112E4"/>
    <w:rsid w:val="0071187B"/>
    <w:rsid w:val="00711F5C"/>
    <w:rsid w:val="007122BB"/>
    <w:rsid w:val="00712F9A"/>
    <w:rsid w:val="00713301"/>
    <w:rsid w:val="0071370C"/>
    <w:rsid w:val="00713B60"/>
    <w:rsid w:val="00713FFC"/>
    <w:rsid w:val="00714048"/>
    <w:rsid w:val="0071446E"/>
    <w:rsid w:val="0071493E"/>
    <w:rsid w:val="00714B54"/>
    <w:rsid w:val="00714D8F"/>
    <w:rsid w:val="00714DEA"/>
    <w:rsid w:val="0071535A"/>
    <w:rsid w:val="007158CB"/>
    <w:rsid w:val="00715A33"/>
    <w:rsid w:val="00716B44"/>
    <w:rsid w:val="00716B52"/>
    <w:rsid w:val="00716F6F"/>
    <w:rsid w:val="00716F93"/>
    <w:rsid w:val="00717410"/>
    <w:rsid w:val="007175FE"/>
    <w:rsid w:val="00717B37"/>
    <w:rsid w:val="00717D24"/>
    <w:rsid w:val="00720020"/>
    <w:rsid w:val="00720794"/>
    <w:rsid w:val="0072094C"/>
    <w:rsid w:val="00720CAA"/>
    <w:rsid w:val="0072152E"/>
    <w:rsid w:val="00721631"/>
    <w:rsid w:val="00722522"/>
    <w:rsid w:val="00722712"/>
    <w:rsid w:val="00722946"/>
    <w:rsid w:val="00722C73"/>
    <w:rsid w:val="00722DE0"/>
    <w:rsid w:val="00723311"/>
    <w:rsid w:val="0072339D"/>
    <w:rsid w:val="007233DC"/>
    <w:rsid w:val="00723526"/>
    <w:rsid w:val="00723886"/>
    <w:rsid w:val="00723ADF"/>
    <w:rsid w:val="00723F74"/>
    <w:rsid w:val="0072402F"/>
    <w:rsid w:val="0072431D"/>
    <w:rsid w:val="00724838"/>
    <w:rsid w:val="00724986"/>
    <w:rsid w:val="00724C57"/>
    <w:rsid w:val="00724D11"/>
    <w:rsid w:val="00724F8B"/>
    <w:rsid w:val="007250D5"/>
    <w:rsid w:val="00725519"/>
    <w:rsid w:val="0072588B"/>
    <w:rsid w:val="00725CA3"/>
    <w:rsid w:val="007262CD"/>
    <w:rsid w:val="007274A4"/>
    <w:rsid w:val="0072789E"/>
    <w:rsid w:val="00727B3D"/>
    <w:rsid w:val="007300C2"/>
    <w:rsid w:val="007308DB"/>
    <w:rsid w:val="00730C7D"/>
    <w:rsid w:val="00730E51"/>
    <w:rsid w:val="0073164E"/>
    <w:rsid w:val="00731D33"/>
    <w:rsid w:val="00731DCF"/>
    <w:rsid w:val="007321A4"/>
    <w:rsid w:val="0073223D"/>
    <w:rsid w:val="0073244C"/>
    <w:rsid w:val="0073294D"/>
    <w:rsid w:val="00733594"/>
    <w:rsid w:val="00733758"/>
    <w:rsid w:val="007338D0"/>
    <w:rsid w:val="0073391B"/>
    <w:rsid w:val="00734157"/>
    <w:rsid w:val="007342D2"/>
    <w:rsid w:val="007343A2"/>
    <w:rsid w:val="007346D4"/>
    <w:rsid w:val="00735186"/>
    <w:rsid w:val="00735BF0"/>
    <w:rsid w:val="00735CE4"/>
    <w:rsid w:val="0073619D"/>
    <w:rsid w:val="007364E1"/>
    <w:rsid w:val="007371C5"/>
    <w:rsid w:val="00737606"/>
    <w:rsid w:val="0073760E"/>
    <w:rsid w:val="007378EE"/>
    <w:rsid w:val="00737A8C"/>
    <w:rsid w:val="0074001F"/>
    <w:rsid w:val="0074152F"/>
    <w:rsid w:val="007417FE"/>
    <w:rsid w:val="00741863"/>
    <w:rsid w:val="00741E25"/>
    <w:rsid w:val="00741E79"/>
    <w:rsid w:val="00741F42"/>
    <w:rsid w:val="007423CE"/>
    <w:rsid w:val="00742925"/>
    <w:rsid w:val="00742A65"/>
    <w:rsid w:val="00743466"/>
    <w:rsid w:val="00744174"/>
    <w:rsid w:val="00744231"/>
    <w:rsid w:val="007442EB"/>
    <w:rsid w:val="0074456A"/>
    <w:rsid w:val="00744671"/>
    <w:rsid w:val="0074486F"/>
    <w:rsid w:val="007448C7"/>
    <w:rsid w:val="00744B26"/>
    <w:rsid w:val="00744F67"/>
    <w:rsid w:val="00745427"/>
    <w:rsid w:val="00745488"/>
    <w:rsid w:val="007455AA"/>
    <w:rsid w:val="00745B7E"/>
    <w:rsid w:val="00745DE2"/>
    <w:rsid w:val="00745F19"/>
    <w:rsid w:val="00746380"/>
    <w:rsid w:val="00746985"/>
    <w:rsid w:val="007474D3"/>
    <w:rsid w:val="00747511"/>
    <w:rsid w:val="007477CA"/>
    <w:rsid w:val="00747BC2"/>
    <w:rsid w:val="00747EC2"/>
    <w:rsid w:val="00750BAA"/>
    <w:rsid w:val="00750CBD"/>
    <w:rsid w:val="00750DB3"/>
    <w:rsid w:val="00751021"/>
    <w:rsid w:val="00751134"/>
    <w:rsid w:val="0075193A"/>
    <w:rsid w:val="00751AA9"/>
    <w:rsid w:val="00751AAC"/>
    <w:rsid w:val="00751F55"/>
    <w:rsid w:val="00751F72"/>
    <w:rsid w:val="00751F8C"/>
    <w:rsid w:val="00752266"/>
    <w:rsid w:val="00752351"/>
    <w:rsid w:val="0075277E"/>
    <w:rsid w:val="007530BB"/>
    <w:rsid w:val="00753208"/>
    <w:rsid w:val="00753232"/>
    <w:rsid w:val="00753D0D"/>
    <w:rsid w:val="00753D5B"/>
    <w:rsid w:val="00754071"/>
    <w:rsid w:val="0075473C"/>
    <w:rsid w:val="007548E7"/>
    <w:rsid w:val="00754D1B"/>
    <w:rsid w:val="007550BC"/>
    <w:rsid w:val="007550EF"/>
    <w:rsid w:val="0075513F"/>
    <w:rsid w:val="0075583B"/>
    <w:rsid w:val="00756057"/>
    <w:rsid w:val="007561E8"/>
    <w:rsid w:val="0075643C"/>
    <w:rsid w:val="00756734"/>
    <w:rsid w:val="007575AB"/>
    <w:rsid w:val="0075776A"/>
    <w:rsid w:val="007577C7"/>
    <w:rsid w:val="0075788E"/>
    <w:rsid w:val="00757972"/>
    <w:rsid w:val="00757ADE"/>
    <w:rsid w:val="00757FC9"/>
    <w:rsid w:val="00760358"/>
    <w:rsid w:val="007603CE"/>
    <w:rsid w:val="0076056C"/>
    <w:rsid w:val="00760610"/>
    <w:rsid w:val="0076065D"/>
    <w:rsid w:val="007608EF"/>
    <w:rsid w:val="00760ADB"/>
    <w:rsid w:val="00760C42"/>
    <w:rsid w:val="00761212"/>
    <w:rsid w:val="00761BD3"/>
    <w:rsid w:val="0076238C"/>
    <w:rsid w:val="007623AE"/>
    <w:rsid w:val="00763362"/>
    <w:rsid w:val="0076355C"/>
    <w:rsid w:val="0076399B"/>
    <w:rsid w:val="00763AA2"/>
    <w:rsid w:val="00763BC7"/>
    <w:rsid w:val="00763D76"/>
    <w:rsid w:val="00763EBF"/>
    <w:rsid w:val="0076427E"/>
    <w:rsid w:val="007642E0"/>
    <w:rsid w:val="00764409"/>
    <w:rsid w:val="00764747"/>
    <w:rsid w:val="00765017"/>
    <w:rsid w:val="00765DB9"/>
    <w:rsid w:val="00766315"/>
    <w:rsid w:val="0076638B"/>
    <w:rsid w:val="0076665A"/>
    <w:rsid w:val="0076696D"/>
    <w:rsid w:val="00766A14"/>
    <w:rsid w:val="00766B57"/>
    <w:rsid w:val="00766B58"/>
    <w:rsid w:val="00766F90"/>
    <w:rsid w:val="007670D1"/>
    <w:rsid w:val="00767515"/>
    <w:rsid w:val="007675CD"/>
    <w:rsid w:val="00767BEA"/>
    <w:rsid w:val="00770012"/>
    <w:rsid w:val="007701AE"/>
    <w:rsid w:val="0077045E"/>
    <w:rsid w:val="00770D49"/>
    <w:rsid w:val="00770F8A"/>
    <w:rsid w:val="007712AD"/>
    <w:rsid w:val="0077149B"/>
    <w:rsid w:val="0077150F"/>
    <w:rsid w:val="0077155F"/>
    <w:rsid w:val="00771DF6"/>
    <w:rsid w:val="00771EEC"/>
    <w:rsid w:val="007722DA"/>
    <w:rsid w:val="00772638"/>
    <w:rsid w:val="00772994"/>
    <w:rsid w:val="00772CB2"/>
    <w:rsid w:val="00773189"/>
    <w:rsid w:val="007732FA"/>
    <w:rsid w:val="00773301"/>
    <w:rsid w:val="00773598"/>
    <w:rsid w:val="00773CEC"/>
    <w:rsid w:val="00773E35"/>
    <w:rsid w:val="00773F43"/>
    <w:rsid w:val="007740A3"/>
    <w:rsid w:val="007740F5"/>
    <w:rsid w:val="00774159"/>
    <w:rsid w:val="00774808"/>
    <w:rsid w:val="00774BC2"/>
    <w:rsid w:val="007751C3"/>
    <w:rsid w:val="0077556B"/>
    <w:rsid w:val="0077566A"/>
    <w:rsid w:val="0077571B"/>
    <w:rsid w:val="0077587F"/>
    <w:rsid w:val="00775B0C"/>
    <w:rsid w:val="00775C5E"/>
    <w:rsid w:val="00775ECE"/>
    <w:rsid w:val="00776172"/>
    <w:rsid w:val="0077640E"/>
    <w:rsid w:val="00776522"/>
    <w:rsid w:val="00776917"/>
    <w:rsid w:val="00776944"/>
    <w:rsid w:val="00776971"/>
    <w:rsid w:val="00776EA6"/>
    <w:rsid w:val="00777391"/>
    <w:rsid w:val="007773EE"/>
    <w:rsid w:val="00777EEA"/>
    <w:rsid w:val="00780183"/>
    <w:rsid w:val="0078026B"/>
    <w:rsid w:val="0078044D"/>
    <w:rsid w:val="007809B6"/>
    <w:rsid w:val="00781133"/>
    <w:rsid w:val="00781333"/>
    <w:rsid w:val="00782017"/>
    <w:rsid w:val="00782019"/>
    <w:rsid w:val="007820D8"/>
    <w:rsid w:val="007821DF"/>
    <w:rsid w:val="00782259"/>
    <w:rsid w:val="007822AF"/>
    <w:rsid w:val="007825B7"/>
    <w:rsid w:val="0078298B"/>
    <w:rsid w:val="00782DE3"/>
    <w:rsid w:val="007830C8"/>
    <w:rsid w:val="007833BB"/>
    <w:rsid w:val="0078343C"/>
    <w:rsid w:val="00783AFD"/>
    <w:rsid w:val="00783D8E"/>
    <w:rsid w:val="00783E0E"/>
    <w:rsid w:val="00783E29"/>
    <w:rsid w:val="00784314"/>
    <w:rsid w:val="0078467D"/>
    <w:rsid w:val="00784BDA"/>
    <w:rsid w:val="00784E92"/>
    <w:rsid w:val="0078523D"/>
    <w:rsid w:val="007852B3"/>
    <w:rsid w:val="0078533F"/>
    <w:rsid w:val="007854EF"/>
    <w:rsid w:val="0078552F"/>
    <w:rsid w:val="00785652"/>
    <w:rsid w:val="0078670A"/>
    <w:rsid w:val="0078679F"/>
    <w:rsid w:val="0078682E"/>
    <w:rsid w:val="00786C79"/>
    <w:rsid w:val="0078709D"/>
    <w:rsid w:val="007877C7"/>
    <w:rsid w:val="007879EA"/>
    <w:rsid w:val="00790004"/>
    <w:rsid w:val="00790086"/>
    <w:rsid w:val="0079014E"/>
    <w:rsid w:val="007903A9"/>
    <w:rsid w:val="00790636"/>
    <w:rsid w:val="0079070D"/>
    <w:rsid w:val="007907BA"/>
    <w:rsid w:val="00790AE8"/>
    <w:rsid w:val="00790C20"/>
    <w:rsid w:val="00791119"/>
    <w:rsid w:val="007916EE"/>
    <w:rsid w:val="00791DAC"/>
    <w:rsid w:val="00791EA2"/>
    <w:rsid w:val="00791F0E"/>
    <w:rsid w:val="00792109"/>
    <w:rsid w:val="00792383"/>
    <w:rsid w:val="0079261E"/>
    <w:rsid w:val="00792E0E"/>
    <w:rsid w:val="00792F15"/>
    <w:rsid w:val="00793212"/>
    <w:rsid w:val="00793251"/>
    <w:rsid w:val="00793335"/>
    <w:rsid w:val="00793482"/>
    <w:rsid w:val="007939D2"/>
    <w:rsid w:val="0079454F"/>
    <w:rsid w:val="00794560"/>
    <w:rsid w:val="00794662"/>
    <w:rsid w:val="007949E9"/>
    <w:rsid w:val="00794A2F"/>
    <w:rsid w:val="00794A95"/>
    <w:rsid w:val="0079506A"/>
    <w:rsid w:val="007957FA"/>
    <w:rsid w:val="00795C82"/>
    <w:rsid w:val="00795E57"/>
    <w:rsid w:val="0079673F"/>
    <w:rsid w:val="007969EC"/>
    <w:rsid w:val="00796B81"/>
    <w:rsid w:val="0079721A"/>
    <w:rsid w:val="00797498"/>
    <w:rsid w:val="007975B9"/>
    <w:rsid w:val="007977F9"/>
    <w:rsid w:val="00797897"/>
    <w:rsid w:val="007A0014"/>
    <w:rsid w:val="007A008D"/>
    <w:rsid w:val="007A03C5"/>
    <w:rsid w:val="007A0469"/>
    <w:rsid w:val="007A04C6"/>
    <w:rsid w:val="007A0621"/>
    <w:rsid w:val="007A06BB"/>
    <w:rsid w:val="007A07FC"/>
    <w:rsid w:val="007A0A6E"/>
    <w:rsid w:val="007A0D31"/>
    <w:rsid w:val="007A11ED"/>
    <w:rsid w:val="007A13AF"/>
    <w:rsid w:val="007A1631"/>
    <w:rsid w:val="007A1796"/>
    <w:rsid w:val="007A1B1F"/>
    <w:rsid w:val="007A221A"/>
    <w:rsid w:val="007A2402"/>
    <w:rsid w:val="007A251F"/>
    <w:rsid w:val="007A25D5"/>
    <w:rsid w:val="007A2647"/>
    <w:rsid w:val="007A265D"/>
    <w:rsid w:val="007A2DAB"/>
    <w:rsid w:val="007A3433"/>
    <w:rsid w:val="007A3652"/>
    <w:rsid w:val="007A388E"/>
    <w:rsid w:val="007A38D4"/>
    <w:rsid w:val="007A398C"/>
    <w:rsid w:val="007A3C90"/>
    <w:rsid w:val="007A3D1F"/>
    <w:rsid w:val="007A3E8D"/>
    <w:rsid w:val="007A3EB6"/>
    <w:rsid w:val="007A3FC6"/>
    <w:rsid w:val="007A41B1"/>
    <w:rsid w:val="007A425A"/>
    <w:rsid w:val="007A5527"/>
    <w:rsid w:val="007A56AD"/>
    <w:rsid w:val="007A5A41"/>
    <w:rsid w:val="007A5BCD"/>
    <w:rsid w:val="007A5CF8"/>
    <w:rsid w:val="007A5E0C"/>
    <w:rsid w:val="007A5E5A"/>
    <w:rsid w:val="007A630E"/>
    <w:rsid w:val="007A63E6"/>
    <w:rsid w:val="007A6405"/>
    <w:rsid w:val="007A6757"/>
    <w:rsid w:val="007A676B"/>
    <w:rsid w:val="007A68A0"/>
    <w:rsid w:val="007A6B37"/>
    <w:rsid w:val="007A7003"/>
    <w:rsid w:val="007A791E"/>
    <w:rsid w:val="007A7AAC"/>
    <w:rsid w:val="007A7C03"/>
    <w:rsid w:val="007A7EC5"/>
    <w:rsid w:val="007B0048"/>
    <w:rsid w:val="007B05D1"/>
    <w:rsid w:val="007B0A48"/>
    <w:rsid w:val="007B0AE0"/>
    <w:rsid w:val="007B0D77"/>
    <w:rsid w:val="007B121D"/>
    <w:rsid w:val="007B1224"/>
    <w:rsid w:val="007B13BE"/>
    <w:rsid w:val="007B21D7"/>
    <w:rsid w:val="007B22C4"/>
    <w:rsid w:val="007B278E"/>
    <w:rsid w:val="007B2925"/>
    <w:rsid w:val="007B2B93"/>
    <w:rsid w:val="007B2DFF"/>
    <w:rsid w:val="007B366F"/>
    <w:rsid w:val="007B3909"/>
    <w:rsid w:val="007B3C15"/>
    <w:rsid w:val="007B418B"/>
    <w:rsid w:val="007B4696"/>
    <w:rsid w:val="007B4806"/>
    <w:rsid w:val="007B5162"/>
    <w:rsid w:val="007B5225"/>
    <w:rsid w:val="007B5B6C"/>
    <w:rsid w:val="007B5C08"/>
    <w:rsid w:val="007B5C63"/>
    <w:rsid w:val="007B5DFF"/>
    <w:rsid w:val="007B6144"/>
    <w:rsid w:val="007B637D"/>
    <w:rsid w:val="007B6954"/>
    <w:rsid w:val="007B6DA6"/>
    <w:rsid w:val="007B7AE4"/>
    <w:rsid w:val="007B7BAB"/>
    <w:rsid w:val="007B7BD7"/>
    <w:rsid w:val="007B7DE2"/>
    <w:rsid w:val="007C0935"/>
    <w:rsid w:val="007C0AD2"/>
    <w:rsid w:val="007C0D7E"/>
    <w:rsid w:val="007C0F9D"/>
    <w:rsid w:val="007C1030"/>
    <w:rsid w:val="007C1081"/>
    <w:rsid w:val="007C1360"/>
    <w:rsid w:val="007C15DF"/>
    <w:rsid w:val="007C165B"/>
    <w:rsid w:val="007C170E"/>
    <w:rsid w:val="007C17BD"/>
    <w:rsid w:val="007C1899"/>
    <w:rsid w:val="007C1DFF"/>
    <w:rsid w:val="007C20A7"/>
    <w:rsid w:val="007C2118"/>
    <w:rsid w:val="007C220D"/>
    <w:rsid w:val="007C2323"/>
    <w:rsid w:val="007C233D"/>
    <w:rsid w:val="007C26D4"/>
    <w:rsid w:val="007C2B2B"/>
    <w:rsid w:val="007C2C20"/>
    <w:rsid w:val="007C30B0"/>
    <w:rsid w:val="007C30B9"/>
    <w:rsid w:val="007C3162"/>
    <w:rsid w:val="007C31AB"/>
    <w:rsid w:val="007C370A"/>
    <w:rsid w:val="007C3A87"/>
    <w:rsid w:val="007C3B7E"/>
    <w:rsid w:val="007C4C17"/>
    <w:rsid w:val="007C51E3"/>
    <w:rsid w:val="007C5237"/>
    <w:rsid w:val="007C54AF"/>
    <w:rsid w:val="007C573E"/>
    <w:rsid w:val="007C5CCA"/>
    <w:rsid w:val="007C5CED"/>
    <w:rsid w:val="007C6671"/>
    <w:rsid w:val="007C725B"/>
    <w:rsid w:val="007C7388"/>
    <w:rsid w:val="007C7506"/>
    <w:rsid w:val="007C771D"/>
    <w:rsid w:val="007C7F8A"/>
    <w:rsid w:val="007D0050"/>
    <w:rsid w:val="007D0338"/>
    <w:rsid w:val="007D03EB"/>
    <w:rsid w:val="007D07E8"/>
    <w:rsid w:val="007D0B6A"/>
    <w:rsid w:val="007D0BA8"/>
    <w:rsid w:val="007D104A"/>
    <w:rsid w:val="007D1387"/>
    <w:rsid w:val="007D1AE2"/>
    <w:rsid w:val="007D1B34"/>
    <w:rsid w:val="007D1BB7"/>
    <w:rsid w:val="007D1C8F"/>
    <w:rsid w:val="007D1D99"/>
    <w:rsid w:val="007D1E7F"/>
    <w:rsid w:val="007D1F25"/>
    <w:rsid w:val="007D2154"/>
    <w:rsid w:val="007D244B"/>
    <w:rsid w:val="007D259D"/>
    <w:rsid w:val="007D2EA0"/>
    <w:rsid w:val="007D315A"/>
    <w:rsid w:val="007D3283"/>
    <w:rsid w:val="007D32B1"/>
    <w:rsid w:val="007D3A56"/>
    <w:rsid w:val="007D444C"/>
    <w:rsid w:val="007D4C22"/>
    <w:rsid w:val="007D4D8A"/>
    <w:rsid w:val="007D4F2E"/>
    <w:rsid w:val="007D5844"/>
    <w:rsid w:val="007D584F"/>
    <w:rsid w:val="007D5AA3"/>
    <w:rsid w:val="007D5E50"/>
    <w:rsid w:val="007D61B0"/>
    <w:rsid w:val="007D666C"/>
    <w:rsid w:val="007D6755"/>
    <w:rsid w:val="007D6B32"/>
    <w:rsid w:val="007D6E5D"/>
    <w:rsid w:val="007D7047"/>
    <w:rsid w:val="007D75C8"/>
    <w:rsid w:val="007D76C1"/>
    <w:rsid w:val="007D7F16"/>
    <w:rsid w:val="007E02DE"/>
    <w:rsid w:val="007E055D"/>
    <w:rsid w:val="007E0997"/>
    <w:rsid w:val="007E0DB0"/>
    <w:rsid w:val="007E10D8"/>
    <w:rsid w:val="007E1726"/>
    <w:rsid w:val="007E1778"/>
    <w:rsid w:val="007E1927"/>
    <w:rsid w:val="007E1BCB"/>
    <w:rsid w:val="007E1BF3"/>
    <w:rsid w:val="007E1C4F"/>
    <w:rsid w:val="007E1D01"/>
    <w:rsid w:val="007E2297"/>
    <w:rsid w:val="007E265F"/>
    <w:rsid w:val="007E26D7"/>
    <w:rsid w:val="007E2725"/>
    <w:rsid w:val="007E27B8"/>
    <w:rsid w:val="007E2EC6"/>
    <w:rsid w:val="007E2FE8"/>
    <w:rsid w:val="007E3083"/>
    <w:rsid w:val="007E3291"/>
    <w:rsid w:val="007E3CC5"/>
    <w:rsid w:val="007E3F78"/>
    <w:rsid w:val="007E4211"/>
    <w:rsid w:val="007E4394"/>
    <w:rsid w:val="007E4C51"/>
    <w:rsid w:val="007E4CF4"/>
    <w:rsid w:val="007E4E7E"/>
    <w:rsid w:val="007E5604"/>
    <w:rsid w:val="007E5956"/>
    <w:rsid w:val="007E602B"/>
    <w:rsid w:val="007E6070"/>
    <w:rsid w:val="007E6880"/>
    <w:rsid w:val="007E6B3F"/>
    <w:rsid w:val="007E6E58"/>
    <w:rsid w:val="007E6F6E"/>
    <w:rsid w:val="007E7356"/>
    <w:rsid w:val="007E73AE"/>
    <w:rsid w:val="007E7AA1"/>
    <w:rsid w:val="007E7E69"/>
    <w:rsid w:val="007F0494"/>
    <w:rsid w:val="007F080C"/>
    <w:rsid w:val="007F1265"/>
    <w:rsid w:val="007F1407"/>
    <w:rsid w:val="007F1801"/>
    <w:rsid w:val="007F19F9"/>
    <w:rsid w:val="007F1E06"/>
    <w:rsid w:val="007F2126"/>
    <w:rsid w:val="007F226A"/>
    <w:rsid w:val="007F269E"/>
    <w:rsid w:val="007F2931"/>
    <w:rsid w:val="007F29E2"/>
    <w:rsid w:val="007F2A60"/>
    <w:rsid w:val="007F2C6B"/>
    <w:rsid w:val="007F2F07"/>
    <w:rsid w:val="007F362C"/>
    <w:rsid w:val="007F5051"/>
    <w:rsid w:val="007F54B7"/>
    <w:rsid w:val="007F5DD6"/>
    <w:rsid w:val="007F6041"/>
    <w:rsid w:val="007F616F"/>
    <w:rsid w:val="007F6726"/>
    <w:rsid w:val="007F6EC3"/>
    <w:rsid w:val="007F6FDA"/>
    <w:rsid w:val="007F7077"/>
    <w:rsid w:val="007F7233"/>
    <w:rsid w:val="007F74D5"/>
    <w:rsid w:val="007F7737"/>
    <w:rsid w:val="007F7A04"/>
    <w:rsid w:val="007F7BE7"/>
    <w:rsid w:val="007F7D29"/>
    <w:rsid w:val="007F7D3A"/>
    <w:rsid w:val="007F7F25"/>
    <w:rsid w:val="008000F7"/>
    <w:rsid w:val="0080073D"/>
    <w:rsid w:val="008008DD"/>
    <w:rsid w:val="00800947"/>
    <w:rsid w:val="00800B9D"/>
    <w:rsid w:val="00801224"/>
    <w:rsid w:val="008013C7"/>
    <w:rsid w:val="00801A0A"/>
    <w:rsid w:val="008021AE"/>
    <w:rsid w:val="00802C1A"/>
    <w:rsid w:val="0080307A"/>
    <w:rsid w:val="008035CD"/>
    <w:rsid w:val="00803836"/>
    <w:rsid w:val="00804679"/>
    <w:rsid w:val="00804AE9"/>
    <w:rsid w:val="00805120"/>
    <w:rsid w:val="00805282"/>
    <w:rsid w:val="008054C9"/>
    <w:rsid w:val="008057AB"/>
    <w:rsid w:val="00805816"/>
    <w:rsid w:val="008059C5"/>
    <w:rsid w:val="00805C36"/>
    <w:rsid w:val="00805D1F"/>
    <w:rsid w:val="00805E8E"/>
    <w:rsid w:val="00806213"/>
    <w:rsid w:val="0080626B"/>
    <w:rsid w:val="008062D9"/>
    <w:rsid w:val="00806B06"/>
    <w:rsid w:val="008074F6"/>
    <w:rsid w:val="00807ABF"/>
    <w:rsid w:val="00807BF3"/>
    <w:rsid w:val="0081007D"/>
    <w:rsid w:val="00810199"/>
    <w:rsid w:val="008102EE"/>
    <w:rsid w:val="008104AD"/>
    <w:rsid w:val="00810919"/>
    <w:rsid w:val="00810AEA"/>
    <w:rsid w:val="00810C0C"/>
    <w:rsid w:val="008111E8"/>
    <w:rsid w:val="0081162C"/>
    <w:rsid w:val="00811D9D"/>
    <w:rsid w:val="00812342"/>
    <w:rsid w:val="0081270B"/>
    <w:rsid w:val="008129D3"/>
    <w:rsid w:val="00812D7C"/>
    <w:rsid w:val="008138E3"/>
    <w:rsid w:val="00813923"/>
    <w:rsid w:val="00813CA0"/>
    <w:rsid w:val="00814267"/>
    <w:rsid w:val="00814749"/>
    <w:rsid w:val="0081502D"/>
    <w:rsid w:val="00815153"/>
    <w:rsid w:val="00815AA5"/>
    <w:rsid w:val="0081607A"/>
    <w:rsid w:val="0081611C"/>
    <w:rsid w:val="0081678B"/>
    <w:rsid w:val="0081698D"/>
    <w:rsid w:val="00816DFE"/>
    <w:rsid w:val="00817642"/>
    <w:rsid w:val="00817988"/>
    <w:rsid w:val="0082053B"/>
    <w:rsid w:val="00820A9B"/>
    <w:rsid w:val="00820BB9"/>
    <w:rsid w:val="008211DC"/>
    <w:rsid w:val="008216E6"/>
    <w:rsid w:val="008218D9"/>
    <w:rsid w:val="00821986"/>
    <w:rsid w:val="00822607"/>
    <w:rsid w:val="00822E66"/>
    <w:rsid w:val="00823895"/>
    <w:rsid w:val="00823B5E"/>
    <w:rsid w:val="00823BFE"/>
    <w:rsid w:val="00823D4B"/>
    <w:rsid w:val="008245A3"/>
    <w:rsid w:val="008247C9"/>
    <w:rsid w:val="008247D6"/>
    <w:rsid w:val="00824CFC"/>
    <w:rsid w:val="00825175"/>
    <w:rsid w:val="00825470"/>
    <w:rsid w:val="00825591"/>
    <w:rsid w:val="008255DC"/>
    <w:rsid w:val="0082622C"/>
    <w:rsid w:val="008264A0"/>
    <w:rsid w:val="008269CD"/>
    <w:rsid w:val="00826AAB"/>
    <w:rsid w:val="00827308"/>
    <w:rsid w:val="00827408"/>
    <w:rsid w:val="00827B69"/>
    <w:rsid w:val="00827DA4"/>
    <w:rsid w:val="00830420"/>
    <w:rsid w:val="0083049D"/>
    <w:rsid w:val="008305DA"/>
    <w:rsid w:val="0083062E"/>
    <w:rsid w:val="00830978"/>
    <w:rsid w:val="0083126C"/>
    <w:rsid w:val="00831681"/>
    <w:rsid w:val="008317F6"/>
    <w:rsid w:val="00831BC5"/>
    <w:rsid w:val="00831E76"/>
    <w:rsid w:val="0083218F"/>
    <w:rsid w:val="00832392"/>
    <w:rsid w:val="008325DF"/>
    <w:rsid w:val="00832655"/>
    <w:rsid w:val="00832805"/>
    <w:rsid w:val="00832B31"/>
    <w:rsid w:val="00832F83"/>
    <w:rsid w:val="00833668"/>
    <w:rsid w:val="00833CD3"/>
    <w:rsid w:val="00833E37"/>
    <w:rsid w:val="0083418C"/>
    <w:rsid w:val="00834297"/>
    <w:rsid w:val="00834476"/>
    <w:rsid w:val="0083477B"/>
    <w:rsid w:val="00835087"/>
    <w:rsid w:val="00835103"/>
    <w:rsid w:val="008357D8"/>
    <w:rsid w:val="00836025"/>
    <w:rsid w:val="00836084"/>
    <w:rsid w:val="008362F8"/>
    <w:rsid w:val="00836D6B"/>
    <w:rsid w:val="00836E15"/>
    <w:rsid w:val="0083731D"/>
    <w:rsid w:val="0083736F"/>
    <w:rsid w:val="00837613"/>
    <w:rsid w:val="00837CC5"/>
    <w:rsid w:val="00837E14"/>
    <w:rsid w:val="008401B7"/>
    <w:rsid w:val="00840B18"/>
    <w:rsid w:val="00840B23"/>
    <w:rsid w:val="00840B26"/>
    <w:rsid w:val="00840F3C"/>
    <w:rsid w:val="008411C3"/>
    <w:rsid w:val="008412C0"/>
    <w:rsid w:val="0084188D"/>
    <w:rsid w:val="00842376"/>
    <w:rsid w:val="00842E7B"/>
    <w:rsid w:val="00842ECF"/>
    <w:rsid w:val="00842EF6"/>
    <w:rsid w:val="00843154"/>
    <w:rsid w:val="00843417"/>
    <w:rsid w:val="00843613"/>
    <w:rsid w:val="00843740"/>
    <w:rsid w:val="00843A87"/>
    <w:rsid w:val="00843CC0"/>
    <w:rsid w:val="00843F4C"/>
    <w:rsid w:val="008441C9"/>
    <w:rsid w:val="008444DF"/>
    <w:rsid w:val="0084478A"/>
    <w:rsid w:val="00844B07"/>
    <w:rsid w:val="00844C8C"/>
    <w:rsid w:val="00844F80"/>
    <w:rsid w:val="008459FD"/>
    <w:rsid w:val="00845DBA"/>
    <w:rsid w:val="00845FF9"/>
    <w:rsid w:val="00846EF2"/>
    <w:rsid w:val="00847107"/>
    <w:rsid w:val="00847330"/>
    <w:rsid w:val="00847529"/>
    <w:rsid w:val="008475C9"/>
    <w:rsid w:val="008476B0"/>
    <w:rsid w:val="00847721"/>
    <w:rsid w:val="00847ABF"/>
    <w:rsid w:val="00847E2F"/>
    <w:rsid w:val="008502D9"/>
    <w:rsid w:val="00850348"/>
    <w:rsid w:val="00850666"/>
    <w:rsid w:val="00851821"/>
    <w:rsid w:val="00851A54"/>
    <w:rsid w:val="00851B81"/>
    <w:rsid w:val="00852226"/>
    <w:rsid w:val="0085281D"/>
    <w:rsid w:val="00852A96"/>
    <w:rsid w:val="00853682"/>
    <w:rsid w:val="00853BA0"/>
    <w:rsid w:val="00853C63"/>
    <w:rsid w:val="00853F5E"/>
    <w:rsid w:val="00854026"/>
    <w:rsid w:val="00854118"/>
    <w:rsid w:val="00854688"/>
    <w:rsid w:val="008548DE"/>
    <w:rsid w:val="00854CF4"/>
    <w:rsid w:val="00854E39"/>
    <w:rsid w:val="008550A6"/>
    <w:rsid w:val="00855320"/>
    <w:rsid w:val="00855577"/>
    <w:rsid w:val="008555A9"/>
    <w:rsid w:val="008555DB"/>
    <w:rsid w:val="008556A3"/>
    <w:rsid w:val="00855959"/>
    <w:rsid w:val="008559B3"/>
    <w:rsid w:val="00855A1F"/>
    <w:rsid w:val="00855A83"/>
    <w:rsid w:val="00855ADE"/>
    <w:rsid w:val="00856437"/>
    <w:rsid w:val="00856524"/>
    <w:rsid w:val="0085663A"/>
    <w:rsid w:val="00856666"/>
    <w:rsid w:val="00856980"/>
    <w:rsid w:val="00856C88"/>
    <w:rsid w:val="00857142"/>
    <w:rsid w:val="008573C1"/>
    <w:rsid w:val="008600AF"/>
    <w:rsid w:val="008602C3"/>
    <w:rsid w:val="008604CC"/>
    <w:rsid w:val="0086069A"/>
    <w:rsid w:val="00860B23"/>
    <w:rsid w:val="00860F7F"/>
    <w:rsid w:val="00861056"/>
    <w:rsid w:val="008615A0"/>
    <w:rsid w:val="0086176A"/>
    <w:rsid w:val="008619CF"/>
    <w:rsid w:val="00861A46"/>
    <w:rsid w:val="00861C11"/>
    <w:rsid w:val="00861DD7"/>
    <w:rsid w:val="00862030"/>
    <w:rsid w:val="00862417"/>
    <w:rsid w:val="00862598"/>
    <w:rsid w:val="00862855"/>
    <w:rsid w:val="00862BC0"/>
    <w:rsid w:val="0086318C"/>
    <w:rsid w:val="008632F4"/>
    <w:rsid w:val="008634D0"/>
    <w:rsid w:val="008634DB"/>
    <w:rsid w:val="00863781"/>
    <w:rsid w:val="008639C8"/>
    <w:rsid w:val="00863BC0"/>
    <w:rsid w:val="00863FF2"/>
    <w:rsid w:val="00864087"/>
    <w:rsid w:val="0086417B"/>
    <w:rsid w:val="0086433B"/>
    <w:rsid w:val="00864468"/>
    <w:rsid w:val="008645DD"/>
    <w:rsid w:val="00864632"/>
    <w:rsid w:val="00864A15"/>
    <w:rsid w:val="00864A62"/>
    <w:rsid w:val="00864E8C"/>
    <w:rsid w:val="00864F22"/>
    <w:rsid w:val="008651A4"/>
    <w:rsid w:val="00865A0B"/>
    <w:rsid w:val="00865D10"/>
    <w:rsid w:val="00865D11"/>
    <w:rsid w:val="00865D6D"/>
    <w:rsid w:val="00865E35"/>
    <w:rsid w:val="00865E87"/>
    <w:rsid w:val="00866C6C"/>
    <w:rsid w:val="00866D65"/>
    <w:rsid w:val="00866DCB"/>
    <w:rsid w:val="00866FDD"/>
    <w:rsid w:val="00866FFE"/>
    <w:rsid w:val="008670F4"/>
    <w:rsid w:val="00867248"/>
    <w:rsid w:val="00867839"/>
    <w:rsid w:val="008679C0"/>
    <w:rsid w:val="008679E2"/>
    <w:rsid w:val="00867A86"/>
    <w:rsid w:val="00867D32"/>
    <w:rsid w:val="00870052"/>
    <w:rsid w:val="00870063"/>
    <w:rsid w:val="008701BF"/>
    <w:rsid w:val="00870725"/>
    <w:rsid w:val="008707AC"/>
    <w:rsid w:val="00870AD0"/>
    <w:rsid w:val="00870DE9"/>
    <w:rsid w:val="00871024"/>
    <w:rsid w:val="00871344"/>
    <w:rsid w:val="0087141B"/>
    <w:rsid w:val="0087174B"/>
    <w:rsid w:val="0087177F"/>
    <w:rsid w:val="00871899"/>
    <w:rsid w:val="00871BFF"/>
    <w:rsid w:val="00872034"/>
    <w:rsid w:val="008725B5"/>
    <w:rsid w:val="0087376E"/>
    <w:rsid w:val="00873777"/>
    <w:rsid w:val="00873D0A"/>
    <w:rsid w:val="00873DC9"/>
    <w:rsid w:val="00873E9D"/>
    <w:rsid w:val="00873EBD"/>
    <w:rsid w:val="008741E8"/>
    <w:rsid w:val="00874C3A"/>
    <w:rsid w:val="00874E2F"/>
    <w:rsid w:val="0087507E"/>
    <w:rsid w:val="0087511B"/>
    <w:rsid w:val="00875510"/>
    <w:rsid w:val="00875C01"/>
    <w:rsid w:val="00875D9D"/>
    <w:rsid w:val="00876411"/>
    <w:rsid w:val="00876557"/>
    <w:rsid w:val="0087668E"/>
    <w:rsid w:val="008766D1"/>
    <w:rsid w:val="00876ECA"/>
    <w:rsid w:val="0087721C"/>
    <w:rsid w:val="0087750B"/>
    <w:rsid w:val="0087771B"/>
    <w:rsid w:val="00877C8A"/>
    <w:rsid w:val="00880411"/>
    <w:rsid w:val="008804B4"/>
    <w:rsid w:val="00880609"/>
    <w:rsid w:val="00880A6A"/>
    <w:rsid w:val="00880A93"/>
    <w:rsid w:val="00880B10"/>
    <w:rsid w:val="00880D80"/>
    <w:rsid w:val="00880D8D"/>
    <w:rsid w:val="00880F3E"/>
    <w:rsid w:val="008818A9"/>
    <w:rsid w:val="008818FE"/>
    <w:rsid w:val="00881A78"/>
    <w:rsid w:val="00881BC7"/>
    <w:rsid w:val="00881E54"/>
    <w:rsid w:val="0088203C"/>
    <w:rsid w:val="008822F6"/>
    <w:rsid w:val="00882634"/>
    <w:rsid w:val="00882998"/>
    <w:rsid w:val="00882CAA"/>
    <w:rsid w:val="0088304B"/>
    <w:rsid w:val="008830D8"/>
    <w:rsid w:val="00883180"/>
    <w:rsid w:val="00883473"/>
    <w:rsid w:val="00883489"/>
    <w:rsid w:val="008835BA"/>
    <w:rsid w:val="008838FB"/>
    <w:rsid w:val="0088518C"/>
    <w:rsid w:val="0088585C"/>
    <w:rsid w:val="00885944"/>
    <w:rsid w:val="00885A61"/>
    <w:rsid w:val="00885C83"/>
    <w:rsid w:val="008860C7"/>
    <w:rsid w:val="0088611F"/>
    <w:rsid w:val="008861BA"/>
    <w:rsid w:val="00886225"/>
    <w:rsid w:val="00886681"/>
    <w:rsid w:val="008870DF"/>
    <w:rsid w:val="0089024D"/>
    <w:rsid w:val="008902DA"/>
    <w:rsid w:val="008907F0"/>
    <w:rsid w:val="008909DA"/>
    <w:rsid w:val="00890F30"/>
    <w:rsid w:val="00891AA8"/>
    <w:rsid w:val="0089235A"/>
    <w:rsid w:val="008926DD"/>
    <w:rsid w:val="00892A24"/>
    <w:rsid w:val="00892C9C"/>
    <w:rsid w:val="00892C9F"/>
    <w:rsid w:val="00892CDE"/>
    <w:rsid w:val="00892E52"/>
    <w:rsid w:val="00892FBD"/>
    <w:rsid w:val="00893282"/>
    <w:rsid w:val="008936FC"/>
    <w:rsid w:val="00893A48"/>
    <w:rsid w:val="00893C90"/>
    <w:rsid w:val="00893FD0"/>
    <w:rsid w:val="008943E5"/>
    <w:rsid w:val="00894BB9"/>
    <w:rsid w:val="00894C9F"/>
    <w:rsid w:val="008957ED"/>
    <w:rsid w:val="0089681C"/>
    <w:rsid w:val="00896C16"/>
    <w:rsid w:val="00896F7D"/>
    <w:rsid w:val="00897751"/>
    <w:rsid w:val="00897802"/>
    <w:rsid w:val="00897B01"/>
    <w:rsid w:val="00897BC9"/>
    <w:rsid w:val="00897E18"/>
    <w:rsid w:val="00897F68"/>
    <w:rsid w:val="008A0000"/>
    <w:rsid w:val="008A06D3"/>
    <w:rsid w:val="008A0842"/>
    <w:rsid w:val="008A0B6C"/>
    <w:rsid w:val="008A0F0B"/>
    <w:rsid w:val="008A0F2D"/>
    <w:rsid w:val="008A0FD8"/>
    <w:rsid w:val="008A10E4"/>
    <w:rsid w:val="008A1B85"/>
    <w:rsid w:val="008A1D94"/>
    <w:rsid w:val="008A2BD0"/>
    <w:rsid w:val="008A2CFB"/>
    <w:rsid w:val="008A2EF5"/>
    <w:rsid w:val="008A33DF"/>
    <w:rsid w:val="008A42CD"/>
    <w:rsid w:val="008A4686"/>
    <w:rsid w:val="008A5968"/>
    <w:rsid w:val="008A5A1F"/>
    <w:rsid w:val="008A65D8"/>
    <w:rsid w:val="008A68CD"/>
    <w:rsid w:val="008A6974"/>
    <w:rsid w:val="008A7494"/>
    <w:rsid w:val="008A7609"/>
    <w:rsid w:val="008A773C"/>
    <w:rsid w:val="008A780C"/>
    <w:rsid w:val="008A7B2F"/>
    <w:rsid w:val="008A7BC5"/>
    <w:rsid w:val="008B01AD"/>
    <w:rsid w:val="008B06E0"/>
    <w:rsid w:val="008B0745"/>
    <w:rsid w:val="008B0A65"/>
    <w:rsid w:val="008B0B2E"/>
    <w:rsid w:val="008B0C53"/>
    <w:rsid w:val="008B0DD6"/>
    <w:rsid w:val="008B0EE6"/>
    <w:rsid w:val="008B0FE6"/>
    <w:rsid w:val="008B1286"/>
    <w:rsid w:val="008B1895"/>
    <w:rsid w:val="008B195F"/>
    <w:rsid w:val="008B19BE"/>
    <w:rsid w:val="008B19D2"/>
    <w:rsid w:val="008B21E9"/>
    <w:rsid w:val="008B2678"/>
    <w:rsid w:val="008B33CE"/>
    <w:rsid w:val="008B36B6"/>
    <w:rsid w:val="008B4216"/>
    <w:rsid w:val="008B425A"/>
    <w:rsid w:val="008B4727"/>
    <w:rsid w:val="008B48CE"/>
    <w:rsid w:val="008B4C6D"/>
    <w:rsid w:val="008B4CD8"/>
    <w:rsid w:val="008B4FD3"/>
    <w:rsid w:val="008B52E5"/>
    <w:rsid w:val="008B52EF"/>
    <w:rsid w:val="008B5313"/>
    <w:rsid w:val="008B5813"/>
    <w:rsid w:val="008B5A92"/>
    <w:rsid w:val="008B5C1C"/>
    <w:rsid w:val="008B622E"/>
    <w:rsid w:val="008B627D"/>
    <w:rsid w:val="008B6925"/>
    <w:rsid w:val="008B6AA7"/>
    <w:rsid w:val="008B6BD1"/>
    <w:rsid w:val="008B6C00"/>
    <w:rsid w:val="008B6DD3"/>
    <w:rsid w:val="008B7857"/>
    <w:rsid w:val="008B7A8E"/>
    <w:rsid w:val="008B7FCD"/>
    <w:rsid w:val="008C0326"/>
    <w:rsid w:val="008C0554"/>
    <w:rsid w:val="008C0AD1"/>
    <w:rsid w:val="008C0CAA"/>
    <w:rsid w:val="008C0DC4"/>
    <w:rsid w:val="008C12CF"/>
    <w:rsid w:val="008C1A43"/>
    <w:rsid w:val="008C206B"/>
    <w:rsid w:val="008C21D2"/>
    <w:rsid w:val="008C2A0E"/>
    <w:rsid w:val="008C2C59"/>
    <w:rsid w:val="008C2D67"/>
    <w:rsid w:val="008C2FA2"/>
    <w:rsid w:val="008C33E1"/>
    <w:rsid w:val="008C39C7"/>
    <w:rsid w:val="008C3A16"/>
    <w:rsid w:val="008C3CAF"/>
    <w:rsid w:val="008C42EC"/>
    <w:rsid w:val="008C4418"/>
    <w:rsid w:val="008C4704"/>
    <w:rsid w:val="008C4949"/>
    <w:rsid w:val="008C4C7E"/>
    <w:rsid w:val="008C4D37"/>
    <w:rsid w:val="008C5118"/>
    <w:rsid w:val="008C51DA"/>
    <w:rsid w:val="008C54A3"/>
    <w:rsid w:val="008C572E"/>
    <w:rsid w:val="008C5A96"/>
    <w:rsid w:val="008C5DA0"/>
    <w:rsid w:val="008C604A"/>
    <w:rsid w:val="008C6295"/>
    <w:rsid w:val="008C62F0"/>
    <w:rsid w:val="008C63A6"/>
    <w:rsid w:val="008C64EE"/>
    <w:rsid w:val="008C65DB"/>
    <w:rsid w:val="008C6656"/>
    <w:rsid w:val="008C686C"/>
    <w:rsid w:val="008C68E0"/>
    <w:rsid w:val="008C6959"/>
    <w:rsid w:val="008C7023"/>
    <w:rsid w:val="008C71A2"/>
    <w:rsid w:val="008C7220"/>
    <w:rsid w:val="008C775F"/>
    <w:rsid w:val="008C7918"/>
    <w:rsid w:val="008C7A13"/>
    <w:rsid w:val="008D0611"/>
    <w:rsid w:val="008D0650"/>
    <w:rsid w:val="008D0EBE"/>
    <w:rsid w:val="008D0ED7"/>
    <w:rsid w:val="008D1220"/>
    <w:rsid w:val="008D16BF"/>
    <w:rsid w:val="008D1AAA"/>
    <w:rsid w:val="008D22BD"/>
    <w:rsid w:val="008D2585"/>
    <w:rsid w:val="008D267E"/>
    <w:rsid w:val="008D26CC"/>
    <w:rsid w:val="008D2ED8"/>
    <w:rsid w:val="008D2FFF"/>
    <w:rsid w:val="008D3160"/>
    <w:rsid w:val="008D3E49"/>
    <w:rsid w:val="008D400A"/>
    <w:rsid w:val="008D4505"/>
    <w:rsid w:val="008D45A5"/>
    <w:rsid w:val="008D47FE"/>
    <w:rsid w:val="008D4E62"/>
    <w:rsid w:val="008D4E95"/>
    <w:rsid w:val="008D5486"/>
    <w:rsid w:val="008D59CD"/>
    <w:rsid w:val="008D5CD0"/>
    <w:rsid w:val="008D6362"/>
    <w:rsid w:val="008D63DC"/>
    <w:rsid w:val="008D648F"/>
    <w:rsid w:val="008D64C0"/>
    <w:rsid w:val="008D672B"/>
    <w:rsid w:val="008D692D"/>
    <w:rsid w:val="008D6C32"/>
    <w:rsid w:val="008D6D70"/>
    <w:rsid w:val="008D6E3F"/>
    <w:rsid w:val="008D6F97"/>
    <w:rsid w:val="008D73DA"/>
    <w:rsid w:val="008D772C"/>
    <w:rsid w:val="008D7B87"/>
    <w:rsid w:val="008D7FCD"/>
    <w:rsid w:val="008E0429"/>
    <w:rsid w:val="008E0691"/>
    <w:rsid w:val="008E1526"/>
    <w:rsid w:val="008E16D4"/>
    <w:rsid w:val="008E176E"/>
    <w:rsid w:val="008E1C76"/>
    <w:rsid w:val="008E1F87"/>
    <w:rsid w:val="008E2744"/>
    <w:rsid w:val="008E27D0"/>
    <w:rsid w:val="008E28C2"/>
    <w:rsid w:val="008E296B"/>
    <w:rsid w:val="008E2AAE"/>
    <w:rsid w:val="008E2FB4"/>
    <w:rsid w:val="008E3047"/>
    <w:rsid w:val="008E3461"/>
    <w:rsid w:val="008E36E4"/>
    <w:rsid w:val="008E3815"/>
    <w:rsid w:val="008E39A4"/>
    <w:rsid w:val="008E3D45"/>
    <w:rsid w:val="008E3F17"/>
    <w:rsid w:val="008E436C"/>
    <w:rsid w:val="008E4922"/>
    <w:rsid w:val="008E566A"/>
    <w:rsid w:val="008E5937"/>
    <w:rsid w:val="008E59B2"/>
    <w:rsid w:val="008E59CA"/>
    <w:rsid w:val="008E5D69"/>
    <w:rsid w:val="008E5F15"/>
    <w:rsid w:val="008E5F5A"/>
    <w:rsid w:val="008E618D"/>
    <w:rsid w:val="008E620D"/>
    <w:rsid w:val="008E66EE"/>
    <w:rsid w:val="008E6980"/>
    <w:rsid w:val="008E6B52"/>
    <w:rsid w:val="008E7026"/>
    <w:rsid w:val="008E7152"/>
    <w:rsid w:val="008E73E4"/>
    <w:rsid w:val="008E748D"/>
    <w:rsid w:val="008E7683"/>
    <w:rsid w:val="008E77BE"/>
    <w:rsid w:val="008E7839"/>
    <w:rsid w:val="008E7EC7"/>
    <w:rsid w:val="008F0720"/>
    <w:rsid w:val="008F0B17"/>
    <w:rsid w:val="008F0DD4"/>
    <w:rsid w:val="008F0E69"/>
    <w:rsid w:val="008F182E"/>
    <w:rsid w:val="008F1A95"/>
    <w:rsid w:val="008F1DDC"/>
    <w:rsid w:val="008F2516"/>
    <w:rsid w:val="008F25DF"/>
    <w:rsid w:val="008F2615"/>
    <w:rsid w:val="008F32A9"/>
    <w:rsid w:val="008F3909"/>
    <w:rsid w:val="008F3C40"/>
    <w:rsid w:val="008F459B"/>
    <w:rsid w:val="008F4979"/>
    <w:rsid w:val="008F4C8B"/>
    <w:rsid w:val="008F4CDC"/>
    <w:rsid w:val="008F4D06"/>
    <w:rsid w:val="008F5464"/>
    <w:rsid w:val="008F5AB4"/>
    <w:rsid w:val="008F5AEB"/>
    <w:rsid w:val="008F5F61"/>
    <w:rsid w:val="008F63BB"/>
    <w:rsid w:val="008F681E"/>
    <w:rsid w:val="008F6C1E"/>
    <w:rsid w:val="008F7671"/>
    <w:rsid w:val="008F7B62"/>
    <w:rsid w:val="008F7B7E"/>
    <w:rsid w:val="008F7C3C"/>
    <w:rsid w:val="00900096"/>
    <w:rsid w:val="0090010B"/>
    <w:rsid w:val="0090060F"/>
    <w:rsid w:val="009009AD"/>
    <w:rsid w:val="009009C1"/>
    <w:rsid w:val="00900C2F"/>
    <w:rsid w:val="00900E78"/>
    <w:rsid w:val="0090117D"/>
    <w:rsid w:val="009013F8"/>
    <w:rsid w:val="0090158C"/>
    <w:rsid w:val="009016EC"/>
    <w:rsid w:val="0090174F"/>
    <w:rsid w:val="0090184D"/>
    <w:rsid w:val="00901FE3"/>
    <w:rsid w:val="00901FF8"/>
    <w:rsid w:val="009029AD"/>
    <w:rsid w:val="0090387E"/>
    <w:rsid w:val="00903E76"/>
    <w:rsid w:val="009045DE"/>
    <w:rsid w:val="009053D9"/>
    <w:rsid w:val="00905481"/>
    <w:rsid w:val="009055EF"/>
    <w:rsid w:val="009056A1"/>
    <w:rsid w:val="00905797"/>
    <w:rsid w:val="00905B80"/>
    <w:rsid w:val="00905B8A"/>
    <w:rsid w:val="00905E7B"/>
    <w:rsid w:val="0090764F"/>
    <w:rsid w:val="0090768D"/>
    <w:rsid w:val="00907979"/>
    <w:rsid w:val="00907D0F"/>
    <w:rsid w:val="0091111F"/>
    <w:rsid w:val="00912473"/>
    <w:rsid w:val="009125C9"/>
    <w:rsid w:val="00912B9E"/>
    <w:rsid w:val="00913059"/>
    <w:rsid w:val="00913199"/>
    <w:rsid w:val="009136B0"/>
    <w:rsid w:val="00913E46"/>
    <w:rsid w:val="00913E8A"/>
    <w:rsid w:val="00913F8B"/>
    <w:rsid w:val="00914166"/>
    <w:rsid w:val="009146F7"/>
    <w:rsid w:val="00914D4F"/>
    <w:rsid w:val="00914E5E"/>
    <w:rsid w:val="009156F8"/>
    <w:rsid w:val="00915B67"/>
    <w:rsid w:val="00915E8A"/>
    <w:rsid w:val="00915F2A"/>
    <w:rsid w:val="0091667B"/>
    <w:rsid w:val="00916976"/>
    <w:rsid w:val="009169D3"/>
    <w:rsid w:val="00916B1B"/>
    <w:rsid w:val="00916F62"/>
    <w:rsid w:val="009171C8"/>
    <w:rsid w:val="00917284"/>
    <w:rsid w:val="0091740B"/>
    <w:rsid w:val="009179BD"/>
    <w:rsid w:val="00917CFB"/>
    <w:rsid w:val="00917F23"/>
    <w:rsid w:val="009205EF"/>
    <w:rsid w:val="00920D78"/>
    <w:rsid w:val="00920EE3"/>
    <w:rsid w:val="00920EF2"/>
    <w:rsid w:val="0092105A"/>
    <w:rsid w:val="009211D7"/>
    <w:rsid w:val="0092126E"/>
    <w:rsid w:val="009213C6"/>
    <w:rsid w:val="0092146A"/>
    <w:rsid w:val="00921CE2"/>
    <w:rsid w:val="00921DE1"/>
    <w:rsid w:val="00921E86"/>
    <w:rsid w:val="00921FDD"/>
    <w:rsid w:val="00922155"/>
    <w:rsid w:val="0092224A"/>
    <w:rsid w:val="00922A90"/>
    <w:rsid w:val="0092326B"/>
    <w:rsid w:val="009243B7"/>
    <w:rsid w:val="009250DA"/>
    <w:rsid w:val="00925CA3"/>
    <w:rsid w:val="0092610A"/>
    <w:rsid w:val="009262B0"/>
    <w:rsid w:val="009263E8"/>
    <w:rsid w:val="009265C1"/>
    <w:rsid w:val="00926DEF"/>
    <w:rsid w:val="009274D9"/>
    <w:rsid w:val="00927A3C"/>
    <w:rsid w:val="00930208"/>
    <w:rsid w:val="0093047E"/>
    <w:rsid w:val="0093058A"/>
    <w:rsid w:val="00930D52"/>
    <w:rsid w:val="00930FC2"/>
    <w:rsid w:val="00931073"/>
    <w:rsid w:val="00931418"/>
    <w:rsid w:val="00931599"/>
    <w:rsid w:val="00931722"/>
    <w:rsid w:val="009318FC"/>
    <w:rsid w:val="009319AA"/>
    <w:rsid w:val="00931C21"/>
    <w:rsid w:val="00931F90"/>
    <w:rsid w:val="009323B8"/>
    <w:rsid w:val="00932462"/>
    <w:rsid w:val="009324AD"/>
    <w:rsid w:val="00932D8E"/>
    <w:rsid w:val="00932F79"/>
    <w:rsid w:val="00932F91"/>
    <w:rsid w:val="00933493"/>
    <w:rsid w:val="009334CF"/>
    <w:rsid w:val="00933C75"/>
    <w:rsid w:val="00933DBC"/>
    <w:rsid w:val="0093472E"/>
    <w:rsid w:val="00934CAB"/>
    <w:rsid w:val="00934CBE"/>
    <w:rsid w:val="00935057"/>
    <w:rsid w:val="00935989"/>
    <w:rsid w:val="00935EEF"/>
    <w:rsid w:val="00935F26"/>
    <w:rsid w:val="0093638A"/>
    <w:rsid w:val="00936435"/>
    <w:rsid w:val="00936C6B"/>
    <w:rsid w:val="00937569"/>
    <w:rsid w:val="009378A1"/>
    <w:rsid w:val="009378FF"/>
    <w:rsid w:val="009379DD"/>
    <w:rsid w:val="00937A12"/>
    <w:rsid w:val="00937B34"/>
    <w:rsid w:val="00937D16"/>
    <w:rsid w:val="009404B2"/>
    <w:rsid w:val="009406E5"/>
    <w:rsid w:val="00940EB1"/>
    <w:rsid w:val="00941274"/>
    <w:rsid w:val="0094161C"/>
    <w:rsid w:val="00941EC4"/>
    <w:rsid w:val="009427A4"/>
    <w:rsid w:val="009428A5"/>
    <w:rsid w:val="009429C7"/>
    <w:rsid w:val="00942B2C"/>
    <w:rsid w:val="00942C60"/>
    <w:rsid w:val="009434B0"/>
    <w:rsid w:val="00943E6B"/>
    <w:rsid w:val="00944304"/>
    <w:rsid w:val="009443E5"/>
    <w:rsid w:val="009446AC"/>
    <w:rsid w:val="00944882"/>
    <w:rsid w:val="00944AF2"/>
    <w:rsid w:val="00944C51"/>
    <w:rsid w:val="00944ED1"/>
    <w:rsid w:val="009450FD"/>
    <w:rsid w:val="0094514C"/>
    <w:rsid w:val="009455D5"/>
    <w:rsid w:val="00946960"/>
    <w:rsid w:val="00946A57"/>
    <w:rsid w:val="00946A8D"/>
    <w:rsid w:val="00946BC4"/>
    <w:rsid w:val="00946EFA"/>
    <w:rsid w:val="00946F19"/>
    <w:rsid w:val="00947C5C"/>
    <w:rsid w:val="00947DFF"/>
    <w:rsid w:val="00947F11"/>
    <w:rsid w:val="009500BF"/>
    <w:rsid w:val="00950193"/>
    <w:rsid w:val="0095033F"/>
    <w:rsid w:val="00950543"/>
    <w:rsid w:val="009507F2"/>
    <w:rsid w:val="00950B8F"/>
    <w:rsid w:val="00950F37"/>
    <w:rsid w:val="00950FDE"/>
    <w:rsid w:val="0095101D"/>
    <w:rsid w:val="00951824"/>
    <w:rsid w:val="00951C4B"/>
    <w:rsid w:val="00951D5E"/>
    <w:rsid w:val="009522A6"/>
    <w:rsid w:val="009526CF"/>
    <w:rsid w:val="00952FD8"/>
    <w:rsid w:val="00953028"/>
    <w:rsid w:val="0095345F"/>
    <w:rsid w:val="00953736"/>
    <w:rsid w:val="009539EB"/>
    <w:rsid w:val="00953C49"/>
    <w:rsid w:val="00953CD1"/>
    <w:rsid w:val="00953F79"/>
    <w:rsid w:val="009546F2"/>
    <w:rsid w:val="00954DA7"/>
    <w:rsid w:val="00954E13"/>
    <w:rsid w:val="00955018"/>
    <w:rsid w:val="009550A4"/>
    <w:rsid w:val="0095512D"/>
    <w:rsid w:val="00955322"/>
    <w:rsid w:val="00955426"/>
    <w:rsid w:val="00955B8A"/>
    <w:rsid w:val="00955BEE"/>
    <w:rsid w:val="009560A5"/>
    <w:rsid w:val="009564C6"/>
    <w:rsid w:val="0095672A"/>
    <w:rsid w:val="0095689C"/>
    <w:rsid w:val="00956B50"/>
    <w:rsid w:val="009572DB"/>
    <w:rsid w:val="009577D9"/>
    <w:rsid w:val="00957B2D"/>
    <w:rsid w:val="00960AC9"/>
    <w:rsid w:val="00961153"/>
    <w:rsid w:val="0096141A"/>
    <w:rsid w:val="00961B57"/>
    <w:rsid w:val="00961C2A"/>
    <w:rsid w:val="00962128"/>
    <w:rsid w:val="0096234B"/>
    <w:rsid w:val="009628B0"/>
    <w:rsid w:val="00962902"/>
    <w:rsid w:val="00962C27"/>
    <w:rsid w:val="00962F42"/>
    <w:rsid w:val="0096378D"/>
    <w:rsid w:val="00963BB6"/>
    <w:rsid w:val="00963D9B"/>
    <w:rsid w:val="00963EA4"/>
    <w:rsid w:val="00963EBB"/>
    <w:rsid w:val="00963FC5"/>
    <w:rsid w:val="0096443B"/>
    <w:rsid w:val="00964467"/>
    <w:rsid w:val="00964666"/>
    <w:rsid w:val="009646BD"/>
    <w:rsid w:val="009648F5"/>
    <w:rsid w:val="00964AA7"/>
    <w:rsid w:val="00964FDB"/>
    <w:rsid w:val="00965182"/>
    <w:rsid w:val="009654C0"/>
    <w:rsid w:val="0096574C"/>
    <w:rsid w:val="00966468"/>
    <w:rsid w:val="00966539"/>
    <w:rsid w:val="00966AD5"/>
    <w:rsid w:val="00966EEF"/>
    <w:rsid w:val="009674C0"/>
    <w:rsid w:val="0096768B"/>
    <w:rsid w:val="0096774C"/>
    <w:rsid w:val="009678DB"/>
    <w:rsid w:val="00967980"/>
    <w:rsid w:val="00967C2F"/>
    <w:rsid w:val="00970AFC"/>
    <w:rsid w:val="00970C34"/>
    <w:rsid w:val="00970EAC"/>
    <w:rsid w:val="0097101E"/>
    <w:rsid w:val="009712F2"/>
    <w:rsid w:val="0097145B"/>
    <w:rsid w:val="0097169F"/>
    <w:rsid w:val="009719B3"/>
    <w:rsid w:val="00971B66"/>
    <w:rsid w:val="00971D2B"/>
    <w:rsid w:val="00972353"/>
    <w:rsid w:val="009724DD"/>
    <w:rsid w:val="0097252D"/>
    <w:rsid w:val="0097261B"/>
    <w:rsid w:val="00972658"/>
    <w:rsid w:val="00972706"/>
    <w:rsid w:val="00972757"/>
    <w:rsid w:val="00972B70"/>
    <w:rsid w:val="00972BDC"/>
    <w:rsid w:val="00973112"/>
    <w:rsid w:val="009731FB"/>
    <w:rsid w:val="0097341A"/>
    <w:rsid w:val="009736B0"/>
    <w:rsid w:val="00973792"/>
    <w:rsid w:val="009738C6"/>
    <w:rsid w:val="0097394E"/>
    <w:rsid w:val="00973A8A"/>
    <w:rsid w:val="00973B06"/>
    <w:rsid w:val="00973CD1"/>
    <w:rsid w:val="0097403E"/>
    <w:rsid w:val="00974E12"/>
    <w:rsid w:val="00974E13"/>
    <w:rsid w:val="00974F73"/>
    <w:rsid w:val="009755E8"/>
    <w:rsid w:val="0097578B"/>
    <w:rsid w:val="00975A0B"/>
    <w:rsid w:val="00975A31"/>
    <w:rsid w:val="00975AC3"/>
    <w:rsid w:val="00975B3B"/>
    <w:rsid w:val="00975B69"/>
    <w:rsid w:val="00975CB0"/>
    <w:rsid w:val="009761B7"/>
    <w:rsid w:val="00976497"/>
    <w:rsid w:val="00976D43"/>
    <w:rsid w:val="00977112"/>
    <w:rsid w:val="00977C65"/>
    <w:rsid w:val="00980054"/>
    <w:rsid w:val="0098040F"/>
    <w:rsid w:val="009807F1"/>
    <w:rsid w:val="00980A45"/>
    <w:rsid w:val="009812FA"/>
    <w:rsid w:val="009817CC"/>
    <w:rsid w:val="0098190F"/>
    <w:rsid w:val="009822A8"/>
    <w:rsid w:val="00982320"/>
    <w:rsid w:val="009829D2"/>
    <w:rsid w:val="009829EB"/>
    <w:rsid w:val="00982D64"/>
    <w:rsid w:val="00982F31"/>
    <w:rsid w:val="00982FAB"/>
    <w:rsid w:val="009832A1"/>
    <w:rsid w:val="009839A8"/>
    <w:rsid w:val="00983DD3"/>
    <w:rsid w:val="00983F71"/>
    <w:rsid w:val="00983FBD"/>
    <w:rsid w:val="00984780"/>
    <w:rsid w:val="00984CA1"/>
    <w:rsid w:val="00984E71"/>
    <w:rsid w:val="00984E98"/>
    <w:rsid w:val="009850C5"/>
    <w:rsid w:val="009858D4"/>
    <w:rsid w:val="00985E37"/>
    <w:rsid w:val="009862FE"/>
    <w:rsid w:val="00986402"/>
    <w:rsid w:val="00986E10"/>
    <w:rsid w:val="009874F6"/>
    <w:rsid w:val="0098762D"/>
    <w:rsid w:val="00987803"/>
    <w:rsid w:val="00987BB3"/>
    <w:rsid w:val="00987D20"/>
    <w:rsid w:val="00987D2A"/>
    <w:rsid w:val="00987F24"/>
    <w:rsid w:val="00987F57"/>
    <w:rsid w:val="00990577"/>
    <w:rsid w:val="00990973"/>
    <w:rsid w:val="009909DD"/>
    <w:rsid w:val="009909EE"/>
    <w:rsid w:val="00990A34"/>
    <w:rsid w:val="00990EE4"/>
    <w:rsid w:val="009911B9"/>
    <w:rsid w:val="00991A92"/>
    <w:rsid w:val="00991C63"/>
    <w:rsid w:val="00991D8C"/>
    <w:rsid w:val="00991DDC"/>
    <w:rsid w:val="00992178"/>
    <w:rsid w:val="009930B7"/>
    <w:rsid w:val="009933B8"/>
    <w:rsid w:val="00993834"/>
    <w:rsid w:val="009939DD"/>
    <w:rsid w:val="009941BE"/>
    <w:rsid w:val="00994243"/>
    <w:rsid w:val="009945F0"/>
    <w:rsid w:val="00994932"/>
    <w:rsid w:val="00994EF5"/>
    <w:rsid w:val="009950CD"/>
    <w:rsid w:val="0099517D"/>
    <w:rsid w:val="00995330"/>
    <w:rsid w:val="009954D9"/>
    <w:rsid w:val="00995C7E"/>
    <w:rsid w:val="00995EA3"/>
    <w:rsid w:val="009963BC"/>
    <w:rsid w:val="0099697C"/>
    <w:rsid w:val="00996B6F"/>
    <w:rsid w:val="00996CD3"/>
    <w:rsid w:val="00996F66"/>
    <w:rsid w:val="00997138"/>
    <w:rsid w:val="009972ED"/>
    <w:rsid w:val="009975D6"/>
    <w:rsid w:val="0099762C"/>
    <w:rsid w:val="00997974"/>
    <w:rsid w:val="00997E96"/>
    <w:rsid w:val="009A0173"/>
    <w:rsid w:val="009A103C"/>
    <w:rsid w:val="009A1289"/>
    <w:rsid w:val="009A26FB"/>
    <w:rsid w:val="009A2CF7"/>
    <w:rsid w:val="009A2EA4"/>
    <w:rsid w:val="009A2F04"/>
    <w:rsid w:val="009A3017"/>
    <w:rsid w:val="009A310A"/>
    <w:rsid w:val="009A35F8"/>
    <w:rsid w:val="009A3C8E"/>
    <w:rsid w:val="009A3CD8"/>
    <w:rsid w:val="009A471B"/>
    <w:rsid w:val="009A4F3A"/>
    <w:rsid w:val="009A4FE3"/>
    <w:rsid w:val="009A4FEC"/>
    <w:rsid w:val="009A54AC"/>
    <w:rsid w:val="009A58F1"/>
    <w:rsid w:val="009A59A9"/>
    <w:rsid w:val="009A5A00"/>
    <w:rsid w:val="009A63F8"/>
    <w:rsid w:val="009A6E4A"/>
    <w:rsid w:val="009A7286"/>
    <w:rsid w:val="009A72C7"/>
    <w:rsid w:val="009A74F5"/>
    <w:rsid w:val="009A76D9"/>
    <w:rsid w:val="009A7779"/>
    <w:rsid w:val="009A7AF1"/>
    <w:rsid w:val="009A7C23"/>
    <w:rsid w:val="009A7F8F"/>
    <w:rsid w:val="009B0169"/>
    <w:rsid w:val="009B057F"/>
    <w:rsid w:val="009B06E4"/>
    <w:rsid w:val="009B0B61"/>
    <w:rsid w:val="009B0BB7"/>
    <w:rsid w:val="009B10CC"/>
    <w:rsid w:val="009B1687"/>
    <w:rsid w:val="009B1F73"/>
    <w:rsid w:val="009B2420"/>
    <w:rsid w:val="009B2EBA"/>
    <w:rsid w:val="009B2F9F"/>
    <w:rsid w:val="009B3141"/>
    <w:rsid w:val="009B34F0"/>
    <w:rsid w:val="009B3862"/>
    <w:rsid w:val="009B389F"/>
    <w:rsid w:val="009B396A"/>
    <w:rsid w:val="009B3B9C"/>
    <w:rsid w:val="009B3D05"/>
    <w:rsid w:val="009B4A99"/>
    <w:rsid w:val="009B4C52"/>
    <w:rsid w:val="009B4DE4"/>
    <w:rsid w:val="009B50EA"/>
    <w:rsid w:val="009B54B0"/>
    <w:rsid w:val="009B5790"/>
    <w:rsid w:val="009B5822"/>
    <w:rsid w:val="009B5A58"/>
    <w:rsid w:val="009B5C3B"/>
    <w:rsid w:val="009B5E78"/>
    <w:rsid w:val="009B61F9"/>
    <w:rsid w:val="009B6672"/>
    <w:rsid w:val="009B7044"/>
    <w:rsid w:val="009B71B3"/>
    <w:rsid w:val="009B758C"/>
    <w:rsid w:val="009B7765"/>
    <w:rsid w:val="009B777E"/>
    <w:rsid w:val="009B784C"/>
    <w:rsid w:val="009B7AB3"/>
    <w:rsid w:val="009B7BD7"/>
    <w:rsid w:val="009B7CB3"/>
    <w:rsid w:val="009B7D6D"/>
    <w:rsid w:val="009C0608"/>
    <w:rsid w:val="009C0811"/>
    <w:rsid w:val="009C0B35"/>
    <w:rsid w:val="009C14D3"/>
    <w:rsid w:val="009C17DD"/>
    <w:rsid w:val="009C1C7D"/>
    <w:rsid w:val="009C1D69"/>
    <w:rsid w:val="009C1EB8"/>
    <w:rsid w:val="009C1F68"/>
    <w:rsid w:val="009C1FAA"/>
    <w:rsid w:val="009C1FEB"/>
    <w:rsid w:val="009C2010"/>
    <w:rsid w:val="009C204B"/>
    <w:rsid w:val="009C22EC"/>
    <w:rsid w:val="009C3359"/>
    <w:rsid w:val="009C33A4"/>
    <w:rsid w:val="009C3450"/>
    <w:rsid w:val="009C3A8C"/>
    <w:rsid w:val="009C3E4E"/>
    <w:rsid w:val="009C3F29"/>
    <w:rsid w:val="009C424E"/>
    <w:rsid w:val="009C4519"/>
    <w:rsid w:val="009C4629"/>
    <w:rsid w:val="009C4937"/>
    <w:rsid w:val="009C4F62"/>
    <w:rsid w:val="009C5389"/>
    <w:rsid w:val="009C5457"/>
    <w:rsid w:val="009C5546"/>
    <w:rsid w:val="009C55D7"/>
    <w:rsid w:val="009C5BA7"/>
    <w:rsid w:val="009C63DB"/>
    <w:rsid w:val="009C6566"/>
    <w:rsid w:val="009C659D"/>
    <w:rsid w:val="009C6812"/>
    <w:rsid w:val="009C691C"/>
    <w:rsid w:val="009C6F6E"/>
    <w:rsid w:val="009C742F"/>
    <w:rsid w:val="009C75F9"/>
    <w:rsid w:val="009C7872"/>
    <w:rsid w:val="009C79E8"/>
    <w:rsid w:val="009C7BF4"/>
    <w:rsid w:val="009D01EF"/>
    <w:rsid w:val="009D0238"/>
    <w:rsid w:val="009D03A9"/>
    <w:rsid w:val="009D0573"/>
    <w:rsid w:val="009D059A"/>
    <w:rsid w:val="009D0781"/>
    <w:rsid w:val="009D0D65"/>
    <w:rsid w:val="009D0E43"/>
    <w:rsid w:val="009D0E4B"/>
    <w:rsid w:val="009D0E85"/>
    <w:rsid w:val="009D151B"/>
    <w:rsid w:val="009D19B2"/>
    <w:rsid w:val="009D1C3B"/>
    <w:rsid w:val="009D1C4F"/>
    <w:rsid w:val="009D1D29"/>
    <w:rsid w:val="009D1E10"/>
    <w:rsid w:val="009D1FAD"/>
    <w:rsid w:val="009D2B85"/>
    <w:rsid w:val="009D2CF3"/>
    <w:rsid w:val="009D2DB3"/>
    <w:rsid w:val="009D30D4"/>
    <w:rsid w:val="009D3237"/>
    <w:rsid w:val="009D3564"/>
    <w:rsid w:val="009D36B8"/>
    <w:rsid w:val="009D3AD3"/>
    <w:rsid w:val="009D4756"/>
    <w:rsid w:val="009D4E18"/>
    <w:rsid w:val="009D4EE9"/>
    <w:rsid w:val="009D535D"/>
    <w:rsid w:val="009D5409"/>
    <w:rsid w:val="009D56C5"/>
    <w:rsid w:val="009D5796"/>
    <w:rsid w:val="009D59CB"/>
    <w:rsid w:val="009D5B0A"/>
    <w:rsid w:val="009D5EAD"/>
    <w:rsid w:val="009D5FE8"/>
    <w:rsid w:val="009D6135"/>
    <w:rsid w:val="009D6D03"/>
    <w:rsid w:val="009D6E24"/>
    <w:rsid w:val="009D6F9D"/>
    <w:rsid w:val="009D7107"/>
    <w:rsid w:val="009D725B"/>
    <w:rsid w:val="009D7345"/>
    <w:rsid w:val="009E022A"/>
    <w:rsid w:val="009E0260"/>
    <w:rsid w:val="009E0306"/>
    <w:rsid w:val="009E0D90"/>
    <w:rsid w:val="009E0DBE"/>
    <w:rsid w:val="009E0F2C"/>
    <w:rsid w:val="009E1347"/>
    <w:rsid w:val="009E158F"/>
    <w:rsid w:val="009E1973"/>
    <w:rsid w:val="009E1A45"/>
    <w:rsid w:val="009E1FD2"/>
    <w:rsid w:val="009E28D9"/>
    <w:rsid w:val="009E31C5"/>
    <w:rsid w:val="009E338D"/>
    <w:rsid w:val="009E33F9"/>
    <w:rsid w:val="009E34BF"/>
    <w:rsid w:val="009E3591"/>
    <w:rsid w:val="009E40A0"/>
    <w:rsid w:val="009E4232"/>
    <w:rsid w:val="009E4466"/>
    <w:rsid w:val="009E4C19"/>
    <w:rsid w:val="009E4E77"/>
    <w:rsid w:val="009E4FB5"/>
    <w:rsid w:val="009E556F"/>
    <w:rsid w:val="009E55D8"/>
    <w:rsid w:val="009E5EDF"/>
    <w:rsid w:val="009E6A9E"/>
    <w:rsid w:val="009E7807"/>
    <w:rsid w:val="009E7D1E"/>
    <w:rsid w:val="009E7ED7"/>
    <w:rsid w:val="009E7F83"/>
    <w:rsid w:val="009F0269"/>
    <w:rsid w:val="009F0386"/>
    <w:rsid w:val="009F04CB"/>
    <w:rsid w:val="009F0EC4"/>
    <w:rsid w:val="009F0F0F"/>
    <w:rsid w:val="009F128B"/>
    <w:rsid w:val="009F1487"/>
    <w:rsid w:val="009F2247"/>
    <w:rsid w:val="009F2607"/>
    <w:rsid w:val="009F26D9"/>
    <w:rsid w:val="009F280C"/>
    <w:rsid w:val="009F2868"/>
    <w:rsid w:val="009F2A61"/>
    <w:rsid w:val="009F2AB7"/>
    <w:rsid w:val="009F2E3A"/>
    <w:rsid w:val="009F2F60"/>
    <w:rsid w:val="009F2FD5"/>
    <w:rsid w:val="009F3360"/>
    <w:rsid w:val="009F3793"/>
    <w:rsid w:val="009F3B5D"/>
    <w:rsid w:val="009F4115"/>
    <w:rsid w:val="009F4553"/>
    <w:rsid w:val="009F4B75"/>
    <w:rsid w:val="009F4E32"/>
    <w:rsid w:val="009F4EAB"/>
    <w:rsid w:val="009F5116"/>
    <w:rsid w:val="009F51C8"/>
    <w:rsid w:val="009F583D"/>
    <w:rsid w:val="009F5A39"/>
    <w:rsid w:val="009F5EE8"/>
    <w:rsid w:val="009F60C8"/>
    <w:rsid w:val="009F639B"/>
    <w:rsid w:val="009F63C5"/>
    <w:rsid w:val="009F63DE"/>
    <w:rsid w:val="009F654A"/>
    <w:rsid w:val="009F65CC"/>
    <w:rsid w:val="009F65EB"/>
    <w:rsid w:val="009F69C6"/>
    <w:rsid w:val="009F6F62"/>
    <w:rsid w:val="009F6FC7"/>
    <w:rsid w:val="009F6FFA"/>
    <w:rsid w:val="009F7849"/>
    <w:rsid w:val="009F7A53"/>
    <w:rsid w:val="009F7C23"/>
    <w:rsid w:val="009F7E54"/>
    <w:rsid w:val="009F7E7F"/>
    <w:rsid w:val="00A0015C"/>
    <w:rsid w:val="00A002F6"/>
    <w:rsid w:val="00A00716"/>
    <w:rsid w:val="00A00808"/>
    <w:rsid w:val="00A0093F"/>
    <w:rsid w:val="00A0137D"/>
    <w:rsid w:val="00A018FF"/>
    <w:rsid w:val="00A019CD"/>
    <w:rsid w:val="00A01A43"/>
    <w:rsid w:val="00A01BF4"/>
    <w:rsid w:val="00A01CF8"/>
    <w:rsid w:val="00A01FAD"/>
    <w:rsid w:val="00A023B8"/>
    <w:rsid w:val="00A02499"/>
    <w:rsid w:val="00A02A5B"/>
    <w:rsid w:val="00A02B69"/>
    <w:rsid w:val="00A033BA"/>
    <w:rsid w:val="00A03404"/>
    <w:rsid w:val="00A034C5"/>
    <w:rsid w:val="00A034CE"/>
    <w:rsid w:val="00A034D0"/>
    <w:rsid w:val="00A03549"/>
    <w:rsid w:val="00A03715"/>
    <w:rsid w:val="00A03857"/>
    <w:rsid w:val="00A03960"/>
    <w:rsid w:val="00A03E48"/>
    <w:rsid w:val="00A040E6"/>
    <w:rsid w:val="00A04463"/>
    <w:rsid w:val="00A04B29"/>
    <w:rsid w:val="00A04B32"/>
    <w:rsid w:val="00A04E68"/>
    <w:rsid w:val="00A050AF"/>
    <w:rsid w:val="00A051EF"/>
    <w:rsid w:val="00A0534B"/>
    <w:rsid w:val="00A0539D"/>
    <w:rsid w:val="00A05549"/>
    <w:rsid w:val="00A05668"/>
    <w:rsid w:val="00A056AE"/>
    <w:rsid w:val="00A056E8"/>
    <w:rsid w:val="00A058C6"/>
    <w:rsid w:val="00A0598D"/>
    <w:rsid w:val="00A05BE0"/>
    <w:rsid w:val="00A05E67"/>
    <w:rsid w:val="00A06097"/>
    <w:rsid w:val="00A06199"/>
    <w:rsid w:val="00A06595"/>
    <w:rsid w:val="00A06D9E"/>
    <w:rsid w:val="00A074F4"/>
    <w:rsid w:val="00A0767D"/>
    <w:rsid w:val="00A07B7F"/>
    <w:rsid w:val="00A07D7B"/>
    <w:rsid w:val="00A07FAF"/>
    <w:rsid w:val="00A100BD"/>
    <w:rsid w:val="00A10F81"/>
    <w:rsid w:val="00A11483"/>
    <w:rsid w:val="00A1173C"/>
    <w:rsid w:val="00A11CD6"/>
    <w:rsid w:val="00A12023"/>
    <w:rsid w:val="00A1207E"/>
    <w:rsid w:val="00A12A95"/>
    <w:rsid w:val="00A12E95"/>
    <w:rsid w:val="00A12EEC"/>
    <w:rsid w:val="00A13047"/>
    <w:rsid w:val="00A13051"/>
    <w:rsid w:val="00A13689"/>
    <w:rsid w:val="00A13B92"/>
    <w:rsid w:val="00A13D71"/>
    <w:rsid w:val="00A140DA"/>
    <w:rsid w:val="00A145BA"/>
    <w:rsid w:val="00A14D68"/>
    <w:rsid w:val="00A14E6A"/>
    <w:rsid w:val="00A151C8"/>
    <w:rsid w:val="00A15748"/>
    <w:rsid w:val="00A15AD0"/>
    <w:rsid w:val="00A1605F"/>
    <w:rsid w:val="00A1632C"/>
    <w:rsid w:val="00A168A9"/>
    <w:rsid w:val="00A16910"/>
    <w:rsid w:val="00A16F4B"/>
    <w:rsid w:val="00A17DE4"/>
    <w:rsid w:val="00A20335"/>
    <w:rsid w:val="00A203D3"/>
    <w:rsid w:val="00A20468"/>
    <w:rsid w:val="00A208DC"/>
    <w:rsid w:val="00A2098C"/>
    <w:rsid w:val="00A20ECD"/>
    <w:rsid w:val="00A21363"/>
    <w:rsid w:val="00A2169D"/>
    <w:rsid w:val="00A2191E"/>
    <w:rsid w:val="00A21A49"/>
    <w:rsid w:val="00A21CE0"/>
    <w:rsid w:val="00A21EF9"/>
    <w:rsid w:val="00A22418"/>
    <w:rsid w:val="00A22661"/>
    <w:rsid w:val="00A22A3F"/>
    <w:rsid w:val="00A22CAB"/>
    <w:rsid w:val="00A22CC7"/>
    <w:rsid w:val="00A233B2"/>
    <w:rsid w:val="00A238F9"/>
    <w:rsid w:val="00A23CF0"/>
    <w:rsid w:val="00A23D49"/>
    <w:rsid w:val="00A23E36"/>
    <w:rsid w:val="00A23F2E"/>
    <w:rsid w:val="00A240F0"/>
    <w:rsid w:val="00A24209"/>
    <w:rsid w:val="00A243D0"/>
    <w:rsid w:val="00A2460F"/>
    <w:rsid w:val="00A24638"/>
    <w:rsid w:val="00A24AC7"/>
    <w:rsid w:val="00A24B7D"/>
    <w:rsid w:val="00A251F8"/>
    <w:rsid w:val="00A25458"/>
    <w:rsid w:val="00A25551"/>
    <w:rsid w:val="00A25BCB"/>
    <w:rsid w:val="00A25C92"/>
    <w:rsid w:val="00A261AB"/>
    <w:rsid w:val="00A26834"/>
    <w:rsid w:val="00A26EC4"/>
    <w:rsid w:val="00A27324"/>
    <w:rsid w:val="00A273C4"/>
    <w:rsid w:val="00A27438"/>
    <w:rsid w:val="00A276A4"/>
    <w:rsid w:val="00A276AC"/>
    <w:rsid w:val="00A27AD5"/>
    <w:rsid w:val="00A27C51"/>
    <w:rsid w:val="00A27DD7"/>
    <w:rsid w:val="00A3004A"/>
    <w:rsid w:val="00A30076"/>
    <w:rsid w:val="00A300E3"/>
    <w:rsid w:val="00A3141A"/>
    <w:rsid w:val="00A31699"/>
    <w:rsid w:val="00A317F1"/>
    <w:rsid w:val="00A31894"/>
    <w:rsid w:val="00A31934"/>
    <w:rsid w:val="00A31B44"/>
    <w:rsid w:val="00A31D60"/>
    <w:rsid w:val="00A31FD3"/>
    <w:rsid w:val="00A3209F"/>
    <w:rsid w:val="00A3277C"/>
    <w:rsid w:val="00A32C2C"/>
    <w:rsid w:val="00A331E8"/>
    <w:rsid w:val="00A33211"/>
    <w:rsid w:val="00A333C7"/>
    <w:rsid w:val="00A33497"/>
    <w:rsid w:val="00A336BE"/>
    <w:rsid w:val="00A33BDC"/>
    <w:rsid w:val="00A33DDE"/>
    <w:rsid w:val="00A33DE3"/>
    <w:rsid w:val="00A34753"/>
    <w:rsid w:val="00A3477F"/>
    <w:rsid w:val="00A34891"/>
    <w:rsid w:val="00A34BE6"/>
    <w:rsid w:val="00A34FA3"/>
    <w:rsid w:val="00A35104"/>
    <w:rsid w:val="00A354C9"/>
    <w:rsid w:val="00A35657"/>
    <w:rsid w:val="00A357BF"/>
    <w:rsid w:val="00A35A65"/>
    <w:rsid w:val="00A35C1B"/>
    <w:rsid w:val="00A35D29"/>
    <w:rsid w:val="00A36BB4"/>
    <w:rsid w:val="00A36E7D"/>
    <w:rsid w:val="00A37A26"/>
    <w:rsid w:val="00A37FDD"/>
    <w:rsid w:val="00A40148"/>
    <w:rsid w:val="00A4066E"/>
    <w:rsid w:val="00A4089A"/>
    <w:rsid w:val="00A40AED"/>
    <w:rsid w:val="00A40B15"/>
    <w:rsid w:val="00A40BAC"/>
    <w:rsid w:val="00A40DA2"/>
    <w:rsid w:val="00A41101"/>
    <w:rsid w:val="00A416F6"/>
    <w:rsid w:val="00A41879"/>
    <w:rsid w:val="00A41B4E"/>
    <w:rsid w:val="00A41D0B"/>
    <w:rsid w:val="00A42018"/>
    <w:rsid w:val="00A4296F"/>
    <w:rsid w:val="00A43000"/>
    <w:rsid w:val="00A43539"/>
    <w:rsid w:val="00A43B3E"/>
    <w:rsid w:val="00A43D81"/>
    <w:rsid w:val="00A43EEF"/>
    <w:rsid w:val="00A443CA"/>
    <w:rsid w:val="00A44468"/>
    <w:rsid w:val="00A445E9"/>
    <w:rsid w:val="00A44BCF"/>
    <w:rsid w:val="00A45294"/>
    <w:rsid w:val="00A452DE"/>
    <w:rsid w:val="00A45317"/>
    <w:rsid w:val="00A45795"/>
    <w:rsid w:val="00A4604E"/>
    <w:rsid w:val="00A46539"/>
    <w:rsid w:val="00A46C4C"/>
    <w:rsid w:val="00A46C71"/>
    <w:rsid w:val="00A46CE5"/>
    <w:rsid w:val="00A46DAA"/>
    <w:rsid w:val="00A4737D"/>
    <w:rsid w:val="00A473FE"/>
    <w:rsid w:val="00A47444"/>
    <w:rsid w:val="00A50398"/>
    <w:rsid w:val="00A50529"/>
    <w:rsid w:val="00A5067E"/>
    <w:rsid w:val="00A50713"/>
    <w:rsid w:val="00A507A5"/>
    <w:rsid w:val="00A509B6"/>
    <w:rsid w:val="00A51331"/>
    <w:rsid w:val="00A514C4"/>
    <w:rsid w:val="00A514ED"/>
    <w:rsid w:val="00A51E8E"/>
    <w:rsid w:val="00A526EF"/>
    <w:rsid w:val="00A5311C"/>
    <w:rsid w:val="00A53319"/>
    <w:rsid w:val="00A53DE5"/>
    <w:rsid w:val="00A53F02"/>
    <w:rsid w:val="00A53F78"/>
    <w:rsid w:val="00A53FDC"/>
    <w:rsid w:val="00A5459E"/>
    <w:rsid w:val="00A545CE"/>
    <w:rsid w:val="00A54626"/>
    <w:rsid w:val="00A54652"/>
    <w:rsid w:val="00A54CC3"/>
    <w:rsid w:val="00A54D87"/>
    <w:rsid w:val="00A54EBB"/>
    <w:rsid w:val="00A54F4B"/>
    <w:rsid w:val="00A54FAA"/>
    <w:rsid w:val="00A5505F"/>
    <w:rsid w:val="00A55FE1"/>
    <w:rsid w:val="00A56092"/>
    <w:rsid w:val="00A56AC9"/>
    <w:rsid w:val="00A576B0"/>
    <w:rsid w:val="00A578EC"/>
    <w:rsid w:val="00A579FD"/>
    <w:rsid w:val="00A57BB3"/>
    <w:rsid w:val="00A57C0A"/>
    <w:rsid w:val="00A57D3F"/>
    <w:rsid w:val="00A60252"/>
    <w:rsid w:val="00A602B1"/>
    <w:rsid w:val="00A608C5"/>
    <w:rsid w:val="00A60B98"/>
    <w:rsid w:val="00A60D6C"/>
    <w:rsid w:val="00A60F7C"/>
    <w:rsid w:val="00A612AA"/>
    <w:rsid w:val="00A613C3"/>
    <w:rsid w:val="00A6153B"/>
    <w:rsid w:val="00A619F1"/>
    <w:rsid w:val="00A61B34"/>
    <w:rsid w:val="00A61B85"/>
    <w:rsid w:val="00A61BCC"/>
    <w:rsid w:val="00A61D5C"/>
    <w:rsid w:val="00A61E38"/>
    <w:rsid w:val="00A620DE"/>
    <w:rsid w:val="00A62375"/>
    <w:rsid w:val="00A62FEC"/>
    <w:rsid w:val="00A630A4"/>
    <w:rsid w:val="00A632A4"/>
    <w:rsid w:val="00A640B5"/>
    <w:rsid w:val="00A640D6"/>
    <w:rsid w:val="00A645E4"/>
    <w:rsid w:val="00A647E6"/>
    <w:rsid w:val="00A64BE9"/>
    <w:rsid w:val="00A65A92"/>
    <w:rsid w:val="00A65ABB"/>
    <w:rsid w:val="00A65D09"/>
    <w:rsid w:val="00A65EC1"/>
    <w:rsid w:val="00A660D4"/>
    <w:rsid w:val="00A66358"/>
    <w:rsid w:val="00A6643A"/>
    <w:rsid w:val="00A669BF"/>
    <w:rsid w:val="00A67117"/>
    <w:rsid w:val="00A67E00"/>
    <w:rsid w:val="00A700D6"/>
    <w:rsid w:val="00A708CD"/>
    <w:rsid w:val="00A709DD"/>
    <w:rsid w:val="00A70E6E"/>
    <w:rsid w:val="00A7144C"/>
    <w:rsid w:val="00A7166A"/>
    <w:rsid w:val="00A71D49"/>
    <w:rsid w:val="00A720BC"/>
    <w:rsid w:val="00A7254E"/>
    <w:rsid w:val="00A7256E"/>
    <w:rsid w:val="00A72574"/>
    <w:rsid w:val="00A7258F"/>
    <w:rsid w:val="00A727AB"/>
    <w:rsid w:val="00A72859"/>
    <w:rsid w:val="00A729D1"/>
    <w:rsid w:val="00A73301"/>
    <w:rsid w:val="00A738DA"/>
    <w:rsid w:val="00A73BA7"/>
    <w:rsid w:val="00A73C42"/>
    <w:rsid w:val="00A7424B"/>
    <w:rsid w:val="00A74288"/>
    <w:rsid w:val="00A7445C"/>
    <w:rsid w:val="00A74901"/>
    <w:rsid w:val="00A74C11"/>
    <w:rsid w:val="00A75009"/>
    <w:rsid w:val="00A76247"/>
    <w:rsid w:val="00A76921"/>
    <w:rsid w:val="00A76BF6"/>
    <w:rsid w:val="00A76C27"/>
    <w:rsid w:val="00A76DA1"/>
    <w:rsid w:val="00A76DD1"/>
    <w:rsid w:val="00A76E53"/>
    <w:rsid w:val="00A77859"/>
    <w:rsid w:val="00A8011A"/>
    <w:rsid w:val="00A803B1"/>
    <w:rsid w:val="00A80429"/>
    <w:rsid w:val="00A8057B"/>
    <w:rsid w:val="00A81057"/>
    <w:rsid w:val="00A810E3"/>
    <w:rsid w:val="00A817E7"/>
    <w:rsid w:val="00A81BF3"/>
    <w:rsid w:val="00A81DBB"/>
    <w:rsid w:val="00A81FD1"/>
    <w:rsid w:val="00A82958"/>
    <w:rsid w:val="00A83100"/>
    <w:rsid w:val="00A831DB"/>
    <w:rsid w:val="00A837E8"/>
    <w:rsid w:val="00A83D91"/>
    <w:rsid w:val="00A84490"/>
    <w:rsid w:val="00A844CE"/>
    <w:rsid w:val="00A84698"/>
    <w:rsid w:val="00A84759"/>
    <w:rsid w:val="00A84855"/>
    <w:rsid w:val="00A848FD"/>
    <w:rsid w:val="00A84FB8"/>
    <w:rsid w:val="00A85238"/>
    <w:rsid w:val="00A852F0"/>
    <w:rsid w:val="00A85305"/>
    <w:rsid w:val="00A85364"/>
    <w:rsid w:val="00A8537D"/>
    <w:rsid w:val="00A854D0"/>
    <w:rsid w:val="00A855E7"/>
    <w:rsid w:val="00A8582F"/>
    <w:rsid w:val="00A85E36"/>
    <w:rsid w:val="00A86637"/>
    <w:rsid w:val="00A86654"/>
    <w:rsid w:val="00A87339"/>
    <w:rsid w:val="00A87D81"/>
    <w:rsid w:val="00A90304"/>
    <w:rsid w:val="00A90F09"/>
    <w:rsid w:val="00A912B3"/>
    <w:rsid w:val="00A91714"/>
    <w:rsid w:val="00A91A75"/>
    <w:rsid w:val="00A91D39"/>
    <w:rsid w:val="00A91DF7"/>
    <w:rsid w:val="00A91E0F"/>
    <w:rsid w:val="00A91E29"/>
    <w:rsid w:val="00A92170"/>
    <w:rsid w:val="00A921B5"/>
    <w:rsid w:val="00A9249C"/>
    <w:rsid w:val="00A92B86"/>
    <w:rsid w:val="00A92DD1"/>
    <w:rsid w:val="00A9345C"/>
    <w:rsid w:val="00A935DF"/>
    <w:rsid w:val="00A938F9"/>
    <w:rsid w:val="00A93ACE"/>
    <w:rsid w:val="00A93FD5"/>
    <w:rsid w:val="00A9435F"/>
    <w:rsid w:val="00A94862"/>
    <w:rsid w:val="00A94E3D"/>
    <w:rsid w:val="00A94F0F"/>
    <w:rsid w:val="00A95800"/>
    <w:rsid w:val="00A95939"/>
    <w:rsid w:val="00A95B23"/>
    <w:rsid w:val="00A95B56"/>
    <w:rsid w:val="00A95C43"/>
    <w:rsid w:val="00A95FF7"/>
    <w:rsid w:val="00A96187"/>
    <w:rsid w:val="00A9624D"/>
    <w:rsid w:val="00A96636"/>
    <w:rsid w:val="00A969A7"/>
    <w:rsid w:val="00A96BAB"/>
    <w:rsid w:val="00A96E46"/>
    <w:rsid w:val="00A96E6A"/>
    <w:rsid w:val="00A970F3"/>
    <w:rsid w:val="00A97351"/>
    <w:rsid w:val="00A9788F"/>
    <w:rsid w:val="00A97FE6"/>
    <w:rsid w:val="00AA0224"/>
    <w:rsid w:val="00AA0316"/>
    <w:rsid w:val="00AA04C4"/>
    <w:rsid w:val="00AA05F2"/>
    <w:rsid w:val="00AA1720"/>
    <w:rsid w:val="00AA1ADF"/>
    <w:rsid w:val="00AA1B32"/>
    <w:rsid w:val="00AA1C0C"/>
    <w:rsid w:val="00AA1D1C"/>
    <w:rsid w:val="00AA24FF"/>
    <w:rsid w:val="00AA26B9"/>
    <w:rsid w:val="00AA2B88"/>
    <w:rsid w:val="00AA2E10"/>
    <w:rsid w:val="00AA2EA4"/>
    <w:rsid w:val="00AA2F64"/>
    <w:rsid w:val="00AA3099"/>
    <w:rsid w:val="00AA329A"/>
    <w:rsid w:val="00AA383C"/>
    <w:rsid w:val="00AA393A"/>
    <w:rsid w:val="00AA3E34"/>
    <w:rsid w:val="00AA3E7C"/>
    <w:rsid w:val="00AA484A"/>
    <w:rsid w:val="00AA4946"/>
    <w:rsid w:val="00AA4D0F"/>
    <w:rsid w:val="00AA508E"/>
    <w:rsid w:val="00AA51CE"/>
    <w:rsid w:val="00AA5268"/>
    <w:rsid w:val="00AA5537"/>
    <w:rsid w:val="00AA56C2"/>
    <w:rsid w:val="00AA5DD5"/>
    <w:rsid w:val="00AA5E01"/>
    <w:rsid w:val="00AA61BA"/>
    <w:rsid w:val="00AA652B"/>
    <w:rsid w:val="00AA660A"/>
    <w:rsid w:val="00AA6B5A"/>
    <w:rsid w:val="00AA6F5E"/>
    <w:rsid w:val="00AA7022"/>
    <w:rsid w:val="00AA70B2"/>
    <w:rsid w:val="00AA77F5"/>
    <w:rsid w:val="00AA788B"/>
    <w:rsid w:val="00AA7A54"/>
    <w:rsid w:val="00AB0777"/>
    <w:rsid w:val="00AB0872"/>
    <w:rsid w:val="00AB0CBD"/>
    <w:rsid w:val="00AB0CC3"/>
    <w:rsid w:val="00AB0D1F"/>
    <w:rsid w:val="00AB0D7D"/>
    <w:rsid w:val="00AB0E66"/>
    <w:rsid w:val="00AB100D"/>
    <w:rsid w:val="00AB128E"/>
    <w:rsid w:val="00AB1648"/>
    <w:rsid w:val="00AB1734"/>
    <w:rsid w:val="00AB1ACE"/>
    <w:rsid w:val="00AB1CB5"/>
    <w:rsid w:val="00AB1D79"/>
    <w:rsid w:val="00AB217E"/>
    <w:rsid w:val="00AB2314"/>
    <w:rsid w:val="00AB24B1"/>
    <w:rsid w:val="00AB2532"/>
    <w:rsid w:val="00AB2989"/>
    <w:rsid w:val="00AB30CA"/>
    <w:rsid w:val="00AB328B"/>
    <w:rsid w:val="00AB3539"/>
    <w:rsid w:val="00AB3876"/>
    <w:rsid w:val="00AB3DAF"/>
    <w:rsid w:val="00AB4114"/>
    <w:rsid w:val="00AB44C3"/>
    <w:rsid w:val="00AB4799"/>
    <w:rsid w:val="00AB4C37"/>
    <w:rsid w:val="00AB4DB2"/>
    <w:rsid w:val="00AB5194"/>
    <w:rsid w:val="00AB56B0"/>
    <w:rsid w:val="00AB5960"/>
    <w:rsid w:val="00AB5B78"/>
    <w:rsid w:val="00AB5D1C"/>
    <w:rsid w:val="00AB5DB1"/>
    <w:rsid w:val="00AB5F61"/>
    <w:rsid w:val="00AB5FE8"/>
    <w:rsid w:val="00AB64B4"/>
    <w:rsid w:val="00AB6595"/>
    <w:rsid w:val="00AB6846"/>
    <w:rsid w:val="00AB6859"/>
    <w:rsid w:val="00AB69B8"/>
    <w:rsid w:val="00AB6A19"/>
    <w:rsid w:val="00AB6A83"/>
    <w:rsid w:val="00AB73AD"/>
    <w:rsid w:val="00AB7847"/>
    <w:rsid w:val="00AB7DD3"/>
    <w:rsid w:val="00AC02C6"/>
    <w:rsid w:val="00AC093C"/>
    <w:rsid w:val="00AC0ABE"/>
    <w:rsid w:val="00AC0D44"/>
    <w:rsid w:val="00AC0E66"/>
    <w:rsid w:val="00AC134D"/>
    <w:rsid w:val="00AC13B1"/>
    <w:rsid w:val="00AC16D6"/>
    <w:rsid w:val="00AC1B2D"/>
    <w:rsid w:val="00AC1BE4"/>
    <w:rsid w:val="00AC1F6A"/>
    <w:rsid w:val="00AC267C"/>
    <w:rsid w:val="00AC2C87"/>
    <w:rsid w:val="00AC2CE8"/>
    <w:rsid w:val="00AC345E"/>
    <w:rsid w:val="00AC35AE"/>
    <w:rsid w:val="00AC3939"/>
    <w:rsid w:val="00AC39BF"/>
    <w:rsid w:val="00AC3D33"/>
    <w:rsid w:val="00AC3FBA"/>
    <w:rsid w:val="00AC40C4"/>
    <w:rsid w:val="00AC40E2"/>
    <w:rsid w:val="00AC4475"/>
    <w:rsid w:val="00AC459A"/>
    <w:rsid w:val="00AC4D72"/>
    <w:rsid w:val="00AC4EFA"/>
    <w:rsid w:val="00AC4FC3"/>
    <w:rsid w:val="00AC51C4"/>
    <w:rsid w:val="00AC5977"/>
    <w:rsid w:val="00AC612A"/>
    <w:rsid w:val="00AC6250"/>
    <w:rsid w:val="00AC6509"/>
    <w:rsid w:val="00AC670E"/>
    <w:rsid w:val="00AC6942"/>
    <w:rsid w:val="00AC6DCB"/>
    <w:rsid w:val="00AC7329"/>
    <w:rsid w:val="00AC737B"/>
    <w:rsid w:val="00AC742B"/>
    <w:rsid w:val="00AC7A39"/>
    <w:rsid w:val="00AC7CE2"/>
    <w:rsid w:val="00AD016E"/>
    <w:rsid w:val="00AD019F"/>
    <w:rsid w:val="00AD0C07"/>
    <w:rsid w:val="00AD0F34"/>
    <w:rsid w:val="00AD1C93"/>
    <w:rsid w:val="00AD232E"/>
    <w:rsid w:val="00AD24E5"/>
    <w:rsid w:val="00AD2AEF"/>
    <w:rsid w:val="00AD2C30"/>
    <w:rsid w:val="00AD2CB0"/>
    <w:rsid w:val="00AD2DCF"/>
    <w:rsid w:val="00AD3005"/>
    <w:rsid w:val="00AD3107"/>
    <w:rsid w:val="00AD3472"/>
    <w:rsid w:val="00AD354E"/>
    <w:rsid w:val="00AD38E3"/>
    <w:rsid w:val="00AD4001"/>
    <w:rsid w:val="00AD445A"/>
    <w:rsid w:val="00AD4926"/>
    <w:rsid w:val="00AD4AB4"/>
    <w:rsid w:val="00AD4D1C"/>
    <w:rsid w:val="00AD4F6A"/>
    <w:rsid w:val="00AD50B6"/>
    <w:rsid w:val="00AD51AC"/>
    <w:rsid w:val="00AD51FD"/>
    <w:rsid w:val="00AD596F"/>
    <w:rsid w:val="00AD661F"/>
    <w:rsid w:val="00AD6B82"/>
    <w:rsid w:val="00AD6DD6"/>
    <w:rsid w:val="00AD71D1"/>
    <w:rsid w:val="00AD7468"/>
    <w:rsid w:val="00AD74BD"/>
    <w:rsid w:val="00AD75F7"/>
    <w:rsid w:val="00AD7D2D"/>
    <w:rsid w:val="00AD7F70"/>
    <w:rsid w:val="00AE09B5"/>
    <w:rsid w:val="00AE0F39"/>
    <w:rsid w:val="00AE1821"/>
    <w:rsid w:val="00AE1F8A"/>
    <w:rsid w:val="00AE216F"/>
    <w:rsid w:val="00AE235D"/>
    <w:rsid w:val="00AE2537"/>
    <w:rsid w:val="00AE26B4"/>
    <w:rsid w:val="00AE28EA"/>
    <w:rsid w:val="00AE2A74"/>
    <w:rsid w:val="00AE2DCF"/>
    <w:rsid w:val="00AE3787"/>
    <w:rsid w:val="00AE3855"/>
    <w:rsid w:val="00AE387B"/>
    <w:rsid w:val="00AE3B00"/>
    <w:rsid w:val="00AE3D5F"/>
    <w:rsid w:val="00AE3E53"/>
    <w:rsid w:val="00AE3FA7"/>
    <w:rsid w:val="00AE3FE2"/>
    <w:rsid w:val="00AE44D9"/>
    <w:rsid w:val="00AE44F5"/>
    <w:rsid w:val="00AE4900"/>
    <w:rsid w:val="00AE508B"/>
    <w:rsid w:val="00AE50F7"/>
    <w:rsid w:val="00AE5593"/>
    <w:rsid w:val="00AE6459"/>
    <w:rsid w:val="00AE66F8"/>
    <w:rsid w:val="00AE72D9"/>
    <w:rsid w:val="00AE72ED"/>
    <w:rsid w:val="00AE77FC"/>
    <w:rsid w:val="00AE7FF2"/>
    <w:rsid w:val="00AF040E"/>
    <w:rsid w:val="00AF0822"/>
    <w:rsid w:val="00AF086F"/>
    <w:rsid w:val="00AF09D0"/>
    <w:rsid w:val="00AF0A9F"/>
    <w:rsid w:val="00AF1255"/>
    <w:rsid w:val="00AF1446"/>
    <w:rsid w:val="00AF14C4"/>
    <w:rsid w:val="00AF19B6"/>
    <w:rsid w:val="00AF1D43"/>
    <w:rsid w:val="00AF21A3"/>
    <w:rsid w:val="00AF224A"/>
    <w:rsid w:val="00AF244B"/>
    <w:rsid w:val="00AF2619"/>
    <w:rsid w:val="00AF26F4"/>
    <w:rsid w:val="00AF2A2A"/>
    <w:rsid w:val="00AF2F5A"/>
    <w:rsid w:val="00AF33E8"/>
    <w:rsid w:val="00AF35C6"/>
    <w:rsid w:val="00AF3629"/>
    <w:rsid w:val="00AF363E"/>
    <w:rsid w:val="00AF3A2D"/>
    <w:rsid w:val="00AF45D1"/>
    <w:rsid w:val="00AF46D0"/>
    <w:rsid w:val="00AF495C"/>
    <w:rsid w:val="00AF5784"/>
    <w:rsid w:val="00AF5A47"/>
    <w:rsid w:val="00AF6C2D"/>
    <w:rsid w:val="00AF74A6"/>
    <w:rsid w:val="00AF7918"/>
    <w:rsid w:val="00AF7C8F"/>
    <w:rsid w:val="00AF7D4C"/>
    <w:rsid w:val="00B002AB"/>
    <w:rsid w:val="00B00748"/>
    <w:rsid w:val="00B0077D"/>
    <w:rsid w:val="00B00AB8"/>
    <w:rsid w:val="00B0111F"/>
    <w:rsid w:val="00B01900"/>
    <w:rsid w:val="00B0197E"/>
    <w:rsid w:val="00B01D28"/>
    <w:rsid w:val="00B01E84"/>
    <w:rsid w:val="00B01F20"/>
    <w:rsid w:val="00B0215E"/>
    <w:rsid w:val="00B022C0"/>
    <w:rsid w:val="00B02BE8"/>
    <w:rsid w:val="00B02E54"/>
    <w:rsid w:val="00B0331C"/>
    <w:rsid w:val="00B033F6"/>
    <w:rsid w:val="00B03AE3"/>
    <w:rsid w:val="00B03AFD"/>
    <w:rsid w:val="00B04C9A"/>
    <w:rsid w:val="00B04DBF"/>
    <w:rsid w:val="00B04DD6"/>
    <w:rsid w:val="00B04E9B"/>
    <w:rsid w:val="00B0520D"/>
    <w:rsid w:val="00B05380"/>
    <w:rsid w:val="00B05399"/>
    <w:rsid w:val="00B053A0"/>
    <w:rsid w:val="00B05741"/>
    <w:rsid w:val="00B0582C"/>
    <w:rsid w:val="00B05CF4"/>
    <w:rsid w:val="00B05DD3"/>
    <w:rsid w:val="00B05E31"/>
    <w:rsid w:val="00B05EB7"/>
    <w:rsid w:val="00B05FA0"/>
    <w:rsid w:val="00B06509"/>
    <w:rsid w:val="00B06747"/>
    <w:rsid w:val="00B10547"/>
    <w:rsid w:val="00B108C2"/>
    <w:rsid w:val="00B109DE"/>
    <w:rsid w:val="00B10EAC"/>
    <w:rsid w:val="00B113B9"/>
    <w:rsid w:val="00B1161C"/>
    <w:rsid w:val="00B1161D"/>
    <w:rsid w:val="00B12351"/>
    <w:rsid w:val="00B125BD"/>
    <w:rsid w:val="00B12A0E"/>
    <w:rsid w:val="00B12A6A"/>
    <w:rsid w:val="00B12D05"/>
    <w:rsid w:val="00B131C6"/>
    <w:rsid w:val="00B1357E"/>
    <w:rsid w:val="00B1361C"/>
    <w:rsid w:val="00B1364A"/>
    <w:rsid w:val="00B136D1"/>
    <w:rsid w:val="00B13860"/>
    <w:rsid w:val="00B13C43"/>
    <w:rsid w:val="00B13D9D"/>
    <w:rsid w:val="00B140FF"/>
    <w:rsid w:val="00B14A17"/>
    <w:rsid w:val="00B14CAD"/>
    <w:rsid w:val="00B14CC8"/>
    <w:rsid w:val="00B14D9A"/>
    <w:rsid w:val="00B14E6A"/>
    <w:rsid w:val="00B15A96"/>
    <w:rsid w:val="00B15B6E"/>
    <w:rsid w:val="00B15C56"/>
    <w:rsid w:val="00B15CC3"/>
    <w:rsid w:val="00B1623E"/>
    <w:rsid w:val="00B16376"/>
    <w:rsid w:val="00B16490"/>
    <w:rsid w:val="00B165D2"/>
    <w:rsid w:val="00B1670B"/>
    <w:rsid w:val="00B16710"/>
    <w:rsid w:val="00B16C45"/>
    <w:rsid w:val="00B16E10"/>
    <w:rsid w:val="00B16EA2"/>
    <w:rsid w:val="00B16F8C"/>
    <w:rsid w:val="00B175B8"/>
    <w:rsid w:val="00B1778D"/>
    <w:rsid w:val="00B179E2"/>
    <w:rsid w:val="00B17C75"/>
    <w:rsid w:val="00B2013D"/>
    <w:rsid w:val="00B20338"/>
    <w:rsid w:val="00B2052F"/>
    <w:rsid w:val="00B21086"/>
    <w:rsid w:val="00B211DD"/>
    <w:rsid w:val="00B21521"/>
    <w:rsid w:val="00B225B8"/>
    <w:rsid w:val="00B233C8"/>
    <w:rsid w:val="00B236F1"/>
    <w:rsid w:val="00B23714"/>
    <w:rsid w:val="00B23983"/>
    <w:rsid w:val="00B23AFA"/>
    <w:rsid w:val="00B23C1B"/>
    <w:rsid w:val="00B23CCD"/>
    <w:rsid w:val="00B23E78"/>
    <w:rsid w:val="00B23EA4"/>
    <w:rsid w:val="00B24758"/>
    <w:rsid w:val="00B24888"/>
    <w:rsid w:val="00B25382"/>
    <w:rsid w:val="00B25450"/>
    <w:rsid w:val="00B25624"/>
    <w:rsid w:val="00B2597B"/>
    <w:rsid w:val="00B25D95"/>
    <w:rsid w:val="00B26122"/>
    <w:rsid w:val="00B26A0F"/>
    <w:rsid w:val="00B26B42"/>
    <w:rsid w:val="00B26F98"/>
    <w:rsid w:val="00B27017"/>
    <w:rsid w:val="00B275AD"/>
    <w:rsid w:val="00B279EF"/>
    <w:rsid w:val="00B27A7E"/>
    <w:rsid w:val="00B27B4C"/>
    <w:rsid w:val="00B27B66"/>
    <w:rsid w:val="00B27C1B"/>
    <w:rsid w:val="00B27EB8"/>
    <w:rsid w:val="00B27F01"/>
    <w:rsid w:val="00B301EA"/>
    <w:rsid w:val="00B3075C"/>
    <w:rsid w:val="00B30770"/>
    <w:rsid w:val="00B307F0"/>
    <w:rsid w:val="00B3118E"/>
    <w:rsid w:val="00B313D9"/>
    <w:rsid w:val="00B31596"/>
    <w:rsid w:val="00B319B6"/>
    <w:rsid w:val="00B31D11"/>
    <w:rsid w:val="00B32289"/>
    <w:rsid w:val="00B32814"/>
    <w:rsid w:val="00B32B1F"/>
    <w:rsid w:val="00B33175"/>
    <w:rsid w:val="00B33D46"/>
    <w:rsid w:val="00B33E52"/>
    <w:rsid w:val="00B33FB2"/>
    <w:rsid w:val="00B340EA"/>
    <w:rsid w:val="00B341B9"/>
    <w:rsid w:val="00B344CB"/>
    <w:rsid w:val="00B346A7"/>
    <w:rsid w:val="00B34747"/>
    <w:rsid w:val="00B34A2C"/>
    <w:rsid w:val="00B354F0"/>
    <w:rsid w:val="00B35800"/>
    <w:rsid w:val="00B35924"/>
    <w:rsid w:val="00B36408"/>
    <w:rsid w:val="00B3681D"/>
    <w:rsid w:val="00B36DE8"/>
    <w:rsid w:val="00B36FD1"/>
    <w:rsid w:val="00B370C8"/>
    <w:rsid w:val="00B373D3"/>
    <w:rsid w:val="00B37495"/>
    <w:rsid w:val="00B37573"/>
    <w:rsid w:val="00B375A1"/>
    <w:rsid w:val="00B37EEE"/>
    <w:rsid w:val="00B40397"/>
    <w:rsid w:val="00B403EE"/>
    <w:rsid w:val="00B405BB"/>
    <w:rsid w:val="00B414C7"/>
    <w:rsid w:val="00B414F1"/>
    <w:rsid w:val="00B41685"/>
    <w:rsid w:val="00B42185"/>
    <w:rsid w:val="00B42277"/>
    <w:rsid w:val="00B4242C"/>
    <w:rsid w:val="00B42B3F"/>
    <w:rsid w:val="00B42C84"/>
    <w:rsid w:val="00B42F25"/>
    <w:rsid w:val="00B43479"/>
    <w:rsid w:val="00B434C9"/>
    <w:rsid w:val="00B4359D"/>
    <w:rsid w:val="00B435C0"/>
    <w:rsid w:val="00B43BF8"/>
    <w:rsid w:val="00B43C51"/>
    <w:rsid w:val="00B44737"/>
    <w:rsid w:val="00B44A3C"/>
    <w:rsid w:val="00B44B36"/>
    <w:rsid w:val="00B44D24"/>
    <w:rsid w:val="00B45760"/>
    <w:rsid w:val="00B4581E"/>
    <w:rsid w:val="00B45B6B"/>
    <w:rsid w:val="00B45CCB"/>
    <w:rsid w:val="00B45D9E"/>
    <w:rsid w:val="00B46A84"/>
    <w:rsid w:val="00B46B15"/>
    <w:rsid w:val="00B46DFE"/>
    <w:rsid w:val="00B46F06"/>
    <w:rsid w:val="00B4717F"/>
    <w:rsid w:val="00B47278"/>
    <w:rsid w:val="00B47374"/>
    <w:rsid w:val="00B4759F"/>
    <w:rsid w:val="00B47EA0"/>
    <w:rsid w:val="00B505E0"/>
    <w:rsid w:val="00B5071C"/>
    <w:rsid w:val="00B50824"/>
    <w:rsid w:val="00B5095A"/>
    <w:rsid w:val="00B51009"/>
    <w:rsid w:val="00B51060"/>
    <w:rsid w:val="00B511EE"/>
    <w:rsid w:val="00B5188E"/>
    <w:rsid w:val="00B519B9"/>
    <w:rsid w:val="00B51FC9"/>
    <w:rsid w:val="00B52552"/>
    <w:rsid w:val="00B52641"/>
    <w:rsid w:val="00B532D6"/>
    <w:rsid w:val="00B534F2"/>
    <w:rsid w:val="00B53666"/>
    <w:rsid w:val="00B536BB"/>
    <w:rsid w:val="00B53906"/>
    <w:rsid w:val="00B53F16"/>
    <w:rsid w:val="00B542B2"/>
    <w:rsid w:val="00B544C1"/>
    <w:rsid w:val="00B5452F"/>
    <w:rsid w:val="00B5455C"/>
    <w:rsid w:val="00B546E0"/>
    <w:rsid w:val="00B54FCB"/>
    <w:rsid w:val="00B5572B"/>
    <w:rsid w:val="00B55B52"/>
    <w:rsid w:val="00B55DD8"/>
    <w:rsid w:val="00B56116"/>
    <w:rsid w:val="00B56B3D"/>
    <w:rsid w:val="00B56C20"/>
    <w:rsid w:val="00B56DD1"/>
    <w:rsid w:val="00B5733A"/>
    <w:rsid w:val="00B60047"/>
    <w:rsid w:val="00B600CE"/>
    <w:rsid w:val="00B60157"/>
    <w:rsid w:val="00B60639"/>
    <w:rsid w:val="00B61007"/>
    <w:rsid w:val="00B6119B"/>
    <w:rsid w:val="00B61234"/>
    <w:rsid w:val="00B61526"/>
    <w:rsid w:val="00B6154C"/>
    <w:rsid w:val="00B61FDE"/>
    <w:rsid w:val="00B62083"/>
    <w:rsid w:val="00B6210B"/>
    <w:rsid w:val="00B621BC"/>
    <w:rsid w:val="00B62468"/>
    <w:rsid w:val="00B62A30"/>
    <w:rsid w:val="00B62D4E"/>
    <w:rsid w:val="00B62E18"/>
    <w:rsid w:val="00B632F8"/>
    <w:rsid w:val="00B6332D"/>
    <w:rsid w:val="00B63D16"/>
    <w:rsid w:val="00B64049"/>
    <w:rsid w:val="00B64163"/>
    <w:rsid w:val="00B641BF"/>
    <w:rsid w:val="00B64219"/>
    <w:rsid w:val="00B643D7"/>
    <w:rsid w:val="00B64475"/>
    <w:rsid w:val="00B64E96"/>
    <w:rsid w:val="00B64F0F"/>
    <w:rsid w:val="00B65098"/>
    <w:rsid w:val="00B65612"/>
    <w:rsid w:val="00B656BE"/>
    <w:rsid w:val="00B65893"/>
    <w:rsid w:val="00B65B77"/>
    <w:rsid w:val="00B65F3C"/>
    <w:rsid w:val="00B6634E"/>
    <w:rsid w:val="00B666B3"/>
    <w:rsid w:val="00B66B75"/>
    <w:rsid w:val="00B66F6C"/>
    <w:rsid w:val="00B67074"/>
    <w:rsid w:val="00B6736F"/>
    <w:rsid w:val="00B676B2"/>
    <w:rsid w:val="00B70160"/>
    <w:rsid w:val="00B703C0"/>
    <w:rsid w:val="00B7066C"/>
    <w:rsid w:val="00B7071C"/>
    <w:rsid w:val="00B70B8F"/>
    <w:rsid w:val="00B70C4C"/>
    <w:rsid w:val="00B70E43"/>
    <w:rsid w:val="00B7142F"/>
    <w:rsid w:val="00B717E5"/>
    <w:rsid w:val="00B71C7F"/>
    <w:rsid w:val="00B71CB1"/>
    <w:rsid w:val="00B71CF3"/>
    <w:rsid w:val="00B72221"/>
    <w:rsid w:val="00B72AAD"/>
    <w:rsid w:val="00B72B90"/>
    <w:rsid w:val="00B72CF3"/>
    <w:rsid w:val="00B733F4"/>
    <w:rsid w:val="00B73814"/>
    <w:rsid w:val="00B73AE1"/>
    <w:rsid w:val="00B73E6C"/>
    <w:rsid w:val="00B74CE4"/>
    <w:rsid w:val="00B74FEB"/>
    <w:rsid w:val="00B752E8"/>
    <w:rsid w:val="00B757EA"/>
    <w:rsid w:val="00B75CDF"/>
    <w:rsid w:val="00B75D19"/>
    <w:rsid w:val="00B75DC6"/>
    <w:rsid w:val="00B76342"/>
    <w:rsid w:val="00B76773"/>
    <w:rsid w:val="00B76DA2"/>
    <w:rsid w:val="00B77016"/>
    <w:rsid w:val="00B7702A"/>
    <w:rsid w:val="00B77554"/>
    <w:rsid w:val="00B776C8"/>
    <w:rsid w:val="00B777C7"/>
    <w:rsid w:val="00B77801"/>
    <w:rsid w:val="00B80393"/>
    <w:rsid w:val="00B803E3"/>
    <w:rsid w:val="00B80444"/>
    <w:rsid w:val="00B80773"/>
    <w:rsid w:val="00B80A60"/>
    <w:rsid w:val="00B80CA0"/>
    <w:rsid w:val="00B80FDE"/>
    <w:rsid w:val="00B81199"/>
    <w:rsid w:val="00B8130F"/>
    <w:rsid w:val="00B81407"/>
    <w:rsid w:val="00B81AE3"/>
    <w:rsid w:val="00B81C66"/>
    <w:rsid w:val="00B81D98"/>
    <w:rsid w:val="00B81EAE"/>
    <w:rsid w:val="00B82630"/>
    <w:rsid w:val="00B82648"/>
    <w:rsid w:val="00B826CC"/>
    <w:rsid w:val="00B82702"/>
    <w:rsid w:val="00B8278E"/>
    <w:rsid w:val="00B829C0"/>
    <w:rsid w:val="00B82AD0"/>
    <w:rsid w:val="00B83349"/>
    <w:rsid w:val="00B83420"/>
    <w:rsid w:val="00B83447"/>
    <w:rsid w:val="00B83557"/>
    <w:rsid w:val="00B835D2"/>
    <w:rsid w:val="00B83922"/>
    <w:rsid w:val="00B83A0F"/>
    <w:rsid w:val="00B83A47"/>
    <w:rsid w:val="00B83D53"/>
    <w:rsid w:val="00B84605"/>
    <w:rsid w:val="00B84885"/>
    <w:rsid w:val="00B84EF8"/>
    <w:rsid w:val="00B85651"/>
    <w:rsid w:val="00B86A97"/>
    <w:rsid w:val="00B873DB"/>
    <w:rsid w:val="00B8740E"/>
    <w:rsid w:val="00B87558"/>
    <w:rsid w:val="00B875BB"/>
    <w:rsid w:val="00B875CE"/>
    <w:rsid w:val="00B87865"/>
    <w:rsid w:val="00B87A9B"/>
    <w:rsid w:val="00B9015C"/>
    <w:rsid w:val="00B905D8"/>
    <w:rsid w:val="00B9065E"/>
    <w:rsid w:val="00B914FC"/>
    <w:rsid w:val="00B915B1"/>
    <w:rsid w:val="00B91C07"/>
    <w:rsid w:val="00B91D36"/>
    <w:rsid w:val="00B92687"/>
    <w:rsid w:val="00B92F65"/>
    <w:rsid w:val="00B93755"/>
    <w:rsid w:val="00B939EF"/>
    <w:rsid w:val="00B93D11"/>
    <w:rsid w:val="00B944DE"/>
    <w:rsid w:val="00B94720"/>
    <w:rsid w:val="00B94749"/>
    <w:rsid w:val="00B94775"/>
    <w:rsid w:val="00B94DC2"/>
    <w:rsid w:val="00B94EEC"/>
    <w:rsid w:val="00B954C5"/>
    <w:rsid w:val="00B9597F"/>
    <w:rsid w:val="00B95CE8"/>
    <w:rsid w:val="00B95D9D"/>
    <w:rsid w:val="00B95EF8"/>
    <w:rsid w:val="00B96FF9"/>
    <w:rsid w:val="00B97361"/>
    <w:rsid w:val="00B974D8"/>
    <w:rsid w:val="00B97624"/>
    <w:rsid w:val="00B978A3"/>
    <w:rsid w:val="00B97AEC"/>
    <w:rsid w:val="00BA0355"/>
    <w:rsid w:val="00BA0357"/>
    <w:rsid w:val="00BA0A07"/>
    <w:rsid w:val="00BA0AE6"/>
    <w:rsid w:val="00BA0D83"/>
    <w:rsid w:val="00BA0F04"/>
    <w:rsid w:val="00BA1031"/>
    <w:rsid w:val="00BA115E"/>
    <w:rsid w:val="00BA1835"/>
    <w:rsid w:val="00BA19E0"/>
    <w:rsid w:val="00BA1DB6"/>
    <w:rsid w:val="00BA2250"/>
    <w:rsid w:val="00BA23CD"/>
    <w:rsid w:val="00BA26DF"/>
    <w:rsid w:val="00BA26EE"/>
    <w:rsid w:val="00BA29FB"/>
    <w:rsid w:val="00BA2A75"/>
    <w:rsid w:val="00BA2CEA"/>
    <w:rsid w:val="00BA2EBF"/>
    <w:rsid w:val="00BA2EEB"/>
    <w:rsid w:val="00BA36D5"/>
    <w:rsid w:val="00BA36FD"/>
    <w:rsid w:val="00BA385A"/>
    <w:rsid w:val="00BA3B2A"/>
    <w:rsid w:val="00BA3BCD"/>
    <w:rsid w:val="00BA3BD5"/>
    <w:rsid w:val="00BA3CE8"/>
    <w:rsid w:val="00BA4438"/>
    <w:rsid w:val="00BA446A"/>
    <w:rsid w:val="00BA4489"/>
    <w:rsid w:val="00BA4849"/>
    <w:rsid w:val="00BA4953"/>
    <w:rsid w:val="00BA4BFE"/>
    <w:rsid w:val="00BA5204"/>
    <w:rsid w:val="00BA530E"/>
    <w:rsid w:val="00BA5514"/>
    <w:rsid w:val="00BA5FBC"/>
    <w:rsid w:val="00BA6502"/>
    <w:rsid w:val="00BA6506"/>
    <w:rsid w:val="00BA66F9"/>
    <w:rsid w:val="00BA6E49"/>
    <w:rsid w:val="00BA7000"/>
    <w:rsid w:val="00BA701D"/>
    <w:rsid w:val="00BA712E"/>
    <w:rsid w:val="00BA71DE"/>
    <w:rsid w:val="00BA77C4"/>
    <w:rsid w:val="00BA79B5"/>
    <w:rsid w:val="00BA79F4"/>
    <w:rsid w:val="00BA7F87"/>
    <w:rsid w:val="00BB0047"/>
    <w:rsid w:val="00BB018B"/>
    <w:rsid w:val="00BB0203"/>
    <w:rsid w:val="00BB0356"/>
    <w:rsid w:val="00BB0362"/>
    <w:rsid w:val="00BB057B"/>
    <w:rsid w:val="00BB0967"/>
    <w:rsid w:val="00BB0A1D"/>
    <w:rsid w:val="00BB0D06"/>
    <w:rsid w:val="00BB0FAE"/>
    <w:rsid w:val="00BB1658"/>
    <w:rsid w:val="00BB166F"/>
    <w:rsid w:val="00BB1A9D"/>
    <w:rsid w:val="00BB1C86"/>
    <w:rsid w:val="00BB1F15"/>
    <w:rsid w:val="00BB201C"/>
    <w:rsid w:val="00BB2513"/>
    <w:rsid w:val="00BB26F4"/>
    <w:rsid w:val="00BB2816"/>
    <w:rsid w:val="00BB37DC"/>
    <w:rsid w:val="00BB3AD9"/>
    <w:rsid w:val="00BB448C"/>
    <w:rsid w:val="00BB4C12"/>
    <w:rsid w:val="00BB521F"/>
    <w:rsid w:val="00BB5562"/>
    <w:rsid w:val="00BB56C8"/>
    <w:rsid w:val="00BB618A"/>
    <w:rsid w:val="00BB6A9D"/>
    <w:rsid w:val="00BB6ABC"/>
    <w:rsid w:val="00BB6C64"/>
    <w:rsid w:val="00BB6C97"/>
    <w:rsid w:val="00BB71F3"/>
    <w:rsid w:val="00BB7786"/>
    <w:rsid w:val="00BB7AD1"/>
    <w:rsid w:val="00BB7CF1"/>
    <w:rsid w:val="00BB7D06"/>
    <w:rsid w:val="00BB7FC1"/>
    <w:rsid w:val="00BC04EB"/>
    <w:rsid w:val="00BC0510"/>
    <w:rsid w:val="00BC05A8"/>
    <w:rsid w:val="00BC064F"/>
    <w:rsid w:val="00BC0847"/>
    <w:rsid w:val="00BC0C32"/>
    <w:rsid w:val="00BC0DF8"/>
    <w:rsid w:val="00BC10CC"/>
    <w:rsid w:val="00BC13B1"/>
    <w:rsid w:val="00BC14BC"/>
    <w:rsid w:val="00BC14DB"/>
    <w:rsid w:val="00BC172F"/>
    <w:rsid w:val="00BC184C"/>
    <w:rsid w:val="00BC1ACB"/>
    <w:rsid w:val="00BC1D2B"/>
    <w:rsid w:val="00BC1D73"/>
    <w:rsid w:val="00BC1E2D"/>
    <w:rsid w:val="00BC245A"/>
    <w:rsid w:val="00BC26C0"/>
    <w:rsid w:val="00BC2F4F"/>
    <w:rsid w:val="00BC30A6"/>
    <w:rsid w:val="00BC325B"/>
    <w:rsid w:val="00BC348E"/>
    <w:rsid w:val="00BC3750"/>
    <w:rsid w:val="00BC3B42"/>
    <w:rsid w:val="00BC3E48"/>
    <w:rsid w:val="00BC4041"/>
    <w:rsid w:val="00BC40DD"/>
    <w:rsid w:val="00BC47DB"/>
    <w:rsid w:val="00BC47EF"/>
    <w:rsid w:val="00BC4ACD"/>
    <w:rsid w:val="00BC4BC6"/>
    <w:rsid w:val="00BC4F70"/>
    <w:rsid w:val="00BC50AE"/>
    <w:rsid w:val="00BC50C5"/>
    <w:rsid w:val="00BC5403"/>
    <w:rsid w:val="00BC568E"/>
    <w:rsid w:val="00BC574E"/>
    <w:rsid w:val="00BC5920"/>
    <w:rsid w:val="00BC5A3D"/>
    <w:rsid w:val="00BC5B69"/>
    <w:rsid w:val="00BC5BA0"/>
    <w:rsid w:val="00BC5DFF"/>
    <w:rsid w:val="00BC65F0"/>
    <w:rsid w:val="00BC6801"/>
    <w:rsid w:val="00BC682A"/>
    <w:rsid w:val="00BC6902"/>
    <w:rsid w:val="00BC6BB5"/>
    <w:rsid w:val="00BC6EC4"/>
    <w:rsid w:val="00BC7206"/>
    <w:rsid w:val="00BC728D"/>
    <w:rsid w:val="00BC7363"/>
    <w:rsid w:val="00BC756F"/>
    <w:rsid w:val="00BC78FA"/>
    <w:rsid w:val="00BC7B9F"/>
    <w:rsid w:val="00BC7CA3"/>
    <w:rsid w:val="00BD0F17"/>
    <w:rsid w:val="00BD12A4"/>
    <w:rsid w:val="00BD1415"/>
    <w:rsid w:val="00BD14EA"/>
    <w:rsid w:val="00BD1665"/>
    <w:rsid w:val="00BD1786"/>
    <w:rsid w:val="00BD1810"/>
    <w:rsid w:val="00BD1954"/>
    <w:rsid w:val="00BD2822"/>
    <w:rsid w:val="00BD2A24"/>
    <w:rsid w:val="00BD2D92"/>
    <w:rsid w:val="00BD2DF8"/>
    <w:rsid w:val="00BD2F6B"/>
    <w:rsid w:val="00BD31A7"/>
    <w:rsid w:val="00BD3290"/>
    <w:rsid w:val="00BD36E4"/>
    <w:rsid w:val="00BD37BE"/>
    <w:rsid w:val="00BD3993"/>
    <w:rsid w:val="00BD414C"/>
    <w:rsid w:val="00BD4333"/>
    <w:rsid w:val="00BD45E2"/>
    <w:rsid w:val="00BD4691"/>
    <w:rsid w:val="00BD49C4"/>
    <w:rsid w:val="00BD4E52"/>
    <w:rsid w:val="00BD4E9E"/>
    <w:rsid w:val="00BD5002"/>
    <w:rsid w:val="00BD51B6"/>
    <w:rsid w:val="00BD51F1"/>
    <w:rsid w:val="00BD58BC"/>
    <w:rsid w:val="00BD5C6F"/>
    <w:rsid w:val="00BD6011"/>
    <w:rsid w:val="00BD6C7F"/>
    <w:rsid w:val="00BD6FD5"/>
    <w:rsid w:val="00BD70AC"/>
    <w:rsid w:val="00BD7392"/>
    <w:rsid w:val="00BD779F"/>
    <w:rsid w:val="00BD7896"/>
    <w:rsid w:val="00BE0724"/>
    <w:rsid w:val="00BE09CE"/>
    <w:rsid w:val="00BE134B"/>
    <w:rsid w:val="00BE1CC8"/>
    <w:rsid w:val="00BE24D6"/>
    <w:rsid w:val="00BE26F0"/>
    <w:rsid w:val="00BE29A0"/>
    <w:rsid w:val="00BE2D71"/>
    <w:rsid w:val="00BE300E"/>
    <w:rsid w:val="00BE3773"/>
    <w:rsid w:val="00BE41B9"/>
    <w:rsid w:val="00BE4373"/>
    <w:rsid w:val="00BE44CB"/>
    <w:rsid w:val="00BE4853"/>
    <w:rsid w:val="00BE49DD"/>
    <w:rsid w:val="00BE4ADA"/>
    <w:rsid w:val="00BE4F8E"/>
    <w:rsid w:val="00BE5A1A"/>
    <w:rsid w:val="00BE5B01"/>
    <w:rsid w:val="00BE5D0B"/>
    <w:rsid w:val="00BE60ED"/>
    <w:rsid w:val="00BE6157"/>
    <w:rsid w:val="00BE6252"/>
    <w:rsid w:val="00BE6275"/>
    <w:rsid w:val="00BE6415"/>
    <w:rsid w:val="00BE66BC"/>
    <w:rsid w:val="00BE6910"/>
    <w:rsid w:val="00BE72AC"/>
    <w:rsid w:val="00BE73E4"/>
    <w:rsid w:val="00BE766C"/>
    <w:rsid w:val="00BE78A5"/>
    <w:rsid w:val="00BE7C5E"/>
    <w:rsid w:val="00BE7F9E"/>
    <w:rsid w:val="00BF052F"/>
    <w:rsid w:val="00BF087C"/>
    <w:rsid w:val="00BF17E3"/>
    <w:rsid w:val="00BF187F"/>
    <w:rsid w:val="00BF241E"/>
    <w:rsid w:val="00BF26D2"/>
    <w:rsid w:val="00BF29DE"/>
    <w:rsid w:val="00BF2AA5"/>
    <w:rsid w:val="00BF3ADE"/>
    <w:rsid w:val="00BF3D1A"/>
    <w:rsid w:val="00BF4129"/>
    <w:rsid w:val="00BF442E"/>
    <w:rsid w:val="00BF4A60"/>
    <w:rsid w:val="00BF529F"/>
    <w:rsid w:val="00BF52AF"/>
    <w:rsid w:val="00BF542E"/>
    <w:rsid w:val="00BF543E"/>
    <w:rsid w:val="00BF57FF"/>
    <w:rsid w:val="00BF5843"/>
    <w:rsid w:val="00BF5A2F"/>
    <w:rsid w:val="00BF5AED"/>
    <w:rsid w:val="00BF5BDD"/>
    <w:rsid w:val="00BF63C9"/>
    <w:rsid w:val="00BF648C"/>
    <w:rsid w:val="00BF6491"/>
    <w:rsid w:val="00BF680C"/>
    <w:rsid w:val="00BF6E7C"/>
    <w:rsid w:val="00BF72DD"/>
    <w:rsid w:val="00BF7544"/>
    <w:rsid w:val="00BF76CE"/>
    <w:rsid w:val="00BF7C2A"/>
    <w:rsid w:val="00BF7C6A"/>
    <w:rsid w:val="00BF7F0C"/>
    <w:rsid w:val="00C002C2"/>
    <w:rsid w:val="00C00426"/>
    <w:rsid w:val="00C0070C"/>
    <w:rsid w:val="00C007B0"/>
    <w:rsid w:val="00C00837"/>
    <w:rsid w:val="00C00C90"/>
    <w:rsid w:val="00C01457"/>
    <w:rsid w:val="00C01CE8"/>
    <w:rsid w:val="00C02CDB"/>
    <w:rsid w:val="00C02DF7"/>
    <w:rsid w:val="00C02DF9"/>
    <w:rsid w:val="00C02E72"/>
    <w:rsid w:val="00C030A4"/>
    <w:rsid w:val="00C034D0"/>
    <w:rsid w:val="00C03717"/>
    <w:rsid w:val="00C03DA5"/>
    <w:rsid w:val="00C03E31"/>
    <w:rsid w:val="00C03F10"/>
    <w:rsid w:val="00C03F18"/>
    <w:rsid w:val="00C0403A"/>
    <w:rsid w:val="00C04CFA"/>
    <w:rsid w:val="00C050C0"/>
    <w:rsid w:val="00C05193"/>
    <w:rsid w:val="00C059BA"/>
    <w:rsid w:val="00C06196"/>
    <w:rsid w:val="00C06718"/>
    <w:rsid w:val="00C0672B"/>
    <w:rsid w:val="00C06969"/>
    <w:rsid w:val="00C06993"/>
    <w:rsid w:val="00C069BB"/>
    <w:rsid w:val="00C07184"/>
    <w:rsid w:val="00C072F0"/>
    <w:rsid w:val="00C075B8"/>
    <w:rsid w:val="00C07694"/>
    <w:rsid w:val="00C077E1"/>
    <w:rsid w:val="00C0794F"/>
    <w:rsid w:val="00C07B44"/>
    <w:rsid w:val="00C07DEE"/>
    <w:rsid w:val="00C10196"/>
    <w:rsid w:val="00C109E2"/>
    <w:rsid w:val="00C1142F"/>
    <w:rsid w:val="00C114D0"/>
    <w:rsid w:val="00C119B7"/>
    <w:rsid w:val="00C11BE4"/>
    <w:rsid w:val="00C11DDA"/>
    <w:rsid w:val="00C12708"/>
    <w:rsid w:val="00C12F70"/>
    <w:rsid w:val="00C131B1"/>
    <w:rsid w:val="00C1352F"/>
    <w:rsid w:val="00C13E81"/>
    <w:rsid w:val="00C14067"/>
    <w:rsid w:val="00C146AA"/>
    <w:rsid w:val="00C1473C"/>
    <w:rsid w:val="00C14A5C"/>
    <w:rsid w:val="00C15247"/>
    <w:rsid w:val="00C152AC"/>
    <w:rsid w:val="00C152D6"/>
    <w:rsid w:val="00C154AB"/>
    <w:rsid w:val="00C15A65"/>
    <w:rsid w:val="00C15C6C"/>
    <w:rsid w:val="00C15D43"/>
    <w:rsid w:val="00C15DC7"/>
    <w:rsid w:val="00C15F9A"/>
    <w:rsid w:val="00C15FE0"/>
    <w:rsid w:val="00C164B3"/>
    <w:rsid w:val="00C16584"/>
    <w:rsid w:val="00C1678C"/>
    <w:rsid w:val="00C169BE"/>
    <w:rsid w:val="00C16A91"/>
    <w:rsid w:val="00C16D2A"/>
    <w:rsid w:val="00C17226"/>
    <w:rsid w:val="00C17BF5"/>
    <w:rsid w:val="00C17E8F"/>
    <w:rsid w:val="00C20089"/>
    <w:rsid w:val="00C205A2"/>
    <w:rsid w:val="00C20799"/>
    <w:rsid w:val="00C20809"/>
    <w:rsid w:val="00C20FD2"/>
    <w:rsid w:val="00C21052"/>
    <w:rsid w:val="00C2119A"/>
    <w:rsid w:val="00C212F2"/>
    <w:rsid w:val="00C21685"/>
    <w:rsid w:val="00C21761"/>
    <w:rsid w:val="00C2237F"/>
    <w:rsid w:val="00C2245B"/>
    <w:rsid w:val="00C226EC"/>
    <w:rsid w:val="00C22736"/>
    <w:rsid w:val="00C22BEB"/>
    <w:rsid w:val="00C22BEC"/>
    <w:rsid w:val="00C22E9D"/>
    <w:rsid w:val="00C22F01"/>
    <w:rsid w:val="00C22FAF"/>
    <w:rsid w:val="00C2323C"/>
    <w:rsid w:val="00C23315"/>
    <w:rsid w:val="00C2352C"/>
    <w:rsid w:val="00C237B6"/>
    <w:rsid w:val="00C23ADB"/>
    <w:rsid w:val="00C23C75"/>
    <w:rsid w:val="00C23E00"/>
    <w:rsid w:val="00C24313"/>
    <w:rsid w:val="00C24963"/>
    <w:rsid w:val="00C25198"/>
    <w:rsid w:val="00C25372"/>
    <w:rsid w:val="00C25406"/>
    <w:rsid w:val="00C25516"/>
    <w:rsid w:val="00C256A0"/>
    <w:rsid w:val="00C25886"/>
    <w:rsid w:val="00C258C5"/>
    <w:rsid w:val="00C25F6C"/>
    <w:rsid w:val="00C26868"/>
    <w:rsid w:val="00C26A1B"/>
    <w:rsid w:val="00C27014"/>
    <w:rsid w:val="00C277C2"/>
    <w:rsid w:val="00C277C5"/>
    <w:rsid w:val="00C27878"/>
    <w:rsid w:val="00C27C70"/>
    <w:rsid w:val="00C27CEA"/>
    <w:rsid w:val="00C300E6"/>
    <w:rsid w:val="00C3177D"/>
    <w:rsid w:val="00C318C2"/>
    <w:rsid w:val="00C32137"/>
    <w:rsid w:val="00C328A3"/>
    <w:rsid w:val="00C32A3F"/>
    <w:rsid w:val="00C32B1A"/>
    <w:rsid w:val="00C32DE5"/>
    <w:rsid w:val="00C3327E"/>
    <w:rsid w:val="00C337A7"/>
    <w:rsid w:val="00C33C66"/>
    <w:rsid w:val="00C3456E"/>
    <w:rsid w:val="00C345CE"/>
    <w:rsid w:val="00C347B4"/>
    <w:rsid w:val="00C34A1F"/>
    <w:rsid w:val="00C35097"/>
    <w:rsid w:val="00C3512F"/>
    <w:rsid w:val="00C35184"/>
    <w:rsid w:val="00C3544B"/>
    <w:rsid w:val="00C35969"/>
    <w:rsid w:val="00C36BDE"/>
    <w:rsid w:val="00C37D29"/>
    <w:rsid w:val="00C405A1"/>
    <w:rsid w:val="00C4096F"/>
    <w:rsid w:val="00C40A9D"/>
    <w:rsid w:val="00C41088"/>
    <w:rsid w:val="00C4110F"/>
    <w:rsid w:val="00C4116F"/>
    <w:rsid w:val="00C411C5"/>
    <w:rsid w:val="00C41379"/>
    <w:rsid w:val="00C413A5"/>
    <w:rsid w:val="00C41501"/>
    <w:rsid w:val="00C416E9"/>
    <w:rsid w:val="00C41A9E"/>
    <w:rsid w:val="00C42498"/>
    <w:rsid w:val="00C426A2"/>
    <w:rsid w:val="00C42EF4"/>
    <w:rsid w:val="00C42F10"/>
    <w:rsid w:val="00C430CC"/>
    <w:rsid w:val="00C4314E"/>
    <w:rsid w:val="00C431E1"/>
    <w:rsid w:val="00C43376"/>
    <w:rsid w:val="00C43644"/>
    <w:rsid w:val="00C43740"/>
    <w:rsid w:val="00C4380D"/>
    <w:rsid w:val="00C43DDE"/>
    <w:rsid w:val="00C442E3"/>
    <w:rsid w:val="00C4434B"/>
    <w:rsid w:val="00C4453A"/>
    <w:rsid w:val="00C44837"/>
    <w:rsid w:val="00C4525D"/>
    <w:rsid w:val="00C4531B"/>
    <w:rsid w:val="00C45570"/>
    <w:rsid w:val="00C45911"/>
    <w:rsid w:val="00C45944"/>
    <w:rsid w:val="00C45986"/>
    <w:rsid w:val="00C45A5E"/>
    <w:rsid w:val="00C45B7B"/>
    <w:rsid w:val="00C460F0"/>
    <w:rsid w:val="00C4635B"/>
    <w:rsid w:val="00C4643C"/>
    <w:rsid w:val="00C469B7"/>
    <w:rsid w:val="00C46DC1"/>
    <w:rsid w:val="00C46EDD"/>
    <w:rsid w:val="00C47001"/>
    <w:rsid w:val="00C4718D"/>
    <w:rsid w:val="00C472FD"/>
    <w:rsid w:val="00C50022"/>
    <w:rsid w:val="00C50B00"/>
    <w:rsid w:val="00C51589"/>
    <w:rsid w:val="00C51E5A"/>
    <w:rsid w:val="00C51FAA"/>
    <w:rsid w:val="00C52336"/>
    <w:rsid w:val="00C52B10"/>
    <w:rsid w:val="00C52C0A"/>
    <w:rsid w:val="00C52C20"/>
    <w:rsid w:val="00C52D51"/>
    <w:rsid w:val="00C52F58"/>
    <w:rsid w:val="00C53283"/>
    <w:rsid w:val="00C534C4"/>
    <w:rsid w:val="00C5362F"/>
    <w:rsid w:val="00C53642"/>
    <w:rsid w:val="00C5408B"/>
    <w:rsid w:val="00C543DA"/>
    <w:rsid w:val="00C5457C"/>
    <w:rsid w:val="00C55566"/>
    <w:rsid w:val="00C556C1"/>
    <w:rsid w:val="00C55AE3"/>
    <w:rsid w:val="00C55F14"/>
    <w:rsid w:val="00C56520"/>
    <w:rsid w:val="00C567A0"/>
    <w:rsid w:val="00C56BDF"/>
    <w:rsid w:val="00C56E6A"/>
    <w:rsid w:val="00C5742B"/>
    <w:rsid w:val="00C57556"/>
    <w:rsid w:val="00C57963"/>
    <w:rsid w:val="00C57A4A"/>
    <w:rsid w:val="00C57EB7"/>
    <w:rsid w:val="00C60409"/>
    <w:rsid w:val="00C61CEB"/>
    <w:rsid w:val="00C61E56"/>
    <w:rsid w:val="00C61F48"/>
    <w:rsid w:val="00C620DF"/>
    <w:rsid w:val="00C62198"/>
    <w:rsid w:val="00C621D5"/>
    <w:rsid w:val="00C62E94"/>
    <w:rsid w:val="00C630CD"/>
    <w:rsid w:val="00C63670"/>
    <w:rsid w:val="00C639F6"/>
    <w:rsid w:val="00C63E7B"/>
    <w:rsid w:val="00C6438F"/>
    <w:rsid w:val="00C643F0"/>
    <w:rsid w:val="00C644D8"/>
    <w:rsid w:val="00C6475F"/>
    <w:rsid w:val="00C64E1F"/>
    <w:rsid w:val="00C64FB7"/>
    <w:rsid w:val="00C65022"/>
    <w:rsid w:val="00C65143"/>
    <w:rsid w:val="00C65217"/>
    <w:rsid w:val="00C65A96"/>
    <w:rsid w:val="00C65AFE"/>
    <w:rsid w:val="00C65CF0"/>
    <w:rsid w:val="00C661BC"/>
    <w:rsid w:val="00C663AE"/>
    <w:rsid w:val="00C666ED"/>
    <w:rsid w:val="00C667B8"/>
    <w:rsid w:val="00C667ED"/>
    <w:rsid w:val="00C667F2"/>
    <w:rsid w:val="00C66EFD"/>
    <w:rsid w:val="00C66F2B"/>
    <w:rsid w:val="00C67367"/>
    <w:rsid w:val="00C67988"/>
    <w:rsid w:val="00C67DD3"/>
    <w:rsid w:val="00C70113"/>
    <w:rsid w:val="00C70468"/>
    <w:rsid w:val="00C705EE"/>
    <w:rsid w:val="00C70634"/>
    <w:rsid w:val="00C70CBD"/>
    <w:rsid w:val="00C70ED3"/>
    <w:rsid w:val="00C7158B"/>
    <w:rsid w:val="00C71C70"/>
    <w:rsid w:val="00C71E62"/>
    <w:rsid w:val="00C71EE3"/>
    <w:rsid w:val="00C71F54"/>
    <w:rsid w:val="00C720FB"/>
    <w:rsid w:val="00C72113"/>
    <w:rsid w:val="00C72A58"/>
    <w:rsid w:val="00C73CC9"/>
    <w:rsid w:val="00C74174"/>
    <w:rsid w:val="00C74245"/>
    <w:rsid w:val="00C74C27"/>
    <w:rsid w:val="00C75F9B"/>
    <w:rsid w:val="00C76552"/>
    <w:rsid w:val="00C765AA"/>
    <w:rsid w:val="00C76913"/>
    <w:rsid w:val="00C76EEF"/>
    <w:rsid w:val="00C776FD"/>
    <w:rsid w:val="00C77CB8"/>
    <w:rsid w:val="00C80796"/>
    <w:rsid w:val="00C80B2C"/>
    <w:rsid w:val="00C80CB4"/>
    <w:rsid w:val="00C80FD4"/>
    <w:rsid w:val="00C81038"/>
    <w:rsid w:val="00C81177"/>
    <w:rsid w:val="00C81377"/>
    <w:rsid w:val="00C81402"/>
    <w:rsid w:val="00C8146F"/>
    <w:rsid w:val="00C816F3"/>
    <w:rsid w:val="00C81D56"/>
    <w:rsid w:val="00C81DA4"/>
    <w:rsid w:val="00C81E74"/>
    <w:rsid w:val="00C8200F"/>
    <w:rsid w:val="00C8264F"/>
    <w:rsid w:val="00C82887"/>
    <w:rsid w:val="00C8332E"/>
    <w:rsid w:val="00C83AD5"/>
    <w:rsid w:val="00C83FAC"/>
    <w:rsid w:val="00C8413D"/>
    <w:rsid w:val="00C8414B"/>
    <w:rsid w:val="00C84BFA"/>
    <w:rsid w:val="00C84D86"/>
    <w:rsid w:val="00C853DA"/>
    <w:rsid w:val="00C85730"/>
    <w:rsid w:val="00C85769"/>
    <w:rsid w:val="00C85B5E"/>
    <w:rsid w:val="00C85F10"/>
    <w:rsid w:val="00C86029"/>
    <w:rsid w:val="00C8605D"/>
    <w:rsid w:val="00C86088"/>
    <w:rsid w:val="00C86197"/>
    <w:rsid w:val="00C86274"/>
    <w:rsid w:val="00C86353"/>
    <w:rsid w:val="00C86608"/>
    <w:rsid w:val="00C86F87"/>
    <w:rsid w:val="00C86FE5"/>
    <w:rsid w:val="00C87705"/>
    <w:rsid w:val="00C87DC1"/>
    <w:rsid w:val="00C87DF4"/>
    <w:rsid w:val="00C87E3D"/>
    <w:rsid w:val="00C87FEF"/>
    <w:rsid w:val="00C90066"/>
    <w:rsid w:val="00C904F8"/>
    <w:rsid w:val="00C906CD"/>
    <w:rsid w:val="00C90CC5"/>
    <w:rsid w:val="00C90EB0"/>
    <w:rsid w:val="00C91134"/>
    <w:rsid w:val="00C913A9"/>
    <w:rsid w:val="00C91439"/>
    <w:rsid w:val="00C915F7"/>
    <w:rsid w:val="00C91797"/>
    <w:rsid w:val="00C91836"/>
    <w:rsid w:val="00C9196E"/>
    <w:rsid w:val="00C919FA"/>
    <w:rsid w:val="00C91AAA"/>
    <w:rsid w:val="00C91D59"/>
    <w:rsid w:val="00C921DC"/>
    <w:rsid w:val="00C92257"/>
    <w:rsid w:val="00C927DA"/>
    <w:rsid w:val="00C928B1"/>
    <w:rsid w:val="00C92A4E"/>
    <w:rsid w:val="00C930A1"/>
    <w:rsid w:val="00C9329A"/>
    <w:rsid w:val="00C9369E"/>
    <w:rsid w:val="00C93BE6"/>
    <w:rsid w:val="00C9404C"/>
    <w:rsid w:val="00C940BC"/>
    <w:rsid w:val="00C942BC"/>
    <w:rsid w:val="00C9451D"/>
    <w:rsid w:val="00C94856"/>
    <w:rsid w:val="00C949DD"/>
    <w:rsid w:val="00C94A54"/>
    <w:rsid w:val="00C94C68"/>
    <w:rsid w:val="00C94D00"/>
    <w:rsid w:val="00C94FD8"/>
    <w:rsid w:val="00C94FFF"/>
    <w:rsid w:val="00C951D0"/>
    <w:rsid w:val="00C95315"/>
    <w:rsid w:val="00C95AFC"/>
    <w:rsid w:val="00C95E6B"/>
    <w:rsid w:val="00C9624D"/>
    <w:rsid w:val="00C963B9"/>
    <w:rsid w:val="00C96591"/>
    <w:rsid w:val="00C969D3"/>
    <w:rsid w:val="00C96DF0"/>
    <w:rsid w:val="00C970E0"/>
    <w:rsid w:val="00C97A08"/>
    <w:rsid w:val="00C97CFD"/>
    <w:rsid w:val="00C97DCC"/>
    <w:rsid w:val="00CA01E9"/>
    <w:rsid w:val="00CA0358"/>
    <w:rsid w:val="00CA037B"/>
    <w:rsid w:val="00CA051F"/>
    <w:rsid w:val="00CA05B4"/>
    <w:rsid w:val="00CA095E"/>
    <w:rsid w:val="00CA0B9A"/>
    <w:rsid w:val="00CA0C4D"/>
    <w:rsid w:val="00CA15B1"/>
    <w:rsid w:val="00CA1A0D"/>
    <w:rsid w:val="00CA1B06"/>
    <w:rsid w:val="00CA1B69"/>
    <w:rsid w:val="00CA2134"/>
    <w:rsid w:val="00CA2627"/>
    <w:rsid w:val="00CA2834"/>
    <w:rsid w:val="00CA2C3D"/>
    <w:rsid w:val="00CA2DAD"/>
    <w:rsid w:val="00CA2E3E"/>
    <w:rsid w:val="00CA350C"/>
    <w:rsid w:val="00CA35FC"/>
    <w:rsid w:val="00CA3AA6"/>
    <w:rsid w:val="00CA41B9"/>
    <w:rsid w:val="00CA4642"/>
    <w:rsid w:val="00CA4BB0"/>
    <w:rsid w:val="00CA4D55"/>
    <w:rsid w:val="00CA5237"/>
    <w:rsid w:val="00CA52BA"/>
    <w:rsid w:val="00CA57D4"/>
    <w:rsid w:val="00CA5EBD"/>
    <w:rsid w:val="00CA5F78"/>
    <w:rsid w:val="00CA6202"/>
    <w:rsid w:val="00CA63BF"/>
    <w:rsid w:val="00CA6ADA"/>
    <w:rsid w:val="00CA6C48"/>
    <w:rsid w:val="00CA6F79"/>
    <w:rsid w:val="00CA7276"/>
    <w:rsid w:val="00CA72F7"/>
    <w:rsid w:val="00CA74A9"/>
    <w:rsid w:val="00CA7574"/>
    <w:rsid w:val="00CA79DA"/>
    <w:rsid w:val="00CA7A7C"/>
    <w:rsid w:val="00CA7FF9"/>
    <w:rsid w:val="00CB0795"/>
    <w:rsid w:val="00CB0C7D"/>
    <w:rsid w:val="00CB0DC1"/>
    <w:rsid w:val="00CB0E71"/>
    <w:rsid w:val="00CB0F6F"/>
    <w:rsid w:val="00CB1AF1"/>
    <w:rsid w:val="00CB1C04"/>
    <w:rsid w:val="00CB1D25"/>
    <w:rsid w:val="00CB1FA7"/>
    <w:rsid w:val="00CB21D9"/>
    <w:rsid w:val="00CB2236"/>
    <w:rsid w:val="00CB2BB2"/>
    <w:rsid w:val="00CB2E7E"/>
    <w:rsid w:val="00CB3556"/>
    <w:rsid w:val="00CB3557"/>
    <w:rsid w:val="00CB36C4"/>
    <w:rsid w:val="00CB3C76"/>
    <w:rsid w:val="00CB3E46"/>
    <w:rsid w:val="00CB446C"/>
    <w:rsid w:val="00CB44B2"/>
    <w:rsid w:val="00CB47C2"/>
    <w:rsid w:val="00CB48B6"/>
    <w:rsid w:val="00CB4A6A"/>
    <w:rsid w:val="00CB4E14"/>
    <w:rsid w:val="00CB4E4C"/>
    <w:rsid w:val="00CB528A"/>
    <w:rsid w:val="00CB54F6"/>
    <w:rsid w:val="00CB5709"/>
    <w:rsid w:val="00CB5CBA"/>
    <w:rsid w:val="00CB6305"/>
    <w:rsid w:val="00CB6350"/>
    <w:rsid w:val="00CB6706"/>
    <w:rsid w:val="00CB6745"/>
    <w:rsid w:val="00CB73AD"/>
    <w:rsid w:val="00CB74CB"/>
    <w:rsid w:val="00CB7529"/>
    <w:rsid w:val="00CB760A"/>
    <w:rsid w:val="00CB7B82"/>
    <w:rsid w:val="00CC0373"/>
    <w:rsid w:val="00CC0959"/>
    <w:rsid w:val="00CC0F9E"/>
    <w:rsid w:val="00CC129E"/>
    <w:rsid w:val="00CC158A"/>
    <w:rsid w:val="00CC1C42"/>
    <w:rsid w:val="00CC1CA4"/>
    <w:rsid w:val="00CC2369"/>
    <w:rsid w:val="00CC242D"/>
    <w:rsid w:val="00CC2463"/>
    <w:rsid w:val="00CC25DE"/>
    <w:rsid w:val="00CC27F9"/>
    <w:rsid w:val="00CC2A4D"/>
    <w:rsid w:val="00CC2D55"/>
    <w:rsid w:val="00CC2E2B"/>
    <w:rsid w:val="00CC2E7A"/>
    <w:rsid w:val="00CC3024"/>
    <w:rsid w:val="00CC31DB"/>
    <w:rsid w:val="00CC351B"/>
    <w:rsid w:val="00CC3C57"/>
    <w:rsid w:val="00CC3D18"/>
    <w:rsid w:val="00CC41FD"/>
    <w:rsid w:val="00CC475A"/>
    <w:rsid w:val="00CC4904"/>
    <w:rsid w:val="00CC49F9"/>
    <w:rsid w:val="00CC4E3E"/>
    <w:rsid w:val="00CC513F"/>
    <w:rsid w:val="00CC5467"/>
    <w:rsid w:val="00CC5480"/>
    <w:rsid w:val="00CC57C9"/>
    <w:rsid w:val="00CC58AA"/>
    <w:rsid w:val="00CC5AE8"/>
    <w:rsid w:val="00CC5E00"/>
    <w:rsid w:val="00CC624F"/>
    <w:rsid w:val="00CC6295"/>
    <w:rsid w:val="00CC6421"/>
    <w:rsid w:val="00CC6485"/>
    <w:rsid w:val="00CC6605"/>
    <w:rsid w:val="00CC6748"/>
    <w:rsid w:val="00CC7267"/>
    <w:rsid w:val="00CC75DF"/>
    <w:rsid w:val="00CC7885"/>
    <w:rsid w:val="00CC7D37"/>
    <w:rsid w:val="00CD006F"/>
    <w:rsid w:val="00CD0769"/>
    <w:rsid w:val="00CD08C1"/>
    <w:rsid w:val="00CD0A96"/>
    <w:rsid w:val="00CD0DE3"/>
    <w:rsid w:val="00CD0E80"/>
    <w:rsid w:val="00CD11E8"/>
    <w:rsid w:val="00CD125B"/>
    <w:rsid w:val="00CD1953"/>
    <w:rsid w:val="00CD1A2A"/>
    <w:rsid w:val="00CD1C2D"/>
    <w:rsid w:val="00CD1CA5"/>
    <w:rsid w:val="00CD281E"/>
    <w:rsid w:val="00CD291C"/>
    <w:rsid w:val="00CD2D92"/>
    <w:rsid w:val="00CD32F2"/>
    <w:rsid w:val="00CD3375"/>
    <w:rsid w:val="00CD3450"/>
    <w:rsid w:val="00CD36BA"/>
    <w:rsid w:val="00CD3823"/>
    <w:rsid w:val="00CD3BC1"/>
    <w:rsid w:val="00CD3FC9"/>
    <w:rsid w:val="00CD44DA"/>
    <w:rsid w:val="00CD470B"/>
    <w:rsid w:val="00CD49D7"/>
    <w:rsid w:val="00CD4BC1"/>
    <w:rsid w:val="00CD4E2B"/>
    <w:rsid w:val="00CD4F14"/>
    <w:rsid w:val="00CD55E4"/>
    <w:rsid w:val="00CD588A"/>
    <w:rsid w:val="00CD5CAF"/>
    <w:rsid w:val="00CD69B6"/>
    <w:rsid w:val="00CD6B89"/>
    <w:rsid w:val="00CD6C01"/>
    <w:rsid w:val="00CD7254"/>
    <w:rsid w:val="00CD743A"/>
    <w:rsid w:val="00CD788F"/>
    <w:rsid w:val="00CD79BC"/>
    <w:rsid w:val="00CD7B93"/>
    <w:rsid w:val="00CD7E84"/>
    <w:rsid w:val="00CE0092"/>
    <w:rsid w:val="00CE00C6"/>
    <w:rsid w:val="00CE01D7"/>
    <w:rsid w:val="00CE0291"/>
    <w:rsid w:val="00CE04F4"/>
    <w:rsid w:val="00CE17B0"/>
    <w:rsid w:val="00CE1AA1"/>
    <w:rsid w:val="00CE1F88"/>
    <w:rsid w:val="00CE2051"/>
    <w:rsid w:val="00CE2220"/>
    <w:rsid w:val="00CE285B"/>
    <w:rsid w:val="00CE29E6"/>
    <w:rsid w:val="00CE2CC5"/>
    <w:rsid w:val="00CE317B"/>
    <w:rsid w:val="00CE3249"/>
    <w:rsid w:val="00CE3304"/>
    <w:rsid w:val="00CE3583"/>
    <w:rsid w:val="00CE3ACC"/>
    <w:rsid w:val="00CE3B64"/>
    <w:rsid w:val="00CE3F25"/>
    <w:rsid w:val="00CE3F5A"/>
    <w:rsid w:val="00CE40EE"/>
    <w:rsid w:val="00CE474A"/>
    <w:rsid w:val="00CE4B68"/>
    <w:rsid w:val="00CE4CBD"/>
    <w:rsid w:val="00CE4D0C"/>
    <w:rsid w:val="00CE4E31"/>
    <w:rsid w:val="00CE4ED8"/>
    <w:rsid w:val="00CE502E"/>
    <w:rsid w:val="00CE5114"/>
    <w:rsid w:val="00CE519B"/>
    <w:rsid w:val="00CE525A"/>
    <w:rsid w:val="00CE5614"/>
    <w:rsid w:val="00CE56E4"/>
    <w:rsid w:val="00CE592C"/>
    <w:rsid w:val="00CE5D5B"/>
    <w:rsid w:val="00CE5EA1"/>
    <w:rsid w:val="00CE5F80"/>
    <w:rsid w:val="00CE615A"/>
    <w:rsid w:val="00CE64A3"/>
    <w:rsid w:val="00CE67B2"/>
    <w:rsid w:val="00CE698F"/>
    <w:rsid w:val="00CE6A7D"/>
    <w:rsid w:val="00CE738D"/>
    <w:rsid w:val="00CE7BAF"/>
    <w:rsid w:val="00CF00E3"/>
    <w:rsid w:val="00CF026A"/>
    <w:rsid w:val="00CF04F7"/>
    <w:rsid w:val="00CF09F8"/>
    <w:rsid w:val="00CF0B53"/>
    <w:rsid w:val="00CF1EA3"/>
    <w:rsid w:val="00CF1EC2"/>
    <w:rsid w:val="00CF2093"/>
    <w:rsid w:val="00CF22FF"/>
    <w:rsid w:val="00CF2742"/>
    <w:rsid w:val="00CF2B7B"/>
    <w:rsid w:val="00CF2E18"/>
    <w:rsid w:val="00CF3315"/>
    <w:rsid w:val="00CF3316"/>
    <w:rsid w:val="00CF3534"/>
    <w:rsid w:val="00CF3545"/>
    <w:rsid w:val="00CF3993"/>
    <w:rsid w:val="00CF3AF1"/>
    <w:rsid w:val="00CF3CF4"/>
    <w:rsid w:val="00CF3D02"/>
    <w:rsid w:val="00CF3E96"/>
    <w:rsid w:val="00CF504D"/>
    <w:rsid w:val="00CF51B5"/>
    <w:rsid w:val="00CF5469"/>
    <w:rsid w:val="00CF59F1"/>
    <w:rsid w:val="00CF5B26"/>
    <w:rsid w:val="00CF5FC3"/>
    <w:rsid w:val="00CF6038"/>
    <w:rsid w:val="00CF607D"/>
    <w:rsid w:val="00CF6D59"/>
    <w:rsid w:val="00CF769C"/>
    <w:rsid w:val="00CF7B86"/>
    <w:rsid w:val="00CF7FC2"/>
    <w:rsid w:val="00D003F3"/>
    <w:rsid w:val="00D00671"/>
    <w:rsid w:val="00D00864"/>
    <w:rsid w:val="00D00BBF"/>
    <w:rsid w:val="00D00DF7"/>
    <w:rsid w:val="00D01148"/>
    <w:rsid w:val="00D014C0"/>
    <w:rsid w:val="00D01871"/>
    <w:rsid w:val="00D01CB8"/>
    <w:rsid w:val="00D01F27"/>
    <w:rsid w:val="00D02340"/>
    <w:rsid w:val="00D02398"/>
    <w:rsid w:val="00D02613"/>
    <w:rsid w:val="00D0278C"/>
    <w:rsid w:val="00D02B26"/>
    <w:rsid w:val="00D02B52"/>
    <w:rsid w:val="00D02D1D"/>
    <w:rsid w:val="00D02E36"/>
    <w:rsid w:val="00D02F1D"/>
    <w:rsid w:val="00D02F53"/>
    <w:rsid w:val="00D02FE0"/>
    <w:rsid w:val="00D03778"/>
    <w:rsid w:val="00D04262"/>
    <w:rsid w:val="00D0441C"/>
    <w:rsid w:val="00D04555"/>
    <w:rsid w:val="00D04707"/>
    <w:rsid w:val="00D04889"/>
    <w:rsid w:val="00D04AE9"/>
    <w:rsid w:val="00D04C35"/>
    <w:rsid w:val="00D0571E"/>
    <w:rsid w:val="00D057DA"/>
    <w:rsid w:val="00D05A80"/>
    <w:rsid w:val="00D0619D"/>
    <w:rsid w:val="00D065EE"/>
    <w:rsid w:val="00D06709"/>
    <w:rsid w:val="00D06A95"/>
    <w:rsid w:val="00D06DA4"/>
    <w:rsid w:val="00D06EDC"/>
    <w:rsid w:val="00D0721D"/>
    <w:rsid w:val="00D07294"/>
    <w:rsid w:val="00D07480"/>
    <w:rsid w:val="00D07B17"/>
    <w:rsid w:val="00D10265"/>
    <w:rsid w:val="00D1050C"/>
    <w:rsid w:val="00D10AA3"/>
    <w:rsid w:val="00D10B2F"/>
    <w:rsid w:val="00D10FE5"/>
    <w:rsid w:val="00D113CB"/>
    <w:rsid w:val="00D114EC"/>
    <w:rsid w:val="00D11574"/>
    <w:rsid w:val="00D118DC"/>
    <w:rsid w:val="00D1191F"/>
    <w:rsid w:val="00D11942"/>
    <w:rsid w:val="00D11F6A"/>
    <w:rsid w:val="00D125B4"/>
    <w:rsid w:val="00D12A7F"/>
    <w:rsid w:val="00D12E76"/>
    <w:rsid w:val="00D13344"/>
    <w:rsid w:val="00D1350D"/>
    <w:rsid w:val="00D138E0"/>
    <w:rsid w:val="00D13C0E"/>
    <w:rsid w:val="00D13D60"/>
    <w:rsid w:val="00D13D7E"/>
    <w:rsid w:val="00D13E2D"/>
    <w:rsid w:val="00D14165"/>
    <w:rsid w:val="00D1434D"/>
    <w:rsid w:val="00D1435B"/>
    <w:rsid w:val="00D143F5"/>
    <w:rsid w:val="00D14456"/>
    <w:rsid w:val="00D146E0"/>
    <w:rsid w:val="00D14C98"/>
    <w:rsid w:val="00D14D64"/>
    <w:rsid w:val="00D15A0D"/>
    <w:rsid w:val="00D15B4E"/>
    <w:rsid w:val="00D163C8"/>
    <w:rsid w:val="00D167B7"/>
    <w:rsid w:val="00D169C5"/>
    <w:rsid w:val="00D16BE6"/>
    <w:rsid w:val="00D16D52"/>
    <w:rsid w:val="00D17129"/>
    <w:rsid w:val="00D171BD"/>
    <w:rsid w:val="00D176D7"/>
    <w:rsid w:val="00D17D5A"/>
    <w:rsid w:val="00D202A5"/>
    <w:rsid w:val="00D202C3"/>
    <w:rsid w:val="00D20312"/>
    <w:rsid w:val="00D203E7"/>
    <w:rsid w:val="00D2043B"/>
    <w:rsid w:val="00D2069D"/>
    <w:rsid w:val="00D20A45"/>
    <w:rsid w:val="00D20DFB"/>
    <w:rsid w:val="00D213F9"/>
    <w:rsid w:val="00D215B1"/>
    <w:rsid w:val="00D21DC0"/>
    <w:rsid w:val="00D2219E"/>
    <w:rsid w:val="00D22BA2"/>
    <w:rsid w:val="00D22CEA"/>
    <w:rsid w:val="00D22F6F"/>
    <w:rsid w:val="00D231FA"/>
    <w:rsid w:val="00D23441"/>
    <w:rsid w:val="00D235DD"/>
    <w:rsid w:val="00D23A10"/>
    <w:rsid w:val="00D23C29"/>
    <w:rsid w:val="00D24113"/>
    <w:rsid w:val="00D248F6"/>
    <w:rsid w:val="00D24B37"/>
    <w:rsid w:val="00D24C91"/>
    <w:rsid w:val="00D25092"/>
    <w:rsid w:val="00D25198"/>
    <w:rsid w:val="00D25C88"/>
    <w:rsid w:val="00D25CB8"/>
    <w:rsid w:val="00D26A28"/>
    <w:rsid w:val="00D26B97"/>
    <w:rsid w:val="00D26E67"/>
    <w:rsid w:val="00D2706E"/>
    <w:rsid w:val="00D278E4"/>
    <w:rsid w:val="00D27946"/>
    <w:rsid w:val="00D279B1"/>
    <w:rsid w:val="00D27B0B"/>
    <w:rsid w:val="00D27D82"/>
    <w:rsid w:val="00D27FD8"/>
    <w:rsid w:val="00D306AC"/>
    <w:rsid w:val="00D30796"/>
    <w:rsid w:val="00D30A9A"/>
    <w:rsid w:val="00D30AFA"/>
    <w:rsid w:val="00D30B25"/>
    <w:rsid w:val="00D31173"/>
    <w:rsid w:val="00D316F5"/>
    <w:rsid w:val="00D31B93"/>
    <w:rsid w:val="00D31BEA"/>
    <w:rsid w:val="00D3219B"/>
    <w:rsid w:val="00D32231"/>
    <w:rsid w:val="00D324A7"/>
    <w:rsid w:val="00D332A6"/>
    <w:rsid w:val="00D33385"/>
    <w:rsid w:val="00D33C98"/>
    <w:rsid w:val="00D33F76"/>
    <w:rsid w:val="00D34243"/>
    <w:rsid w:val="00D3489E"/>
    <w:rsid w:val="00D34BA1"/>
    <w:rsid w:val="00D34BA3"/>
    <w:rsid w:val="00D34EA0"/>
    <w:rsid w:val="00D34F51"/>
    <w:rsid w:val="00D358D9"/>
    <w:rsid w:val="00D35DBD"/>
    <w:rsid w:val="00D35E2F"/>
    <w:rsid w:val="00D36170"/>
    <w:rsid w:val="00D36304"/>
    <w:rsid w:val="00D36941"/>
    <w:rsid w:val="00D36C26"/>
    <w:rsid w:val="00D36C8D"/>
    <w:rsid w:val="00D36EC2"/>
    <w:rsid w:val="00D37422"/>
    <w:rsid w:val="00D37BF3"/>
    <w:rsid w:val="00D40060"/>
    <w:rsid w:val="00D40109"/>
    <w:rsid w:val="00D40866"/>
    <w:rsid w:val="00D40AB9"/>
    <w:rsid w:val="00D40B75"/>
    <w:rsid w:val="00D40DC4"/>
    <w:rsid w:val="00D4146A"/>
    <w:rsid w:val="00D4195D"/>
    <w:rsid w:val="00D41D5E"/>
    <w:rsid w:val="00D41DE4"/>
    <w:rsid w:val="00D41EBC"/>
    <w:rsid w:val="00D4236A"/>
    <w:rsid w:val="00D4241A"/>
    <w:rsid w:val="00D4294C"/>
    <w:rsid w:val="00D42C3B"/>
    <w:rsid w:val="00D4317B"/>
    <w:rsid w:val="00D43459"/>
    <w:rsid w:val="00D4352A"/>
    <w:rsid w:val="00D43D56"/>
    <w:rsid w:val="00D43EAA"/>
    <w:rsid w:val="00D43FB4"/>
    <w:rsid w:val="00D44203"/>
    <w:rsid w:val="00D443EF"/>
    <w:rsid w:val="00D445E3"/>
    <w:rsid w:val="00D4479A"/>
    <w:rsid w:val="00D44852"/>
    <w:rsid w:val="00D448CA"/>
    <w:rsid w:val="00D4498C"/>
    <w:rsid w:val="00D45029"/>
    <w:rsid w:val="00D456AE"/>
    <w:rsid w:val="00D4584E"/>
    <w:rsid w:val="00D45D47"/>
    <w:rsid w:val="00D45F3E"/>
    <w:rsid w:val="00D45F6D"/>
    <w:rsid w:val="00D46397"/>
    <w:rsid w:val="00D464FE"/>
    <w:rsid w:val="00D46625"/>
    <w:rsid w:val="00D46686"/>
    <w:rsid w:val="00D46CC5"/>
    <w:rsid w:val="00D473B8"/>
    <w:rsid w:val="00D47701"/>
    <w:rsid w:val="00D47AC8"/>
    <w:rsid w:val="00D47C9E"/>
    <w:rsid w:val="00D47FC6"/>
    <w:rsid w:val="00D505E2"/>
    <w:rsid w:val="00D5062D"/>
    <w:rsid w:val="00D5089F"/>
    <w:rsid w:val="00D508AF"/>
    <w:rsid w:val="00D50A7D"/>
    <w:rsid w:val="00D50FDB"/>
    <w:rsid w:val="00D51438"/>
    <w:rsid w:val="00D5157C"/>
    <w:rsid w:val="00D517FD"/>
    <w:rsid w:val="00D51817"/>
    <w:rsid w:val="00D51988"/>
    <w:rsid w:val="00D519D9"/>
    <w:rsid w:val="00D51CEE"/>
    <w:rsid w:val="00D5258A"/>
    <w:rsid w:val="00D5280F"/>
    <w:rsid w:val="00D52B4F"/>
    <w:rsid w:val="00D52F2E"/>
    <w:rsid w:val="00D530F1"/>
    <w:rsid w:val="00D53983"/>
    <w:rsid w:val="00D53ABC"/>
    <w:rsid w:val="00D53D93"/>
    <w:rsid w:val="00D541D7"/>
    <w:rsid w:val="00D554EA"/>
    <w:rsid w:val="00D55B03"/>
    <w:rsid w:val="00D55C6A"/>
    <w:rsid w:val="00D55FB6"/>
    <w:rsid w:val="00D5630B"/>
    <w:rsid w:val="00D5645D"/>
    <w:rsid w:val="00D566F5"/>
    <w:rsid w:val="00D5698C"/>
    <w:rsid w:val="00D56A92"/>
    <w:rsid w:val="00D56BBC"/>
    <w:rsid w:val="00D56E48"/>
    <w:rsid w:val="00D574FA"/>
    <w:rsid w:val="00D57910"/>
    <w:rsid w:val="00D5797B"/>
    <w:rsid w:val="00D57C22"/>
    <w:rsid w:val="00D57CD3"/>
    <w:rsid w:val="00D57DF2"/>
    <w:rsid w:val="00D601B2"/>
    <w:rsid w:val="00D6024A"/>
    <w:rsid w:val="00D6025D"/>
    <w:rsid w:val="00D60751"/>
    <w:rsid w:val="00D60E93"/>
    <w:rsid w:val="00D61577"/>
    <w:rsid w:val="00D615AA"/>
    <w:rsid w:val="00D617DF"/>
    <w:rsid w:val="00D61B05"/>
    <w:rsid w:val="00D61D22"/>
    <w:rsid w:val="00D620FA"/>
    <w:rsid w:val="00D62284"/>
    <w:rsid w:val="00D62859"/>
    <w:rsid w:val="00D62F59"/>
    <w:rsid w:val="00D6321E"/>
    <w:rsid w:val="00D63972"/>
    <w:rsid w:val="00D6397C"/>
    <w:rsid w:val="00D63EA1"/>
    <w:rsid w:val="00D645B6"/>
    <w:rsid w:val="00D64B3C"/>
    <w:rsid w:val="00D65381"/>
    <w:rsid w:val="00D6578C"/>
    <w:rsid w:val="00D66512"/>
    <w:rsid w:val="00D66BB0"/>
    <w:rsid w:val="00D66D73"/>
    <w:rsid w:val="00D66F9C"/>
    <w:rsid w:val="00D66FF0"/>
    <w:rsid w:val="00D6705D"/>
    <w:rsid w:val="00D67130"/>
    <w:rsid w:val="00D674F5"/>
    <w:rsid w:val="00D67789"/>
    <w:rsid w:val="00D67BCE"/>
    <w:rsid w:val="00D67C02"/>
    <w:rsid w:val="00D707DD"/>
    <w:rsid w:val="00D709E5"/>
    <w:rsid w:val="00D70C40"/>
    <w:rsid w:val="00D7103C"/>
    <w:rsid w:val="00D7177B"/>
    <w:rsid w:val="00D71A99"/>
    <w:rsid w:val="00D71B93"/>
    <w:rsid w:val="00D71CBD"/>
    <w:rsid w:val="00D71DA4"/>
    <w:rsid w:val="00D71DC4"/>
    <w:rsid w:val="00D71E07"/>
    <w:rsid w:val="00D720D3"/>
    <w:rsid w:val="00D7219E"/>
    <w:rsid w:val="00D721AF"/>
    <w:rsid w:val="00D72365"/>
    <w:rsid w:val="00D72A98"/>
    <w:rsid w:val="00D72CA6"/>
    <w:rsid w:val="00D72DC4"/>
    <w:rsid w:val="00D73F7A"/>
    <w:rsid w:val="00D74060"/>
    <w:rsid w:val="00D74446"/>
    <w:rsid w:val="00D74F7A"/>
    <w:rsid w:val="00D750EE"/>
    <w:rsid w:val="00D7574B"/>
    <w:rsid w:val="00D757D0"/>
    <w:rsid w:val="00D759DA"/>
    <w:rsid w:val="00D75D6B"/>
    <w:rsid w:val="00D75E8E"/>
    <w:rsid w:val="00D75FD9"/>
    <w:rsid w:val="00D7689F"/>
    <w:rsid w:val="00D769DB"/>
    <w:rsid w:val="00D76FAF"/>
    <w:rsid w:val="00D77050"/>
    <w:rsid w:val="00D77A20"/>
    <w:rsid w:val="00D802EF"/>
    <w:rsid w:val="00D804F7"/>
    <w:rsid w:val="00D81017"/>
    <w:rsid w:val="00D810C2"/>
    <w:rsid w:val="00D810F4"/>
    <w:rsid w:val="00D816C4"/>
    <w:rsid w:val="00D81A11"/>
    <w:rsid w:val="00D82121"/>
    <w:rsid w:val="00D82686"/>
    <w:rsid w:val="00D829CF"/>
    <w:rsid w:val="00D82CD5"/>
    <w:rsid w:val="00D82E3B"/>
    <w:rsid w:val="00D83008"/>
    <w:rsid w:val="00D831D6"/>
    <w:rsid w:val="00D84278"/>
    <w:rsid w:val="00D84633"/>
    <w:rsid w:val="00D84693"/>
    <w:rsid w:val="00D84EAB"/>
    <w:rsid w:val="00D8505F"/>
    <w:rsid w:val="00D85282"/>
    <w:rsid w:val="00D853F5"/>
    <w:rsid w:val="00D856FF"/>
    <w:rsid w:val="00D858DF"/>
    <w:rsid w:val="00D85A99"/>
    <w:rsid w:val="00D85BB8"/>
    <w:rsid w:val="00D85D83"/>
    <w:rsid w:val="00D85FB4"/>
    <w:rsid w:val="00D85FD5"/>
    <w:rsid w:val="00D862CF"/>
    <w:rsid w:val="00D8792B"/>
    <w:rsid w:val="00D87C6B"/>
    <w:rsid w:val="00D87D78"/>
    <w:rsid w:val="00D87EBA"/>
    <w:rsid w:val="00D90510"/>
    <w:rsid w:val="00D90A5E"/>
    <w:rsid w:val="00D911DF"/>
    <w:rsid w:val="00D916EC"/>
    <w:rsid w:val="00D9187E"/>
    <w:rsid w:val="00D91932"/>
    <w:rsid w:val="00D919CC"/>
    <w:rsid w:val="00D91A49"/>
    <w:rsid w:val="00D92190"/>
    <w:rsid w:val="00D9232C"/>
    <w:rsid w:val="00D924F8"/>
    <w:rsid w:val="00D926A8"/>
    <w:rsid w:val="00D927C0"/>
    <w:rsid w:val="00D92A2D"/>
    <w:rsid w:val="00D92A79"/>
    <w:rsid w:val="00D92FAE"/>
    <w:rsid w:val="00D930C7"/>
    <w:rsid w:val="00D93124"/>
    <w:rsid w:val="00D932EC"/>
    <w:rsid w:val="00D9392F"/>
    <w:rsid w:val="00D939A5"/>
    <w:rsid w:val="00D93CC0"/>
    <w:rsid w:val="00D9444D"/>
    <w:rsid w:val="00D947FD"/>
    <w:rsid w:val="00D94884"/>
    <w:rsid w:val="00D949B0"/>
    <w:rsid w:val="00D949F1"/>
    <w:rsid w:val="00D94C00"/>
    <w:rsid w:val="00D94ECD"/>
    <w:rsid w:val="00D95391"/>
    <w:rsid w:val="00D95998"/>
    <w:rsid w:val="00D959B7"/>
    <w:rsid w:val="00D95AEA"/>
    <w:rsid w:val="00D95F68"/>
    <w:rsid w:val="00D9635A"/>
    <w:rsid w:val="00D96479"/>
    <w:rsid w:val="00D96BF5"/>
    <w:rsid w:val="00D97212"/>
    <w:rsid w:val="00D97252"/>
    <w:rsid w:val="00D9737A"/>
    <w:rsid w:val="00D9767C"/>
    <w:rsid w:val="00D97890"/>
    <w:rsid w:val="00D97B56"/>
    <w:rsid w:val="00D97BC8"/>
    <w:rsid w:val="00D97E80"/>
    <w:rsid w:val="00D97F35"/>
    <w:rsid w:val="00D97FA6"/>
    <w:rsid w:val="00DA019E"/>
    <w:rsid w:val="00DA01A0"/>
    <w:rsid w:val="00DA0449"/>
    <w:rsid w:val="00DA0A22"/>
    <w:rsid w:val="00DA0B50"/>
    <w:rsid w:val="00DA0D4E"/>
    <w:rsid w:val="00DA1112"/>
    <w:rsid w:val="00DA1174"/>
    <w:rsid w:val="00DA1AA7"/>
    <w:rsid w:val="00DA1B5F"/>
    <w:rsid w:val="00DA2366"/>
    <w:rsid w:val="00DA257D"/>
    <w:rsid w:val="00DA2834"/>
    <w:rsid w:val="00DA2ACF"/>
    <w:rsid w:val="00DA3066"/>
    <w:rsid w:val="00DA322C"/>
    <w:rsid w:val="00DA32C9"/>
    <w:rsid w:val="00DA3D90"/>
    <w:rsid w:val="00DA3F37"/>
    <w:rsid w:val="00DA3F50"/>
    <w:rsid w:val="00DA41BA"/>
    <w:rsid w:val="00DA41E5"/>
    <w:rsid w:val="00DA4351"/>
    <w:rsid w:val="00DA4B55"/>
    <w:rsid w:val="00DA4C3D"/>
    <w:rsid w:val="00DA4DFB"/>
    <w:rsid w:val="00DA506A"/>
    <w:rsid w:val="00DA522D"/>
    <w:rsid w:val="00DA529F"/>
    <w:rsid w:val="00DA538C"/>
    <w:rsid w:val="00DA549F"/>
    <w:rsid w:val="00DA54EE"/>
    <w:rsid w:val="00DA5BE7"/>
    <w:rsid w:val="00DA5C49"/>
    <w:rsid w:val="00DA699C"/>
    <w:rsid w:val="00DA6DAD"/>
    <w:rsid w:val="00DA6F86"/>
    <w:rsid w:val="00DA77C1"/>
    <w:rsid w:val="00DB092E"/>
    <w:rsid w:val="00DB0D5D"/>
    <w:rsid w:val="00DB0F07"/>
    <w:rsid w:val="00DB1C16"/>
    <w:rsid w:val="00DB1CAD"/>
    <w:rsid w:val="00DB22A6"/>
    <w:rsid w:val="00DB24A3"/>
    <w:rsid w:val="00DB2849"/>
    <w:rsid w:val="00DB30CA"/>
    <w:rsid w:val="00DB39EE"/>
    <w:rsid w:val="00DB3C11"/>
    <w:rsid w:val="00DB3F87"/>
    <w:rsid w:val="00DB43B0"/>
    <w:rsid w:val="00DB46AF"/>
    <w:rsid w:val="00DB483D"/>
    <w:rsid w:val="00DB5058"/>
    <w:rsid w:val="00DB535B"/>
    <w:rsid w:val="00DB5A16"/>
    <w:rsid w:val="00DB63C2"/>
    <w:rsid w:val="00DB6A32"/>
    <w:rsid w:val="00DB7208"/>
    <w:rsid w:val="00DB754C"/>
    <w:rsid w:val="00DB7DFF"/>
    <w:rsid w:val="00DB7F0C"/>
    <w:rsid w:val="00DB7F89"/>
    <w:rsid w:val="00DB7F9E"/>
    <w:rsid w:val="00DB7FD4"/>
    <w:rsid w:val="00DC02C0"/>
    <w:rsid w:val="00DC0C43"/>
    <w:rsid w:val="00DC0C65"/>
    <w:rsid w:val="00DC0D07"/>
    <w:rsid w:val="00DC0FED"/>
    <w:rsid w:val="00DC1B0A"/>
    <w:rsid w:val="00DC1E0C"/>
    <w:rsid w:val="00DC2297"/>
    <w:rsid w:val="00DC2440"/>
    <w:rsid w:val="00DC2471"/>
    <w:rsid w:val="00DC2999"/>
    <w:rsid w:val="00DC2CAA"/>
    <w:rsid w:val="00DC2E6F"/>
    <w:rsid w:val="00DC3140"/>
    <w:rsid w:val="00DC3423"/>
    <w:rsid w:val="00DC35B1"/>
    <w:rsid w:val="00DC36B6"/>
    <w:rsid w:val="00DC396B"/>
    <w:rsid w:val="00DC3A5F"/>
    <w:rsid w:val="00DC3DD0"/>
    <w:rsid w:val="00DC3FD9"/>
    <w:rsid w:val="00DC4460"/>
    <w:rsid w:val="00DC51C7"/>
    <w:rsid w:val="00DC5CEC"/>
    <w:rsid w:val="00DC5D64"/>
    <w:rsid w:val="00DC5F66"/>
    <w:rsid w:val="00DC7757"/>
    <w:rsid w:val="00DC7E51"/>
    <w:rsid w:val="00DD02C1"/>
    <w:rsid w:val="00DD0384"/>
    <w:rsid w:val="00DD0CF4"/>
    <w:rsid w:val="00DD1137"/>
    <w:rsid w:val="00DD1194"/>
    <w:rsid w:val="00DD11E5"/>
    <w:rsid w:val="00DD1867"/>
    <w:rsid w:val="00DD1B64"/>
    <w:rsid w:val="00DD203A"/>
    <w:rsid w:val="00DD2185"/>
    <w:rsid w:val="00DD228F"/>
    <w:rsid w:val="00DD23ED"/>
    <w:rsid w:val="00DD24D9"/>
    <w:rsid w:val="00DD25FC"/>
    <w:rsid w:val="00DD2687"/>
    <w:rsid w:val="00DD26E1"/>
    <w:rsid w:val="00DD2DAC"/>
    <w:rsid w:val="00DD2EDD"/>
    <w:rsid w:val="00DD338A"/>
    <w:rsid w:val="00DD3944"/>
    <w:rsid w:val="00DD3D07"/>
    <w:rsid w:val="00DD3E3D"/>
    <w:rsid w:val="00DD431C"/>
    <w:rsid w:val="00DD48B7"/>
    <w:rsid w:val="00DD4A85"/>
    <w:rsid w:val="00DD4E08"/>
    <w:rsid w:val="00DD4E9B"/>
    <w:rsid w:val="00DD5D11"/>
    <w:rsid w:val="00DD6ACA"/>
    <w:rsid w:val="00DD6B63"/>
    <w:rsid w:val="00DD6BE7"/>
    <w:rsid w:val="00DD6D00"/>
    <w:rsid w:val="00DD6EDC"/>
    <w:rsid w:val="00DD7332"/>
    <w:rsid w:val="00DD74E7"/>
    <w:rsid w:val="00DD756D"/>
    <w:rsid w:val="00DD7961"/>
    <w:rsid w:val="00DD7981"/>
    <w:rsid w:val="00DD7B69"/>
    <w:rsid w:val="00DD7DAB"/>
    <w:rsid w:val="00DD7F45"/>
    <w:rsid w:val="00DE041D"/>
    <w:rsid w:val="00DE0760"/>
    <w:rsid w:val="00DE0BD5"/>
    <w:rsid w:val="00DE152C"/>
    <w:rsid w:val="00DE17B8"/>
    <w:rsid w:val="00DE1B3C"/>
    <w:rsid w:val="00DE1CA7"/>
    <w:rsid w:val="00DE20BF"/>
    <w:rsid w:val="00DE25E5"/>
    <w:rsid w:val="00DE2BA5"/>
    <w:rsid w:val="00DE33E0"/>
    <w:rsid w:val="00DE34E3"/>
    <w:rsid w:val="00DE3556"/>
    <w:rsid w:val="00DE3A31"/>
    <w:rsid w:val="00DE3BA2"/>
    <w:rsid w:val="00DE3C0A"/>
    <w:rsid w:val="00DE3D86"/>
    <w:rsid w:val="00DE3EB7"/>
    <w:rsid w:val="00DE3EE4"/>
    <w:rsid w:val="00DE40C3"/>
    <w:rsid w:val="00DE48CE"/>
    <w:rsid w:val="00DE5147"/>
    <w:rsid w:val="00DE5180"/>
    <w:rsid w:val="00DE555C"/>
    <w:rsid w:val="00DE5606"/>
    <w:rsid w:val="00DE5D62"/>
    <w:rsid w:val="00DE61C1"/>
    <w:rsid w:val="00DE62F5"/>
    <w:rsid w:val="00DE62FB"/>
    <w:rsid w:val="00DE6608"/>
    <w:rsid w:val="00DE6C46"/>
    <w:rsid w:val="00DE6CFB"/>
    <w:rsid w:val="00DE6D7D"/>
    <w:rsid w:val="00DE7A5C"/>
    <w:rsid w:val="00DE7DD4"/>
    <w:rsid w:val="00DF02F9"/>
    <w:rsid w:val="00DF0571"/>
    <w:rsid w:val="00DF06D3"/>
    <w:rsid w:val="00DF0A65"/>
    <w:rsid w:val="00DF104B"/>
    <w:rsid w:val="00DF1F53"/>
    <w:rsid w:val="00DF22F4"/>
    <w:rsid w:val="00DF27F0"/>
    <w:rsid w:val="00DF2A99"/>
    <w:rsid w:val="00DF2B17"/>
    <w:rsid w:val="00DF2BC9"/>
    <w:rsid w:val="00DF2C3E"/>
    <w:rsid w:val="00DF30CC"/>
    <w:rsid w:val="00DF32E2"/>
    <w:rsid w:val="00DF3986"/>
    <w:rsid w:val="00DF3AE7"/>
    <w:rsid w:val="00DF3B7A"/>
    <w:rsid w:val="00DF4983"/>
    <w:rsid w:val="00DF4A86"/>
    <w:rsid w:val="00DF4C99"/>
    <w:rsid w:val="00DF50CA"/>
    <w:rsid w:val="00DF51FC"/>
    <w:rsid w:val="00DF52BF"/>
    <w:rsid w:val="00DF59C0"/>
    <w:rsid w:val="00DF5EC5"/>
    <w:rsid w:val="00DF6038"/>
    <w:rsid w:val="00DF608C"/>
    <w:rsid w:val="00DF6540"/>
    <w:rsid w:val="00DF6568"/>
    <w:rsid w:val="00DF666F"/>
    <w:rsid w:val="00DF6CA0"/>
    <w:rsid w:val="00DF6E89"/>
    <w:rsid w:val="00DF73B8"/>
    <w:rsid w:val="00DF7878"/>
    <w:rsid w:val="00DF7D55"/>
    <w:rsid w:val="00E0031A"/>
    <w:rsid w:val="00E003DB"/>
    <w:rsid w:val="00E00818"/>
    <w:rsid w:val="00E00A54"/>
    <w:rsid w:val="00E00B26"/>
    <w:rsid w:val="00E00B38"/>
    <w:rsid w:val="00E00BE8"/>
    <w:rsid w:val="00E00CA6"/>
    <w:rsid w:val="00E00D0A"/>
    <w:rsid w:val="00E0179D"/>
    <w:rsid w:val="00E01ACE"/>
    <w:rsid w:val="00E01D3C"/>
    <w:rsid w:val="00E021C3"/>
    <w:rsid w:val="00E025CC"/>
    <w:rsid w:val="00E0278E"/>
    <w:rsid w:val="00E02BD1"/>
    <w:rsid w:val="00E02D11"/>
    <w:rsid w:val="00E02E87"/>
    <w:rsid w:val="00E02EF6"/>
    <w:rsid w:val="00E03166"/>
    <w:rsid w:val="00E03177"/>
    <w:rsid w:val="00E0328D"/>
    <w:rsid w:val="00E034F2"/>
    <w:rsid w:val="00E03BC0"/>
    <w:rsid w:val="00E03CAE"/>
    <w:rsid w:val="00E04056"/>
    <w:rsid w:val="00E04B7F"/>
    <w:rsid w:val="00E04C5D"/>
    <w:rsid w:val="00E04CA7"/>
    <w:rsid w:val="00E04E6F"/>
    <w:rsid w:val="00E04EBB"/>
    <w:rsid w:val="00E04F82"/>
    <w:rsid w:val="00E05787"/>
    <w:rsid w:val="00E0579F"/>
    <w:rsid w:val="00E05B27"/>
    <w:rsid w:val="00E05BF4"/>
    <w:rsid w:val="00E05E2C"/>
    <w:rsid w:val="00E05E3E"/>
    <w:rsid w:val="00E06389"/>
    <w:rsid w:val="00E06B87"/>
    <w:rsid w:val="00E07427"/>
    <w:rsid w:val="00E0751E"/>
    <w:rsid w:val="00E076B1"/>
    <w:rsid w:val="00E079F7"/>
    <w:rsid w:val="00E07AAD"/>
    <w:rsid w:val="00E07DE6"/>
    <w:rsid w:val="00E102B7"/>
    <w:rsid w:val="00E104EA"/>
    <w:rsid w:val="00E10632"/>
    <w:rsid w:val="00E109CF"/>
    <w:rsid w:val="00E10D20"/>
    <w:rsid w:val="00E10DC2"/>
    <w:rsid w:val="00E10E0E"/>
    <w:rsid w:val="00E10F5C"/>
    <w:rsid w:val="00E11288"/>
    <w:rsid w:val="00E11AEB"/>
    <w:rsid w:val="00E121F6"/>
    <w:rsid w:val="00E127E1"/>
    <w:rsid w:val="00E12883"/>
    <w:rsid w:val="00E1365F"/>
    <w:rsid w:val="00E1379D"/>
    <w:rsid w:val="00E13CE5"/>
    <w:rsid w:val="00E13EE9"/>
    <w:rsid w:val="00E145E4"/>
    <w:rsid w:val="00E147CF"/>
    <w:rsid w:val="00E1483B"/>
    <w:rsid w:val="00E14C1E"/>
    <w:rsid w:val="00E14D24"/>
    <w:rsid w:val="00E14D6C"/>
    <w:rsid w:val="00E150E4"/>
    <w:rsid w:val="00E153D9"/>
    <w:rsid w:val="00E154DB"/>
    <w:rsid w:val="00E154FB"/>
    <w:rsid w:val="00E15697"/>
    <w:rsid w:val="00E157D1"/>
    <w:rsid w:val="00E15843"/>
    <w:rsid w:val="00E15948"/>
    <w:rsid w:val="00E15A9D"/>
    <w:rsid w:val="00E15BA6"/>
    <w:rsid w:val="00E15CF1"/>
    <w:rsid w:val="00E162F3"/>
    <w:rsid w:val="00E16307"/>
    <w:rsid w:val="00E163CF"/>
    <w:rsid w:val="00E16625"/>
    <w:rsid w:val="00E1668D"/>
    <w:rsid w:val="00E1682E"/>
    <w:rsid w:val="00E16DB3"/>
    <w:rsid w:val="00E170CF"/>
    <w:rsid w:val="00E17242"/>
    <w:rsid w:val="00E17AA0"/>
    <w:rsid w:val="00E17B00"/>
    <w:rsid w:val="00E17B65"/>
    <w:rsid w:val="00E20121"/>
    <w:rsid w:val="00E20501"/>
    <w:rsid w:val="00E20C06"/>
    <w:rsid w:val="00E20FE5"/>
    <w:rsid w:val="00E21F83"/>
    <w:rsid w:val="00E21FB3"/>
    <w:rsid w:val="00E21FE7"/>
    <w:rsid w:val="00E22295"/>
    <w:rsid w:val="00E22389"/>
    <w:rsid w:val="00E22D1E"/>
    <w:rsid w:val="00E22FF9"/>
    <w:rsid w:val="00E23100"/>
    <w:rsid w:val="00E23148"/>
    <w:rsid w:val="00E2341D"/>
    <w:rsid w:val="00E23427"/>
    <w:rsid w:val="00E23A72"/>
    <w:rsid w:val="00E23C07"/>
    <w:rsid w:val="00E24061"/>
    <w:rsid w:val="00E24819"/>
    <w:rsid w:val="00E24C36"/>
    <w:rsid w:val="00E24EDC"/>
    <w:rsid w:val="00E25046"/>
    <w:rsid w:val="00E2509B"/>
    <w:rsid w:val="00E252C8"/>
    <w:rsid w:val="00E25574"/>
    <w:rsid w:val="00E25700"/>
    <w:rsid w:val="00E2591D"/>
    <w:rsid w:val="00E25BA2"/>
    <w:rsid w:val="00E260EA"/>
    <w:rsid w:val="00E26390"/>
    <w:rsid w:val="00E26A38"/>
    <w:rsid w:val="00E26B09"/>
    <w:rsid w:val="00E26E2A"/>
    <w:rsid w:val="00E27059"/>
    <w:rsid w:val="00E271B9"/>
    <w:rsid w:val="00E2727A"/>
    <w:rsid w:val="00E275D7"/>
    <w:rsid w:val="00E276D5"/>
    <w:rsid w:val="00E27963"/>
    <w:rsid w:val="00E27A9F"/>
    <w:rsid w:val="00E27FA8"/>
    <w:rsid w:val="00E30514"/>
    <w:rsid w:val="00E309CC"/>
    <w:rsid w:val="00E30A23"/>
    <w:rsid w:val="00E30CFC"/>
    <w:rsid w:val="00E31835"/>
    <w:rsid w:val="00E319D3"/>
    <w:rsid w:val="00E31A32"/>
    <w:rsid w:val="00E31A9E"/>
    <w:rsid w:val="00E31B8F"/>
    <w:rsid w:val="00E31E31"/>
    <w:rsid w:val="00E329BA"/>
    <w:rsid w:val="00E32DE1"/>
    <w:rsid w:val="00E330D5"/>
    <w:rsid w:val="00E3352A"/>
    <w:rsid w:val="00E336A8"/>
    <w:rsid w:val="00E33B39"/>
    <w:rsid w:val="00E33BB6"/>
    <w:rsid w:val="00E33DA5"/>
    <w:rsid w:val="00E33F9C"/>
    <w:rsid w:val="00E34D40"/>
    <w:rsid w:val="00E34FA6"/>
    <w:rsid w:val="00E358C3"/>
    <w:rsid w:val="00E35D9F"/>
    <w:rsid w:val="00E36B02"/>
    <w:rsid w:val="00E379DF"/>
    <w:rsid w:val="00E37C52"/>
    <w:rsid w:val="00E402B9"/>
    <w:rsid w:val="00E402DC"/>
    <w:rsid w:val="00E403D5"/>
    <w:rsid w:val="00E40C07"/>
    <w:rsid w:val="00E40D54"/>
    <w:rsid w:val="00E40DFB"/>
    <w:rsid w:val="00E4159C"/>
    <w:rsid w:val="00E41719"/>
    <w:rsid w:val="00E41A94"/>
    <w:rsid w:val="00E41B5A"/>
    <w:rsid w:val="00E42158"/>
    <w:rsid w:val="00E421D3"/>
    <w:rsid w:val="00E422E2"/>
    <w:rsid w:val="00E4279E"/>
    <w:rsid w:val="00E428F4"/>
    <w:rsid w:val="00E42D9C"/>
    <w:rsid w:val="00E43A96"/>
    <w:rsid w:val="00E4458C"/>
    <w:rsid w:val="00E445A6"/>
    <w:rsid w:val="00E44B40"/>
    <w:rsid w:val="00E44DA7"/>
    <w:rsid w:val="00E44F5A"/>
    <w:rsid w:val="00E44FDD"/>
    <w:rsid w:val="00E452A0"/>
    <w:rsid w:val="00E453A3"/>
    <w:rsid w:val="00E4554C"/>
    <w:rsid w:val="00E4574A"/>
    <w:rsid w:val="00E45A16"/>
    <w:rsid w:val="00E45A45"/>
    <w:rsid w:val="00E45D6E"/>
    <w:rsid w:val="00E45E6E"/>
    <w:rsid w:val="00E460D6"/>
    <w:rsid w:val="00E460D9"/>
    <w:rsid w:val="00E46190"/>
    <w:rsid w:val="00E463AD"/>
    <w:rsid w:val="00E4645B"/>
    <w:rsid w:val="00E464C7"/>
    <w:rsid w:val="00E464ED"/>
    <w:rsid w:val="00E4657C"/>
    <w:rsid w:val="00E466F4"/>
    <w:rsid w:val="00E466FF"/>
    <w:rsid w:val="00E46B44"/>
    <w:rsid w:val="00E46FCA"/>
    <w:rsid w:val="00E47409"/>
    <w:rsid w:val="00E47678"/>
    <w:rsid w:val="00E51261"/>
    <w:rsid w:val="00E51659"/>
    <w:rsid w:val="00E5197F"/>
    <w:rsid w:val="00E51EE0"/>
    <w:rsid w:val="00E51F52"/>
    <w:rsid w:val="00E52183"/>
    <w:rsid w:val="00E5222A"/>
    <w:rsid w:val="00E526F6"/>
    <w:rsid w:val="00E52999"/>
    <w:rsid w:val="00E52AA0"/>
    <w:rsid w:val="00E52BD7"/>
    <w:rsid w:val="00E52DE7"/>
    <w:rsid w:val="00E52F19"/>
    <w:rsid w:val="00E5335D"/>
    <w:rsid w:val="00E533ED"/>
    <w:rsid w:val="00E53555"/>
    <w:rsid w:val="00E536AB"/>
    <w:rsid w:val="00E53733"/>
    <w:rsid w:val="00E538CC"/>
    <w:rsid w:val="00E53B60"/>
    <w:rsid w:val="00E53C3B"/>
    <w:rsid w:val="00E53F40"/>
    <w:rsid w:val="00E5421A"/>
    <w:rsid w:val="00E54250"/>
    <w:rsid w:val="00E54382"/>
    <w:rsid w:val="00E543EA"/>
    <w:rsid w:val="00E54A5D"/>
    <w:rsid w:val="00E54ACC"/>
    <w:rsid w:val="00E54B10"/>
    <w:rsid w:val="00E54C39"/>
    <w:rsid w:val="00E54DCD"/>
    <w:rsid w:val="00E54FB4"/>
    <w:rsid w:val="00E55671"/>
    <w:rsid w:val="00E55A96"/>
    <w:rsid w:val="00E55DFF"/>
    <w:rsid w:val="00E55FCB"/>
    <w:rsid w:val="00E56006"/>
    <w:rsid w:val="00E56171"/>
    <w:rsid w:val="00E56223"/>
    <w:rsid w:val="00E56606"/>
    <w:rsid w:val="00E56C57"/>
    <w:rsid w:val="00E56DF2"/>
    <w:rsid w:val="00E56E18"/>
    <w:rsid w:val="00E56EBB"/>
    <w:rsid w:val="00E576C9"/>
    <w:rsid w:val="00E57886"/>
    <w:rsid w:val="00E57FE5"/>
    <w:rsid w:val="00E60388"/>
    <w:rsid w:val="00E60570"/>
    <w:rsid w:val="00E6057C"/>
    <w:rsid w:val="00E605B5"/>
    <w:rsid w:val="00E605BB"/>
    <w:rsid w:val="00E60732"/>
    <w:rsid w:val="00E60773"/>
    <w:rsid w:val="00E60962"/>
    <w:rsid w:val="00E60A46"/>
    <w:rsid w:val="00E60C43"/>
    <w:rsid w:val="00E60FCD"/>
    <w:rsid w:val="00E613CE"/>
    <w:rsid w:val="00E616D9"/>
    <w:rsid w:val="00E62035"/>
    <w:rsid w:val="00E622E8"/>
    <w:rsid w:val="00E624EA"/>
    <w:rsid w:val="00E62569"/>
    <w:rsid w:val="00E6290E"/>
    <w:rsid w:val="00E62A47"/>
    <w:rsid w:val="00E62A50"/>
    <w:rsid w:val="00E6316C"/>
    <w:rsid w:val="00E637AD"/>
    <w:rsid w:val="00E6386E"/>
    <w:rsid w:val="00E6456F"/>
    <w:rsid w:val="00E64636"/>
    <w:rsid w:val="00E64C86"/>
    <w:rsid w:val="00E64F98"/>
    <w:rsid w:val="00E654C8"/>
    <w:rsid w:val="00E65711"/>
    <w:rsid w:val="00E65B45"/>
    <w:rsid w:val="00E65CD2"/>
    <w:rsid w:val="00E66009"/>
    <w:rsid w:val="00E6686E"/>
    <w:rsid w:val="00E66D7D"/>
    <w:rsid w:val="00E66E17"/>
    <w:rsid w:val="00E66E40"/>
    <w:rsid w:val="00E6728F"/>
    <w:rsid w:val="00E674D2"/>
    <w:rsid w:val="00E67860"/>
    <w:rsid w:val="00E6793B"/>
    <w:rsid w:val="00E67E10"/>
    <w:rsid w:val="00E67F66"/>
    <w:rsid w:val="00E70141"/>
    <w:rsid w:val="00E706F4"/>
    <w:rsid w:val="00E71388"/>
    <w:rsid w:val="00E7140C"/>
    <w:rsid w:val="00E71547"/>
    <w:rsid w:val="00E71A30"/>
    <w:rsid w:val="00E71B4D"/>
    <w:rsid w:val="00E720E6"/>
    <w:rsid w:val="00E721C2"/>
    <w:rsid w:val="00E722D7"/>
    <w:rsid w:val="00E72389"/>
    <w:rsid w:val="00E72686"/>
    <w:rsid w:val="00E728F3"/>
    <w:rsid w:val="00E72C73"/>
    <w:rsid w:val="00E731A5"/>
    <w:rsid w:val="00E734A4"/>
    <w:rsid w:val="00E739F7"/>
    <w:rsid w:val="00E73B88"/>
    <w:rsid w:val="00E743C7"/>
    <w:rsid w:val="00E744B4"/>
    <w:rsid w:val="00E74914"/>
    <w:rsid w:val="00E74AFA"/>
    <w:rsid w:val="00E74C09"/>
    <w:rsid w:val="00E750C7"/>
    <w:rsid w:val="00E7545C"/>
    <w:rsid w:val="00E758EA"/>
    <w:rsid w:val="00E7597E"/>
    <w:rsid w:val="00E75EC8"/>
    <w:rsid w:val="00E75F0D"/>
    <w:rsid w:val="00E75F1F"/>
    <w:rsid w:val="00E760BF"/>
    <w:rsid w:val="00E7665B"/>
    <w:rsid w:val="00E76674"/>
    <w:rsid w:val="00E767F8"/>
    <w:rsid w:val="00E7684A"/>
    <w:rsid w:val="00E7694A"/>
    <w:rsid w:val="00E76A6D"/>
    <w:rsid w:val="00E77172"/>
    <w:rsid w:val="00E778F4"/>
    <w:rsid w:val="00E809A0"/>
    <w:rsid w:val="00E80E68"/>
    <w:rsid w:val="00E810D5"/>
    <w:rsid w:val="00E8132E"/>
    <w:rsid w:val="00E814B2"/>
    <w:rsid w:val="00E81810"/>
    <w:rsid w:val="00E81A77"/>
    <w:rsid w:val="00E81B63"/>
    <w:rsid w:val="00E81BD4"/>
    <w:rsid w:val="00E81F2A"/>
    <w:rsid w:val="00E81FA9"/>
    <w:rsid w:val="00E82169"/>
    <w:rsid w:val="00E82290"/>
    <w:rsid w:val="00E82A79"/>
    <w:rsid w:val="00E82D02"/>
    <w:rsid w:val="00E8348B"/>
    <w:rsid w:val="00E8368D"/>
    <w:rsid w:val="00E83791"/>
    <w:rsid w:val="00E84A33"/>
    <w:rsid w:val="00E84C63"/>
    <w:rsid w:val="00E853FF"/>
    <w:rsid w:val="00E85730"/>
    <w:rsid w:val="00E8595E"/>
    <w:rsid w:val="00E860A9"/>
    <w:rsid w:val="00E860B3"/>
    <w:rsid w:val="00E86222"/>
    <w:rsid w:val="00E86511"/>
    <w:rsid w:val="00E86914"/>
    <w:rsid w:val="00E87B9F"/>
    <w:rsid w:val="00E87CEF"/>
    <w:rsid w:val="00E87D65"/>
    <w:rsid w:val="00E87D94"/>
    <w:rsid w:val="00E87DB8"/>
    <w:rsid w:val="00E87E66"/>
    <w:rsid w:val="00E90625"/>
    <w:rsid w:val="00E91013"/>
    <w:rsid w:val="00E91051"/>
    <w:rsid w:val="00E91ED0"/>
    <w:rsid w:val="00E92334"/>
    <w:rsid w:val="00E924AE"/>
    <w:rsid w:val="00E927D0"/>
    <w:rsid w:val="00E92841"/>
    <w:rsid w:val="00E928B9"/>
    <w:rsid w:val="00E932FC"/>
    <w:rsid w:val="00E93397"/>
    <w:rsid w:val="00E93582"/>
    <w:rsid w:val="00E9394B"/>
    <w:rsid w:val="00E93ACA"/>
    <w:rsid w:val="00E93AEC"/>
    <w:rsid w:val="00E93E35"/>
    <w:rsid w:val="00E93EAA"/>
    <w:rsid w:val="00E94082"/>
    <w:rsid w:val="00E94397"/>
    <w:rsid w:val="00E94411"/>
    <w:rsid w:val="00E945ED"/>
    <w:rsid w:val="00E94A0B"/>
    <w:rsid w:val="00E951F4"/>
    <w:rsid w:val="00E953A6"/>
    <w:rsid w:val="00E95814"/>
    <w:rsid w:val="00E95AC7"/>
    <w:rsid w:val="00E9645B"/>
    <w:rsid w:val="00E964DF"/>
    <w:rsid w:val="00E9661D"/>
    <w:rsid w:val="00E9669A"/>
    <w:rsid w:val="00E966E9"/>
    <w:rsid w:val="00E97C29"/>
    <w:rsid w:val="00EA0049"/>
    <w:rsid w:val="00EA0F98"/>
    <w:rsid w:val="00EA127C"/>
    <w:rsid w:val="00EA154C"/>
    <w:rsid w:val="00EA1681"/>
    <w:rsid w:val="00EA17D4"/>
    <w:rsid w:val="00EA19F4"/>
    <w:rsid w:val="00EA1BE7"/>
    <w:rsid w:val="00EA1D38"/>
    <w:rsid w:val="00EA2642"/>
    <w:rsid w:val="00EA281F"/>
    <w:rsid w:val="00EA2BA1"/>
    <w:rsid w:val="00EA3520"/>
    <w:rsid w:val="00EA3A10"/>
    <w:rsid w:val="00EA3AC5"/>
    <w:rsid w:val="00EA3D74"/>
    <w:rsid w:val="00EA3D8A"/>
    <w:rsid w:val="00EA3F08"/>
    <w:rsid w:val="00EA4060"/>
    <w:rsid w:val="00EA43C8"/>
    <w:rsid w:val="00EA441D"/>
    <w:rsid w:val="00EA4803"/>
    <w:rsid w:val="00EA4A18"/>
    <w:rsid w:val="00EA5491"/>
    <w:rsid w:val="00EA58AB"/>
    <w:rsid w:val="00EA5BFA"/>
    <w:rsid w:val="00EA5C4F"/>
    <w:rsid w:val="00EA62E4"/>
    <w:rsid w:val="00EA657A"/>
    <w:rsid w:val="00EA6699"/>
    <w:rsid w:val="00EA6A78"/>
    <w:rsid w:val="00EA6A90"/>
    <w:rsid w:val="00EA6C21"/>
    <w:rsid w:val="00EA6C30"/>
    <w:rsid w:val="00EA73CE"/>
    <w:rsid w:val="00EA75E8"/>
    <w:rsid w:val="00EA7B71"/>
    <w:rsid w:val="00EA7C48"/>
    <w:rsid w:val="00EB01B4"/>
    <w:rsid w:val="00EB02BE"/>
    <w:rsid w:val="00EB0571"/>
    <w:rsid w:val="00EB0800"/>
    <w:rsid w:val="00EB08E4"/>
    <w:rsid w:val="00EB0B11"/>
    <w:rsid w:val="00EB0F9D"/>
    <w:rsid w:val="00EB10E9"/>
    <w:rsid w:val="00EB178D"/>
    <w:rsid w:val="00EB1B85"/>
    <w:rsid w:val="00EB1D05"/>
    <w:rsid w:val="00EB1F71"/>
    <w:rsid w:val="00EB223A"/>
    <w:rsid w:val="00EB224A"/>
    <w:rsid w:val="00EB2560"/>
    <w:rsid w:val="00EB2A4A"/>
    <w:rsid w:val="00EB2A96"/>
    <w:rsid w:val="00EB2BA0"/>
    <w:rsid w:val="00EB2CEA"/>
    <w:rsid w:val="00EB2D28"/>
    <w:rsid w:val="00EB3345"/>
    <w:rsid w:val="00EB3410"/>
    <w:rsid w:val="00EB4058"/>
    <w:rsid w:val="00EB4933"/>
    <w:rsid w:val="00EB4CA8"/>
    <w:rsid w:val="00EB4EBD"/>
    <w:rsid w:val="00EB5197"/>
    <w:rsid w:val="00EB5395"/>
    <w:rsid w:val="00EB54D3"/>
    <w:rsid w:val="00EB54F8"/>
    <w:rsid w:val="00EB556C"/>
    <w:rsid w:val="00EB556D"/>
    <w:rsid w:val="00EB62E2"/>
    <w:rsid w:val="00EB6870"/>
    <w:rsid w:val="00EB6B02"/>
    <w:rsid w:val="00EB6BA1"/>
    <w:rsid w:val="00EB6E0A"/>
    <w:rsid w:val="00EB6E43"/>
    <w:rsid w:val="00EB73F2"/>
    <w:rsid w:val="00EB743E"/>
    <w:rsid w:val="00EB771D"/>
    <w:rsid w:val="00EB77DF"/>
    <w:rsid w:val="00EB7B1B"/>
    <w:rsid w:val="00EB7B72"/>
    <w:rsid w:val="00EB7F33"/>
    <w:rsid w:val="00EC0980"/>
    <w:rsid w:val="00EC0B23"/>
    <w:rsid w:val="00EC0C61"/>
    <w:rsid w:val="00EC0E8A"/>
    <w:rsid w:val="00EC14C7"/>
    <w:rsid w:val="00EC1BDC"/>
    <w:rsid w:val="00EC1EA0"/>
    <w:rsid w:val="00EC1EF9"/>
    <w:rsid w:val="00EC1FBA"/>
    <w:rsid w:val="00EC24A1"/>
    <w:rsid w:val="00EC25A1"/>
    <w:rsid w:val="00EC2A7F"/>
    <w:rsid w:val="00EC2BD6"/>
    <w:rsid w:val="00EC2BEA"/>
    <w:rsid w:val="00EC301F"/>
    <w:rsid w:val="00EC31B3"/>
    <w:rsid w:val="00EC33E4"/>
    <w:rsid w:val="00EC34C9"/>
    <w:rsid w:val="00EC39FB"/>
    <w:rsid w:val="00EC3AB6"/>
    <w:rsid w:val="00EC3CB0"/>
    <w:rsid w:val="00EC3F24"/>
    <w:rsid w:val="00EC45EC"/>
    <w:rsid w:val="00EC47EC"/>
    <w:rsid w:val="00EC48B3"/>
    <w:rsid w:val="00EC5407"/>
    <w:rsid w:val="00EC5CC4"/>
    <w:rsid w:val="00EC5E2B"/>
    <w:rsid w:val="00EC61F1"/>
    <w:rsid w:val="00EC6822"/>
    <w:rsid w:val="00EC6A23"/>
    <w:rsid w:val="00EC747A"/>
    <w:rsid w:val="00EC764C"/>
    <w:rsid w:val="00EC78C3"/>
    <w:rsid w:val="00EC7C1F"/>
    <w:rsid w:val="00ED003A"/>
    <w:rsid w:val="00ED0167"/>
    <w:rsid w:val="00ED09C3"/>
    <w:rsid w:val="00ED0A16"/>
    <w:rsid w:val="00ED0ED2"/>
    <w:rsid w:val="00ED130B"/>
    <w:rsid w:val="00ED1764"/>
    <w:rsid w:val="00ED1A6A"/>
    <w:rsid w:val="00ED2529"/>
    <w:rsid w:val="00ED28F9"/>
    <w:rsid w:val="00ED2BC3"/>
    <w:rsid w:val="00ED2DAC"/>
    <w:rsid w:val="00ED2E8E"/>
    <w:rsid w:val="00ED2F34"/>
    <w:rsid w:val="00ED323D"/>
    <w:rsid w:val="00ED32A0"/>
    <w:rsid w:val="00ED371A"/>
    <w:rsid w:val="00ED3F4A"/>
    <w:rsid w:val="00ED419C"/>
    <w:rsid w:val="00ED41DA"/>
    <w:rsid w:val="00ED4966"/>
    <w:rsid w:val="00ED4F11"/>
    <w:rsid w:val="00ED513A"/>
    <w:rsid w:val="00ED54B8"/>
    <w:rsid w:val="00ED5792"/>
    <w:rsid w:val="00ED57E1"/>
    <w:rsid w:val="00ED594A"/>
    <w:rsid w:val="00ED5C02"/>
    <w:rsid w:val="00ED619B"/>
    <w:rsid w:val="00ED637C"/>
    <w:rsid w:val="00ED665A"/>
    <w:rsid w:val="00ED6AC4"/>
    <w:rsid w:val="00ED75C7"/>
    <w:rsid w:val="00ED781A"/>
    <w:rsid w:val="00ED7C87"/>
    <w:rsid w:val="00ED7FB8"/>
    <w:rsid w:val="00EE01A5"/>
    <w:rsid w:val="00EE02E9"/>
    <w:rsid w:val="00EE0FDE"/>
    <w:rsid w:val="00EE10D4"/>
    <w:rsid w:val="00EE1328"/>
    <w:rsid w:val="00EE14F6"/>
    <w:rsid w:val="00EE16D0"/>
    <w:rsid w:val="00EE173F"/>
    <w:rsid w:val="00EE1B22"/>
    <w:rsid w:val="00EE1D0B"/>
    <w:rsid w:val="00EE1DF2"/>
    <w:rsid w:val="00EE20F9"/>
    <w:rsid w:val="00EE219E"/>
    <w:rsid w:val="00EE221F"/>
    <w:rsid w:val="00EE2553"/>
    <w:rsid w:val="00EE29F6"/>
    <w:rsid w:val="00EE2EEA"/>
    <w:rsid w:val="00EE37FA"/>
    <w:rsid w:val="00EE3B62"/>
    <w:rsid w:val="00EE3B66"/>
    <w:rsid w:val="00EE439E"/>
    <w:rsid w:val="00EE4480"/>
    <w:rsid w:val="00EE4DC6"/>
    <w:rsid w:val="00EE5592"/>
    <w:rsid w:val="00EE5636"/>
    <w:rsid w:val="00EE5738"/>
    <w:rsid w:val="00EE5CDC"/>
    <w:rsid w:val="00EE5FB9"/>
    <w:rsid w:val="00EE609A"/>
    <w:rsid w:val="00EE6751"/>
    <w:rsid w:val="00EE6DE6"/>
    <w:rsid w:val="00EE700E"/>
    <w:rsid w:val="00EE70F6"/>
    <w:rsid w:val="00EE74BC"/>
    <w:rsid w:val="00EE783E"/>
    <w:rsid w:val="00EE786C"/>
    <w:rsid w:val="00EF042F"/>
    <w:rsid w:val="00EF0835"/>
    <w:rsid w:val="00EF08C8"/>
    <w:rsid w:val="00EF1809"/>
    <w:rsid w:val="00EF182C"/>
    <w:rsid w:val="00EF1BF5"/>
    <w:rsid w:val="00EF1DA3"/>
    <w:rsid w:val="00EF2554"/>
    <w:rsid w:val="00EF2617"/>
    <w:rsid w:val="00EF2757"/>
    <w:rsid w:val="00EF2F8C"/>
    <w:rsid w:val="00EF2FDD"/>
    <w:rsid w:val="00EF35D1"/>
    <w:rsid w:val="00EF37C9"/>
    <w:rsid w:val="00EF3EBD"/>
    <w:rsid w:val="00EF40DA"/>
    <w:rsid w:val="00EF43CE"/>
    <w:rsid w:val="00EF442D"/>
    <w:rsid w:val="00EF4C66"/>
    <w:rsid w:val="00EF4EF2"/>
    <w:rsid w:val="00EF6025"/>
    <w:rsid w:val="00EF61D8"/>
    <w:rsid w:val="00EF643B"/>
    <w:rsid w:val="00EF6896"/>
    <w:rsid w:val="00EF6E7C"/>
    <w:rsid w:val="00EF70B8"/>
    <w:rsid w:val="00EF72BE"/>
    <w:rsid w:val="00EF73F3"/>
    <w:rsid w:val="00EF76AC"/>
    <w:rsid w:val="00F001D5"/>
    <w:rsid w:val="00F00321"/>
    <w:rsid w:val="00F0036A"/>
    <w:rsid w:val="00F0060E"/>
    <w:rsid w:val="00F0072E"/>
    <w:rsid w:val="00F00859"/>
    <w:rsid w:val="00F00912"/>
    <w:rsid w:val="00F00AAA"/>
    <w:rsid w:val="00F00FE5"/>
    <w:rsid w:val="00F0161E"/>
    <w:rsid w:val="00F01634"/>
    <w:rsid w:val="00F018D7"/>
    <w:rsid w:val="00F01B5A"/>
    <w:rsid w:val="00F01CB0"/>
    <w:rsid w:val="00F01D01"/>
    <w:rsid w:val="00F01D1B"/>
    <w:rsid w:val="00F01DB1"/>
    <w:rsid w:val="00F01E43"/>
    <w:rsid w:val="00F020FA"/>
    <w:rsid w:val="00F021E7"/>
    <w:rsid w:val="00F0236C"/>
    <w:rsid w:val="00F02760"/>
    <w:rsid w:val="00F02C8A"/>
    <w:rsid w:val="00F031AA"/>
    <w:rsid w:val="00F034C7"/>
    <w:rsid w:val="00F03552"/>
    <w:rsid w:val="00F03ADC"/>
    <w:rsid w:val="00F03FC4"/>
    <w:rsid w:val="00F03FE9"/>
    <w:rsid w:val="00F04080"/>
    <w:rsid w:val="00F0461F"/>
    <w:rsid w:val="00F04A7C"/>
    <w:rsid w:val="00F0520E"/>
    <w:rsid w:val="00F055D5"/>
    <w:rsid w:val="00F055F0"/>
    <w:rsid w:val="00F056DB"/>
    <w:rsid w:val="00F05A9E"/>
    <w:rsid w:val="00F05CA0"/>
    <w:rsid w:val="00F0670F"/>
    <w:rsid w:val="00F06B02"/>
    <w:rsid w:val="00F06E83"/>
    <w:rsid w:val="00F06F48"/>
    <w:rsid w:val="00F06F79"/>
    <w:rsid w:val="00F06FF4"/>
    <w:rsid w:val="00F0721F"/>
    <w:rsid w:val="00F07296"/>
    <w:rsid w:val="00F073A1"/>
    <w:rsid w:val="00F07BB8"/>
    <w:rsid w:val="00F07CA2"/>
    <w:rsid w:val="00F07D99"/>
    <w:rsid w:val="00F07EF9"/>
    <w:rsid w:val="00F10490"/>
    <w:rsid w:val="00F1139A"/>
    <w:rsid w:val="00F117ED"/>
    <w:rsid w:val="00F1198F"/>
    <w:rsid w:val="00F11C72"/>
    <w:rsid w:val="00F124BF"/>
    <w:rsid w:val="00F13104"/>
    <w:rsid w:val="00F131C6"/>
    <w:rsid w:val="00F131E8"/>
    <w:rsid w:val="00F13317"/>
    <w:rsid w:val="00F13367"/>
    <w:rsid w:val="00F1398E"/>
    <w:rsid w:val="00F13A30"/>
    <w:rsid w:val="00F13DBE"/>
    <w:rsid w:val="00F140D3"/>
    <w:rsid w:val="00F1478C"/>
    <w:rsid w:val="00F149D8"/>
    <w:rsid w:val="00F152D7"/>
    <w:rsid w:val="00F15D33"/>
    <w:rsid w:val="00F16087"/>
    <w:rsid w:val="00F1618E"/>
    <w:rsid w:val="00F16829"/>
    <w:rsid w:val="00F169BF"/>
    <w:rsid w:val="00F16A08"/>
    <w:rsid w:val="00F16B62"/>
    <w:rsid w:val="00F17D48"/>
    <w:rsid w:val="00F17DD7"/>
    <w:rsid w:val="00F20170"/>
    <w:rsid w:val="00F201A7"/>
    <w:rsid w:val="00F203D4"/>
    <w:rsid w:val="00F20884"/>
    <w:rsid w:val="00F21561"/>
    <w:rsid w:val="00F21B43"/>
    <w:rsid w:val="00F21EC1"/>
    <w:rsid w:val="00F22033"/>
    <w:rsid w:val="00F22035"/>
    <w:rsid w:val="00F223FE"/>
    <w:rsid w:val="00F224AA"/>
    <w:rsid w:val="00F22724"/>
    <w:rsid w:val="00F22BFD"/>
    <w:rsid w:val="00F22F63"/>
    <w:rsid w:val="00F235E4"/>
    <w:rsid w:val="00F236BD"/>
    <w:rsid w:val="00F237FF"/>
    <w:rsid w:val="00F23E0C"/>
    <w:rsid w:val="00F240C4"/>
    <w:rsid w:val="00F2444C"/>
    <w:rsid w:val="00F246C9"/>
    <w:rsid w:val="00F24A6F"/>
    <w:rsid w:val="00F24B83"/>
    <w:rsid w:val="00F25336"/>
    <w:rsid w:val="00F2547D"/>
    <w:rsid w:val="00F255B6"/>
    <w:rsid w:val="00F25933"/>
    <w:rsid w:val="00F25971"/>
    <w:rsid w:val="00F259EC"/>
    <w:rsid w:val="00F25B18"/>
    <w:rsid w:val="00F25E50"/>
    <w:rsid w:val="00F25E8B"/>
    <w:rsid w:val="00F25FB9"/>
    <w:rsid w:val="00F26232"/>
    <w:rsid w:val="00F26BA3"/>
    <w:rsid w:val="00F26C10"/>
    <w:rsid w:val="00F26D1E"/>
    <w:rsid w:val="00F26FCD"/>
    <w:rsid w:val="00F27271"/>
    <w:rsid w:val="00F2735A"/>
    <w:rsid w:val="00F27405"/>
    <w:rsid w:val="00F275F8"/>
    <w:rsid w:val="00F27622"/>
    <w:rsid w:val="00F27627"/>
    <w:rsid w:val="00F279E3"/>
    <w:rsid w:val="00F27A37"/>
    <w:rsid w:val="00F27CC2"/>
    <w:rsid w:val="00F27DF5"/>
    <w:rsid w:val="00F30138"/>
    <w:rsid w:val="00F30349"/>
    <w:rsid w:val="00F3050F"/>
    <w:rsid w:val="00F30993"/>
    <w:rsid w:val="00F30AFD"/>
    <w:rsid w:val="00F30C21"/>
    <w:rsid w:val="00F30DDC"/>
    <w:rsid w:val="00F310A6"/>
    <w:rsid w:val="00F31179"/>
    <w:rsid w:val="00F31180"/>
    <w:rsid w:val="00F31198"/>
    <w:rsid w:val="00F3144A"/>
    <w:rsid w:val="00F315B6"/>
    <w:rsid w:val="00F31839"/>
    <w:rsid w:val="00F318CB"/>
    <w:rsid w:val="00F31911"/>
    <w:rsid w:val="00F31A35"/>
    <w:rsid w:val="00F31F33"/>
    <w:rsid w:val="00F324C3"/>
    <w:rsid w:val="00F32664"/>
    <w:rsid w:val="00F32AFE"/>
    <w:rsid w:val="00F32B6E"/>
    <w:rsid w:val="00F32D31"/>
    <w:rsid w:val="00F32EF0"/>
    <w:rsid w:val="00F32F5F"/>
    <w:rsid w:val="00F331A9"/>
    <w:rsid w:val="00F338B8"/>
    <w:rsid w:val="00F34784"/>
    <w:rsid w:val="00F34C9C"/>
    <w:rsid w:val="00F354EF"/>
    <w:rsid w:val="00F356AA"/>
    <w:rsid w:val="00F35BDF"/>
    <w:rsid w:val="00F35EDD"/>
    <w:rsid w:val="00F3605B"/>
    <w:rsid w:val="00F360E4"/>
    <w:rsid w:val="00F365A9"/>
    <w:rsid w:val="00F36A1C"/>
    <w:rsid w:val="00F36A67"/>
    <w:rsid w:val="00F36EB5"/>
    <w:rsid w:val="00F36F3F"/>
    <w:rsid w:val="00F373F4"/>
    <w:rsid w:val="00F375B8"/>
    <w:rsid w:val="00F3766A"/>
    <w:rsid w:val="00F3778D"/>
    <w:rsid w:val="00F40058"/>
    <w:rsid w:val="00F40073"/>
    <w:rsid w:val="00F400C7"/>
    <w:rsid w:val="00F405D9"/>
    <w:rsid w:val="00F40A3A"/>
    <w:rsid w:val="00F40B79"/>
    <w:rsid w:val="00F40D25"/>
    <w:rsid w:val="00F40DD7"/>
    <w:rsid w:val="00F40E02"/>
    <w:rsid w:val="00F41055"/>
    <w:rsid w:val="00F4151B"/>
    <w:rsid w:val="00F4151D"/>
    <w:rsid w:val="00F41540"/>
    <w:rsid w:val="00F41B8E"/>
    <w:rsid w:val="00F41BAE"/>
    <w:rsid w:val="00F41DCA"/>
    <w:rsid w:val="00F422D7"/>
    <w:rsid w:val="00F425D0"/>
    <w:rsid w:val="00F425FD"/>
    <w:rsid w:val="00F42842"/>
    <w:rsid w:val="00F429AD"/>
    <w:rsid w:val="00F42AB2"/>
    <w:rsid w:val="00F42C1F"/>
    <w:rsid w:val="00F42D23"/>
    <w:rsid w:val="00F42D40"/>
    <w:rsid w:val="00F42F30"/>
    <w:rsid w:val="00F42F41"/>
    <w:rsid w:val="00F4308C"/>
    <w:rsid w:val="00F430E1"/>
    <w:rsid w:val="00F43117"/>
    <w:rsid w:val="00F435B7"/>
    <w:rsid w:val="00F441CB"/>
    <w:rsid w:val="00F44767"/>
    <w:rsid w:val="00F44AEF"/>
    <w:rsid w:val="00F44DC3"/>
    <w:rsid w:val="00F45AE9"/>
    <w:rsid w:val="00F45BA3"/>
    <w:rsid w:val="00F45E90"/>
    <w:rsid w:val="00F4609C"/>
    <w:rsid w:val="00F46569"/>
    <w:rsid w:val="00F46CF1"/>
    <w:rsid w:val="00F47331"/>
    <w:rsid w:val="00F47583"/>
    <w:rsid w:val="00F4795D"/>
    <w:rsid w:val="00F50552"/>
    <w:rsid w:val="00F50862"/>
    <w:rsid w:val="00F50BCC"/>
    <w:rsid w:val="00F51115"/>
    <w:rsid w:val="00F5123C"/>
    <w:rsid w:val="00F512B7"/>
    <w:rsid w:val="00F51692"/>
    <w:rsid w:val="00F5173D"/>
    <w:rsid w:val="00F51745"/>
    <w:rsid w:val="00F51C0A"/>
    <w:rsid w:val="00F52273"/>
    <w:rsid w:val="00F52305"/>
    <w:rsid w:val="00F52C26"/>
    <w:rsid w:val="00F52E42"/>
    <w:rsid w:val="00F52ED6"/>
    <w:rsid w:val="00F5303B"/>
    <w:rsid w:val="00F5308C"/>
    <w:rsid w:val="00F53113"/>
    <w:rsid w:val="00F53120"/>
    <w:rsid w:val="00F53603"/>
    <w:rsid w:val="00F53A38"/>
    <w:rsid w:val="00F53E98"/>
    <w:rsid w:val="00F53F35"/>
    <w:rsid w:val="00F5412C"/>
    <w:rsid w:val="00F54798"/>
    <w:rsid w:val="00F54AA0"/>
    <w:rsid w:val="00F54AC5"/>
    <w:rsid w:val="00F54B93"/>
    <w:rsid w:val="00F54C37"/>
    <w:rsid w:val="00F55010"/>
    <w:rsid w:val="00F5520E"/>
    <w:rsid w:val="00F558A7"/>
    <w:rsid w:val="00F55F47"/>
    <w:rsid w:val="00F56076"/>
    <w:rsid w:val="00F56378"/>
    <w:rsid w:val="00F567CC"/>
    <w:rsid w:val="00F56D76"/>
    <w:rsid w:val="00F57557"/>
    <w:rsid w:val="00F5756A"/>
    <w:rsid w:val="00F57695"/>
    <w:rsid w:val="00F57860"/>
    <w:rsid w:val="00F578BF"/>
    <w:rsid w:val="00F6002F"/>
    <w:rsid w:val="00F60054"/>
    <w:rsid w:val="00F601E9"/>
    <w:rsid w:val="00F605C4"/>
    <w:rsid w:val="00F6079A"/>
    <w:rsid w:val="00F60B60"/>
    <w:rsid w:val="00F610F3"/>
    <w:rsid w:val="00F61682"/>
    <w:rsid w:val="00F6181F"/>
    <w:rsid w:val="00F61F28"/>
    <w:rsid w:val="00F62091"/>
    <w:rsid w:val="00F620CF"/>
    <w:rsid w:val="00F6216A"/>
    <w:rsid w:val="00F62663"/>
    <w:rsid w:val="00F6281E"/>
    <w:rsid w:val="00F62A6E"/>
    <w:rsid w:val="00F62CB0"/>
    <w:rsid w:val="00F62EA7"/>
    <w:rsid w:val="00F63243"/>
    <w:rsid w:val="00F632C0"/>
    <w:rsid w:val="00F636E1"/>
    <w:rsid w:val="00F63F84"/>
    <w:rsid w:val="00F641D2"/>
    <w:rsid w:val="00F64218"/>
    <w:rsid w:val="00F6438D"/>
    <w:rsid w:val="00F6480F"/>
    <w:rsid w:val="00F64DFC"/>
    <w:rsid w:val="00F6554F"/>
    <w:rsid w:val="00F656B8"/>
    <w:rsid w:val="00F6591E"/>
    <w:rsid w:val="00F659D2"/>
    <w:rsid w:val="00F65ACE"/>
    <w:rsid w:val="00F65E11"/>
    <w:rsid w:val="00F660E8"/>
    <w:rsid w:val="00F661A5"/>
    <w:rsid w:val="00F662A6"/>
    <w:rsid w:val="00F662B9"/>
    <w:rsid w:val="00F66650"/>
    <w:rsid w:val="00F66687"/>
    <w:rsid w:val="00F667E8"/>
    <w:rsid w:val="00F669C9"/>
    <w:rsid w:val="00F66F1A"/>
    <w:rsid w:val="00F67372"/>
    <w:rsid w:val="00F6752C"/>
    <w:rsid w:val="00F67948"/>
    <w:rsid w:val="00F67AA2"/>
    <w:rsid w:val="00F67E8B"/>
    <w:rsid w:val="00F67ED6"/>
    <w:rsid w:val="00F70AE9"/>
    <w:rsid w:val="00F70D26"/>
    <w:rsid w:val="00F70EF3"/>
    <w:rsid w:val="00F71573"/>
    <w:rsid w:val="00F715FF"/>
    <w:rsid w:val="00F716A3"/>
    <w:rsid w:val="00F71EDE"/>
    <w:rsid w:val="00F725CF"/>
    <w:rsid w:val="00F73052"/>
    <w:rsid w:val="00F73360"/>
    <w:rsid w:val="00F73369"/>
    <w:rsid w:val="00F7355A"/>
    <w:rsid w:val="00F736FF"/>
    <w:rsid w:val="00F73839"/>
    <w:rsid w:val="00F73C6F"/>
    <w:rsid w:val="00F740C3"/>
    <w:rsid w:val="00F7422F"/>
    <w:rsid w:val="00F7435B"/>
    <w:rsid w:val="00F74C2E"/>
    <w:rsid w:val="00F74F54"/>
    <w:rsid w:val="00F755A3"/>
    <w:rsid w:val="00F75E1C"/>
    <w:rsid w:val="00F75FCB"/>
    <w:rsid w:val="00F762D5"/>
    <w:rsid w:val="00F76385"/>
    <w:rsid w:val="00F769BC"/>
    <w:rsid w:val="00F7775B"/>
    <w:rsid w:val="00F77A03"/>
    <w:rsid w:val="00F77B0D"/>
    <w:rsid w:val="00F77BCF"/>
    <w:rsid w:val="00F77CA9"/>
    <w:rsid w:val="00F804A3"/>
    <w:rsid w:val="00F80619"/>
    <w:rsid w:val="00F80943"/>
    <w:rsid w:val="00F810E9"/>
    <w:rsid w:val="00F81162"/>
    <w:rsid w:val="00F815D5"/>
    <w:rsid w:val="00F816BC"/>
    <w:rsid w:val="00F819F5"/>
    <w:rsid w:val="00F81B2B"/>
    <w:rsid w:val="00F81F05"/>
    <w:rsid w:val="00F81F8A"/>
    <w:rsid w:val="00F8214E"/>
    <w:rsid w:val="00F82988"/>
    <w:rsid w:val="00F82CF3"/>
    <w:rsid w:val="00F83806"/>
    <w:rsid w:val="00F83E31"/>
    <w:rsid w:val="00F84613"/>
    <w:rsid w:val="00F84C73"/>
    <w:rsid w:val="00F856A7"/>
    <w:rsid w:val="00F8586F"/>
    <w:rsid w:val="00F85A01"/>
    <w:rsid w:val="00F860A6"/>
    <w:rsid w:val="00F8618B"/>
    <w:rsid w:val="00F8650B"/>
    <w:rsid w:val="00F86817"/>
    <w:rsid w:val="00F86943"/>
    <w:rsid w:val="00F869F7"/>
    <w:rsid w:val="00F86B4B"/>
    <w:rsid w:val="00F86BB5"/>
    <w:rsid w:val="00F86CCE"/>
    <w:rsid w:val="00F86D9C"/>
    <w:rsid w:val="00F87197"/>
    <w:rsid w:val="00F871E5"/>
    <w:rsid w:val="00F876F2"/>
    <w:rsid w:val="00F87A80"/>
    <w:rsid w:val="00F9002B"/>
    <w:rsid w:val="00F90083"/>
    <w:rsid w:val="00F9019B"/>
    <w:rsid w:val="00F90711"/>
    <w:rsid w:val="00F90D81"/>
    <w:rsid w:val="00F916FB"/>
    <w:rsid w:val="00F92299"/>
    <w:rsid w:val="00F92460"/>
    <w:rsid w:val="00F92C78"/>
    <w:rsid w:val="00F9306F"/>
    <w:rsid w:val="00F93387"/>
    <w:rsid w:val="00F939D3"/>
    <w:rsid w:val="00F93BD0"/>
    <w:rsid w:val="00F93C95"/>
    <w:rsid w:val="00F93F7D"/>
    <w:rsid w:val="00F940A3"/>
    <w:rsid w:val="00F947B9"/>
    <w:rsid w:val="00F948F6"/>
    <w:rsid w:val="00F95144"/>
    <w:rsid w:val="00F956EC"/>
    <w:rsid w:val="00F95CB0"/>
    <w:rsid w:val="00F9605C"/>
    <w:rsid w:val="00F962A5"/>
    <w:rsid w:val="00F96545"/>
    <w:rsid w:val="00F9695A"/>
    <w:rsid w:val="00F970AA"/>
    <w:rsid w:val="00F974B2"/>
    <w:rsid w:val="00F97AF2"/>
    <w:rsid w:val="00F97B42"/>
    <w:rsid w:val="00F97D3C"/>
    <w:rsid w:val="00FA016D"/>
    <w:rsid w:val="00FA0493"/>
    <w:rsid w:val="00FA11D0"/>
    <w:rsid w:val="00FA129F"/>
    <w:rsid w:val="00FA134E"/>
    <w:rsid w:val="00FA1421"/>
    <w:rsid w:val="00FA14D2"/>
    <w:rsid w:val="00FA194C"/>
    <w:rsid w:val="00FA195E"/>
    <w:rsid w:val="00FA1B89"/>
    <w:rsid w:val="00FA1D16"/>
    <w:rsid w:val="00FA1FDE"/>
    <w:rsid w:val="00FA20BB"/>
    <w:rsid w:val="00FA2337"/>
    <w:rsid w:val="00FA2355"/>
    <w:rsid w:val="00FA23B2"/>
    <w:rsid w:val="00FA2473"/>
    <w:rsid w:val="00FA25C5"/>
    <w:rsid w:val="00FA2E5A"/>
    <w:rsid w:val="00FA386B"/>
    <w:rsid w:val="00FA3F64"/>
    <w:rsid w:val="00FA4141"/>
    <w:rsid w:val="00FA450C"/>
    <w:rsid w:val="00FA45F1"/>
    <w:rsid w:val="00FA4BF7"/>
    <w:rsid w:val="00FA4E39"/>
    <w:rsid w:val="00FA4FD3"/>
    <w:rsid w:val="00FA5113"/>
    <w:rsid w:val="00FA51FA"/>
    <w:rsid w:val="00FA55EF"/>
    <w:rsid w:val="00FA64C6"/>
    <w:rsid w:val="00FA6D90"/>
    <w:rsid w:val="00FA74DA"/>
    <w:rsid w:val="00FA7DDE"/>
    <w:rsid w:val="00FA7E05"/>
    <w:rsid w:val="00FB00FF"/>
    <w:rsid w:val="00FB0565"/>
    <w:rsid w:val="00FB0C0B"/>
    <w:rsid w:val="00FB0D8A"/>
    <w:rsid w:val="00FB0E63"/>
    <w:rsid w:val="00FB0E75"/>
    <w:rsid w:val="00FB0F2F"/>
    <w:rsid w:val="00FB12D7"/>
    <w:rsid w:val="00FB1A4F"/>
    <w:rsid w:val="00FB1CD5"/>
    <w:rsid w:val="00FB22E0"/>
    <w:rsid w:val="00FB2575"/>
    <w:rsid w:val="00FB2618"/>
    <w:rsid w:val="00FB26B0"/>
    <w:rsid w:val="00FB2E99"/>
    <w:rsid w:val="00FB3854"/>
    <w:rsid w:val="00FB39EB"/>
    <w:rsid w:val="00FB3F06"/>
    <w:rsid w:val="00FB410C"/>
    <w:rsid w:val="00FB477E"/>
    <w:rsid w:val="00FB4D03"/>
    <w:rsid w:val="00FB4EE5"/>
    <w:rsid w:val="00FB4FFD"/>
    <w:rsid w:val="00FB513F"/>
    <w:rsid w:val="00FB5146"/>
    <w:rsid w:val="00FB58F5"/>
    <w:rsid w:val="00FB592D"/>
    <w:rsid w:val="00FB5B17"/>
    <w:rsid w:val="00FB5EFF"/>
    <w:rsid w:val="00FB5F67"/>
    <w:rsid w:val="00FB6416"/>
    <w:rsid w:val="00FB65A1"/>
    <w:rsid w:val="00FB6687"/>
    <w:rsid w:val="00FB6988"/>
    <w:rsid w:val="00FB69C9"/>
    <w:rsid w:val="00FB6F30"/>
    <w:rsid w:val="00FB77A2"/>
    <w:rsid w:val="00FB7B41"/>
    <w:rsid w:val="00FB7B74"/>
    <w:rsid w:val="00FB7B79"/>
    <w:rsid w:val="00FB7EFD"/>
    <w:rsid w:val="00FB7FED"/>
    <w:rsid w:val="00FC066C"/>
    <w:rsid w:val="00FC117D"/>
    <w:rsid w:val="00FC11F7"/>
    <w:rsid w:val="00FC16F0"/>
    <w:rsid w:val="00FC1D49"/>
    <w:rsid w:val="00FC2541"/>
    <w:rsid w:val="00FC28C7"/>
    <w:rsid w:val="00FC299B"/>
    <w:rsid w:val="00FC32C9"/>
    <w:rsid w:val="00FC3438"/>
    <w:rsid w:val="00FC3846"/>
    <w:rsid w:val="00FC3A41"/>
    <w:rsid w:val="00FC3AFF"/>
    <w:rsid w:val="00FC3CEA"/>
    <w:rsid w:val="00FC42BA"/>
    <w:rsid w:val="00FC444A"/>
    <w:rsid w:val="00FC469F"/>
    <w:rsid w:val="00FC4E5A"/>
    <w:rsid w:val="00FC4E8F"/>
    <w:rsid w:val="00FC5141"/>
    <w:rsid w:val="00FC596F"/>
    <w:rsid w:val="00FC5CD6"/>
    <w:rsid w:val="00FC61D6"/>
    <w:rsid w:val="00FC63DE"/>
    <w:rsid w:val="00FC6BED"/>
    <w:rsid w:val="00FC6FE4"/>
    <w:rsid w:val="00FC7398"/>
    <w:rsid w:val="00FC7453"/>
    <w:rsid w:val="00FC75D1"/>
    <w:rsid w:val="00FC79BF"/>
    <w:rsid w:val="00FC7C44"/>
    <w:rsid w:val="00FD06D0"/>
    <w:rsid w:val="00FD0718"/>
    <w:rsid w:val="00FD08B5"/>
    <w:rsid w:val="00FD0C72"/>
    <w:rsid w:val="00FD0F3D"/>
    <w:rsid w:val="00FD10F2"/>
    <w:rsid w:val="00FD13EA"/>
    <w:rsid w:val="00FD144D"/>
    <w:rsid w:val="00FD14CF"/>
    <w:rsid w:val="00FD1913"/>
    <w:rsid w:val="00FD197D"/>
    <w:rsid w:val="00FD1AB6"/>
    <w:rsid w:val="00FD24ED"/>
    <w:rsid w:val="00FD271A"/>
    <w:rsid w:val="00FD2810"/>
    <w:rsid w:val="00FD29C4"/>
    <w:rsid w:val="00FD29D7"/>
    <w:rsid w:val="00FD2ECA"/>
    <w:rsid w:val="00FD2F13"/>
    <w:rsid w:val="00FD3608"/>
    <w:rsid w:val="00FD3644"/>
    <w:rsid w:val="00FD380B"/>
    <w:rsid w:val="00FD3BDE"/>
    <w:rsid w:val="00FD3F94"/>
    <w:rsid w:val="00FD42FE"/>
    <w:rsid w:val="00FD431D"/>
    <w:rsid w:val="00FD43D3"/>
    <w:rsid w:val="00FD4788"/>
    <w:rsid w:val="00FD4FEF"/>
    <w:rsid w:val="00FD55C0"/>
    <w:rsid w:val="00FD570F"/>
    <w:rsid w:val="00FD6ADA"/>
    <w:rsid w:val="00FD6AF3"/>
    <w:rsid w:val="00FD6CAB"/>
    <w:rsid w:val="00FD6DFD"/>
    <w:rsid w:val="00FD6E79"/>
    <w:rsid w:val="00FD72F5"/>
    <w:rsid w:val="00FD74BF"/>
    <w:rsid w:val="00FD7EE9"/>
    <w:rsid w:val="00FD7F46"/>
    <w:rsid w:val="00FE0314"/>
    <w:rsid w:val="00FE04A5"/>
    <w:rsid w:val="00FE05D3"/>
    <w:rsid w:val="00FE077D"/>
    <w:rsid w:val="00FE0B66"/>
    <w:rsid w:val="00FE1411"/>
    <w:rsid w:val="00FE1538"/>
    <w:rsid w:val="00FE1612"/>
    <w:rsid w:val="00FE1B25"/>
    <w:rsid w:val="00FE21AC"/>
    <w:rsid w:val="00FE2249"/>
    <w:rsid w:val="00FE237A"/>
    <w:rsid w:val="00FE237F"/>
    <w:rsid w:val="00FE23A9"/>
    <w:rsid w:val="00FE25E0"/>
    <w:rsid w:val="00FE2BD1"/>
    <w:rsid w:val="00FE3264"/>
    <w:rsid w:val="00FE342C"/>
    <w:rsid w:val="00FE3B10"/>
    <w:rsid w:val="00FE3CA0"/>
    <w:rsid w:val="00FE3E5F"/>
    <w:rsid w:val="00FE3FD1"/>
    <w:rsid w:val="00FE409F"/>
    <w:rsid w:val="00FE4131"/>
    <w:rsid w:val="00FE4931"/>
    <w:rsid w:val="00FE4A7E"/>
    <w:rsid w:val="00FE4BC0"/>
    <w:rsid w:val="00FE4EBE"/>
    <w:rsid w:val="00FE4F67"/>
    <w:rsid w:val="00FE5415"/>
    <w:rsid w:val="00FE5D68"/>
    <w:rsid w:val="00FE5DFD"/>
    <w:rsid w:val="00FE7481"/>
    <w:rsid w:val="00FE751C"/>
    <w:rsid w:val="00FE7A69"/>
    <w:rsid w:val="00FE7A71"/>
    <w:rsid w:val="00FE7D96"/>
    <w:rsid w:val="00FF07E4"/>
    <w:rsid w:val="00FF086A"/>
    <w:rsid w:val="00FF128A"/>
    <w:rsid w:val="00FF14C6"/>
    <w:rsid w:val="00FF1538"/>
    <w:rsid w:val="00FF15B7"/>
    <w:rsid w:val="00FF1607"/>
    <w:rsid w:val="00FF1C11"/>
    <w:rsid w:val="00FF2785"/>
    <w:rsid w:val="00FF2D2A"/>
    <w:rsid w:val="00FF2E14"/>
    <w:rsid w:val="00FF30B9"/>
    <w:rsid w:val="00FF31A1"/>
    <w:rsid w:val="00FF43D3"/>
    <w:rsid w:val="00FF4EB5"/>
    <w:rsid w:val="00FF4F0B"/>
    <w:rsid w:val="00FF5252"/>
    <w:rsid w:val="00FF53E0"/>
    <w:rsid w:val="00FF5493"/>
    <w:rsid w:val="00FF5E30"/>
    <w:rsid w:val="00FF646D"/>
    <w:rsid w:val="00FF6D57"/>
    <w:rsid w:val="00FF6E0B"/>
    <w:rsid w:val="00FF6F31"/>
    <w:rsid w:val="00FF7063"/>
    <w:rsid w:val="00FF7466"/>
    <w:rsid w:val="00FF7540"/>
    <w:rsid w:val="00FF775E"/>
    <w:rsid w:val="00FF7A85"/>
    <w:rsid w:val="00FF7B6C"/>
    <w:rsid w:val="00FF7E34"/>
    <w:rsid w:val="01815980"/>
    <w:rsid w:val="01BD0E1F"/>
    <w:rsid w:val="01D1697B"/>
    <w:rsid w:val="01EB02C8"/>
    <w:rsid w:val="022A6731"/>
    <w:rsid w:val="02CD0314"/>
    <w:rsid w:val="02CE5B23"/>
    <w:rsid w:val="03A63029"/>
    <w:rsid w:val="03B6489A"/>
    <w:rsid w:val="03C7225D"/>
    <w:rsid w:val="03D15B96"/>
    <w:rsid w:val="03DF38E3"/>
    <w:rsid w:val="03EB764D"/>
    <w:rsid w:val="040A2EDA"/>
    <w:rsid w:val="055D6899"/>
    <w:rsid w:val="05610A82"/>
    <w:rsid w:val="05BF6401"/>
    <w:rsid w:val="05F634A2"/>
    <w:rsid w:val="0626381C"/>
    <w:rsid w:val="0634681F"/>
    <w:rsid w:val="06BD26DB"/>
    <w:rsid w:val="06DA7D25"/>
    <w:rsid w:val="075D567C"/>
    <w:rsid w:val="08096E83"/>
    <w:rsid w:val="08670B50"/>
    <w:rsid w:val="08845D08"/>
    <w:rsid w:val="08A848FD"/>
    <w:rsid w:val="09A76AB8"/>
    <w:rsid w:val="0A100351"/>
    <w:rsid w:val="0A1977EC"/>
    <w:rsid w:val="0A58536C"/>
    <w:rsid w:val="0A6F22AE"/>
    <w:rsid w:val="0A7C56C5"/>
    <w:rsid w:val="0AAF7C48"/>
    <w:rsid w:val="0B66735F"/>
    <w:rsid w:val="0B9C722F"/>
    <w:rsid w:val="0BF20013"/>
    <w:rsid w:val="0C1B32F8"/>
    <w:rsid w:val="0CA0694E"/>
    <w:rsid w:val="0CE11D9F"/>
    <w:rsid w:val="0D4F5715"/>
    <w:rsid w:val="0EC73CBB"/>
    <w:rsid w:val="0FA77648"/>
    <w:rsid w:val="1096498B"/>
    <w:rsid w:val="11243398"/>
    <w:rsid w:val="11531FA4"/>
    <w:rsid w:val="115D0906"/>
    <w:rsid w:val="11663316"/>
    <w:rsid w:val="11D77CFF"/>
    <w:rsid w:val="123F237C"/>
    <w:rsid w:val="12C971F4"/>
    <w:rsid w:val="136B1A65"/>
    <w:rsid w:val="13921FFF"/>
    <w:rsid w:val="13E11F2A"/>
    <w:rsid w:val="14A81E98"/>
    <w:rsid w:val="14AD0D71"/>
    <w:rsid w:val="14B646DC"/>
    <w:rsid w:val="15CF0037"/>
    <w:rsid w:val="16207B53"/>
    <w:rsid w:val="1638263A"/>
    <w:rsid w:val="16730E8E"/>
    <w:rsid w:val="1699560E"/>
    <w:rsid w:val="16CE6B20"/>
    <w:rsid w:val="1718094E"/>
    <w:rsid w:val="17192905"/>
    <w:rsid w:val="17487C17"/>
    <w:rsid w:val="17927ED1"/>
    <w:rsid w:val="186D2CFD"/>
    <w:rsid w:val="1884222B"/>
    <w:rsid w:val="18C30AEF"/>
    <w:rsid w:val="18ED06B4"/>
    <w:rsid w:val="191612D5"/>
    <w:rsid w:val="19D10FFE"/>
    <w:rsid w:val="1A084D87"/>
    <w:rsid w:val="1AB3200E"/>
    <w:rsid w:val="1B133151"/>
    <w:rsid w:val="1B1B2C2D"/>
    <w:rsid w:val="1B6661B3"/>
    <w:rsid w:val="1BB6279D"/>
    <w:rsid w:val="1BCA1AF2"/>
    <w:rsid w:val="1BEB712F"/>
    <w:rsid w:val="1C104E74"/>
    <w:rsid w:val="1C2677D6"/>
    <w:rsid w:val="1C3F714C"/>
    <w:rsid w:val="1C61395C"/>
    <w:rsid w:val="1C63031A"/>
    <w:rsid w:val="1C6C1F76"/>
    <w:rsid w:val="1CBA7B3B"/>
    <w:rsid w:val="1CBD66FD"/>
    <w:rsid w:val="1CFE66BD"/>
    <w:rsid w:val="1D267672"/>
    <w:rsid w:val="1D3B5344"/>
    <w:rsid w:val="1D612873"/>
    <w:rsid w:val="1D6B4B95"/>
    <w:rsid w:val="1DA468BA"/>
    <w:rsid w:val="1DC24270"/>
    <w:rsid w:val="1DF366DE"/>
    <w:rsid w:val="1E7436E3"/>
    <w:rsid w:val="1EB43A7D"/>
    <w:rsid w:val="1EC64862"/>
    <w:rsid w:val="1ECC7EF7"/>
    <w:rsid w:val="1EE10507"/>
    <w:rsid w:val="1F450973"/>
    <w:rsid w:val="1F811229"/>
    <w:rsid w:val="1FC27B31"/>
    <w:rsid w:val="1FE05BBE"/>
    <w:rsid w:val="202E2CD8"/>
    <w:rsid w:val="20394118"/>
    <w:rsid w:val="20960DD8"/>
    <w:rsid w:val="20B521EC"/>
    <w:rsid w:val="20DF6D26"/>
    <w:rsid w:val="21221EE4"/>
    <w:rsid w:val="21937D91"/>
    <w:rsid w:val="21FD321E"/>
    <w:rsid w:val="221D0BF8"/>
    <w:rsid w:val="228360E0"/>
    <w:rsid w:val="22847F8B"/>
    <w:rsid w:val="23304241"/>
    <w:rsid w:val="234E20D7"/>
    <w:rsid w:val="236725AE"/>
    <w:rsid w:val="238D74DD"/>
    <w:rsid w:val="23A57517"/>
    <w:rsid w:val="2425343E"/>
    <w:rsid w:val="243B654A"/>
    <w:rsid w:val="24E739D0"/>
    <w:rsid w:val="25311A36"/>
    <w:rsid w:val="25D34475"/>
    <w:rsid w:val="260E7E80"/>
    <w:rsid w:val="26402FE1"/>
    <w:rsid w:val="267709A8"/>
    <w:rsid w:val="26973B25"/>
    <w:rsid w:val="27186F0F"/>
    <w:rsid w:val="277B676C"/>
    <w:rsid w:val="27D4052A"/>
    <w:rsid w:val="28004B11"/>
    <w:rsid w:val="28061570"/>
    <w:rsid w:val="28B2456C"/>
    <w:rsid w:val="29AE31D9"/>
    <w:rsid w:val="29AF7A57"/>
    <w:rsid w:val="29B01105"/>
    <w:rsid w:val="29C928BC"/>
    <w:rsid w:val="2B1B1169"/>
    <w:rsid w:val="2B4843E6"/>
    <w:rsid w:val="2BC82E6D"/>
    <w:rsid w:val="2C476236"/>
    <w:rsid w:val="2C681F96"/>
    <w:rsid w:val="2CB30053"/>
    <w:rsid w:val="2CB46DBD"/>
    <w:rsid w:val="2D757F42"/>
    <w:rsid w:val="2D7B5912"/>
    <w:rsid w:val="2E165C6D"/>
    <w:rsid w:val="2E4E34A4"/>
    <w:rsid w:val="2EDF5B1D"/>
    <w:rsid w:val="2F661546"/>
    <w:rsid w:val="300060DF"/>
    <w:rsid w:val="301D5551"/>
    <w:rsid w:val="30380014"/>
    <w:rsid w:val="30BD3E34"/>
    <w:rsid w:val="318F6236"/>
    <w:rsid w:val="31B87587"/>
    <w:rsid w:val="31CA425A"/>
    <w:rsid w:val="31DA66B6"/>
    <w:rsid w:val="31DB65AF"/>
    <w:rsid w:val="31F259E0"/>
    <w:rsid w:val="3225586A"/>
    <w:rsid w:val="327C1C6A"/>
    <w:rsid w:val="32B87020"/>
    <w:rsid w:val="32C92FB5"/>
    <w:rsid w:val="32D77FE5"/>
    <w:rsid w:val="32E327CF"/>
    <w:rsid w:val="32F01AC3"/>
    <w:rsid w:val="330F4CC3"/>
    <w:rsid w:val="33892400"/>
    <w:rsid w:val="339C0242"/>
    <w:rsid w:val="33E2079D"/>
    <w:rsid w:val="345E1E4B"/>
    <w:rsid w:val="34B52E57"/>
    <w:rsid w:val="35112FDA"/>
    <w:rsid w:val="354F366B"/>
    <w:rsid w:val="35737044"/>
    <w:rsid w:val="35A20960"/>
    <w:rsid w:val="35AE0459"/>
    <w:rsid w:val="35B81791"/>
    <w:rsid w:val="35D22260"/>
    <w:rsid w:val="360565CB"/>
    <w:rsid w:val="360D1A54"/>
    <w:rsid w:val="36227ACF"/>
    <w:rsid w:val="364E56BA"/>
    <w:rsid w:val="366D01BC"/>
    <w:rsid w:val="371F47E0"/>
    <w:rsid w:val="373F7804"/>
    <w:rsid w:val="374013C3"/>
    <w:rsid w:val="37A92ED8"/>
    <w:rsid w:val="37EA1BEF"/>
    <w:rsid w:val="382A46F1"/>
    <w:rsid w:val="385435A2"/>
    <w:rsid w:val="38761810"/>
    <w:rsid w:val="38F3329F"/>
    <w:rsid w:val="38F91E44"/>
    <w:rsid w:val="393A5B17"/>
    <w:rsid w:val="393E4675"/>
    <w:rsid w:val="3954227B"/>
    <w:rsid w:val="39F37DE6"/>
    <w:rsid w:val="3A47725E"/>
    <w:rsid w:val="3B2701AD"/>
    <w:rsid w:val="3B4C2625"/>
    <w:rsid w:val="3B777ADE"/>
    <w:rsid w:val="3B9E43CC"/>
    <w:rsid w:val="3B9E790C"/>
    <w:rsid w:val="3BC56D81"/>
    <w:rsid w:val="3BE77D65"/>
    <w:rsid w:val="3BF338E3"/>
    <w:rsid w:val="3C586621"/>
    <w:rsid w:val="3C771FCD"/>
    <w:rsid w:val="3D461E20"/>
    <w:rsid w:val="3D8252CB"/>
    <w:rsid w:val="3E06471E"/>
    <w:rsid w:val="3E4009DC"/>
    <w:rsid w:val="3EDC4456"/>
    <w:rsid w:val="3F1975F5"/>
    <w:rsid w:val="3F1B73C5"/>
    <w:rsid w:val="3F482D5D"/>
    <w:rsid w:val="3F9E08E5"/>
    <w:rsid w:val="3FC03911"/>
    <w:rsid w:val="3FE7063D"/>
    <w:rsid w:val="40020C15"/>
    <w:rsid w:val="40117A44"/>
    <w:rsid w:val="403D6019"/>
    <w:rsid w:val="40481575"/>
    <w:rsid w:val="40600F18"/>
    <w:rsid w:val="40692653"/>
    <w:rsid w:val="40D87ED2"/>
    <w:rsid w:val="4113757A"/>
    <w:rsid w:val="41D917B2"/>
    <w:rsid w:val="422F3D22"/>
    <w:rsid w:val="42681F14"/>
    <w:rsid w:val="429010A2"/>
    <w:rsid w:val="42BA65C6"/>
    <w:rsid w:val="42C62277"/>
    <w:rsid w:val="42E859D2"/>
    <w:rsid w:val="43033DA3"/>
    <w:rsid w:val="43904503"/>
    <w:rsid w:val="43915878"/>
    <w:rsid w:val="43E52FBB"/>
    <w:rsid w:val="44A0441C"/>
    <w:rsid w:val="44E67AC4"/>
    <w:rsid w:val="44F721A1"/>
    <w:rsid w:val="455063E3"/>
    <w:rsid w:val="455C5AF7"/>
    <w:rsid w:val="46501E16"/>
    <w:rsid w:val="465D5B7C"/>
    <w:rsid w:val="46AE1961"/>
    <w:rsid w:val="47742B02"/>
    <w:rsid w:val="48183F89"/>
    <w:rsid w:val="482747C4"/>
    <w:rsid w:val="48607321"/>
    <w:rsid w:val="48A350C1"/>
    <w:rsid w:val="48AC2DDE"/>
    <w:rsid w:val="495B6CEE"/>
    <w:rsid w:val="497D7614"/>
    <w:rsid w:val="49B21760"/>
    <w:rsid w:val="49B22896"/>
    <w:rsid w:val="4A1864B0"/>
    <w:rsid w:val="4A5710FE"/>
    <w:rsid w:val="4A687A7D"/>
    <w:rsid w:val="4A6E787C"/>
    <w:rsid w:val="4A6F441E"/>
    <w:rsid w:val="4A76689B"/>
    <w:rsid w:val="4A9E0251"/>
    <w:rsid w:val="4ACE302B"/>
    <w:rsid w:val="4BAF1D24"/>
    <w:rsid w:val="4BB26680"/>
    <w:rsid w:val="4BBA744E"/>
    <w:rsid w:val="4BDE128C"/>
    <w:rsid w:val="4BF11E18"/>
    <w:rsid w:val="4C3B52D4"/>
    <w:rsid w:val="4C443186"/>
    <w:rsid w:val="4C611798"/>
    <w:rsid w:val="4CAA3951"/>
    <w:rsid w:val="4CBC6733"/>
    <w:rsid w:val="4D5A3304"/>
    <w:rsid w:val="4D5C4ABB"/>
    <w:rsid w:val="4D717F87"/>
    <w:rsid w:val="4DB87F8C"/>
    <w:rsid w:val="4DE10518"/>
    <w:rsid w:val="4E084358"/>
    <w:rsid w:val="4E2F4087"/>
    <w:rsid w:val="4E9C5DEA"/>
    <w:rsid w:val="4F4223EB"/>
    <w:rsid w:val="4F604B42"/>
    <w:rsid w:val="4F6B6956"/>
    <w:rsid w:val="4F7546F5"/>
    <w:rsid w:val="4FE92E84"/>
    <w:rsid w:val="501717A7"/>
    <w:rsid w:val="504F42F7"/>
    <w:rsid w:val="50601239"/>
    <w:rsid w:val="51023489"/>
    <w:rsid w:val="518B5B29"/>
    <w:rsid w:val="51EF34AB"/>
    <w:rsid w:val="528555D5"/>
    <w:rsid w:val="52D816C4"/>
    <w:rsid w:val="536672C4"/>
    <w:rsid w:val="53E946DE"/>
    <w:rsid w:val="54391DA4"/>
    <w:rsid w:val="5465147C"/>
    <w:rsid w:val="54653B04"/>
    <w:rsid w:val="547556AF"/>
    <w:rsid w:val="549E2478"/>
    <w:rsid w:val="54E30636"/>
    <w:rsid w:val="5526774F"/>
    <w:rsid w:val="55287D15"/>
    <w:rsid w:val="558B36D6"/>
    <w:rsid w:val="55D03AF6"/>
    <w:rsid w:val="55F17D56"/>
    <w:rsid w:val="5616180F"/>
    <w:rsid w:val="561620B2"/>
    <w:rsid w:val="564A4845"/>
    <w:rsid w:val="56510B67"/>
    <w:rsid w:val="571A5EB6"/>
    <w:rsid w:val="57335173"/>
    <w:rsid w:val="574627A7"/>
    <w:rsid w:val="57C01C9E"/>
    <w:rsid w:val="58073DAC"/>
    <w:rsid w:val="580F6C69"/>
    <w:rsid w:val="58240296"/>
    <w:rsid w:val="58AB4EB1"/>
    <w:rsid w:val="58F014C9"/>
    <w:rsid w:val="59194ECF"/>
    <w:rsid w:val="59E21326"/>
    <w:rsid w:val="5A2016BE"/>
    <w:rsid w:val="5A4E5337"/>
    <w:rsid w:val="5A646491"/>
    <w:rsid w:val="5A7B1F6C"/>
    <w:rsid w:val="5A9A5390"/>
    <w:rsid w:val="5AB83921"/>
    <w:rsid w:val="5AC31640"/>
    <w:rsid w:val="5AE7201A"/>
    <w:rsid w:val="5BC173B3"/>
    <w:rsid w:val="5BCC5A39"/>
    <w:rsid w:val="5C3A3C93"/>
    <w:rsid w:val="5C593D42"/>
    <w:rsid w:val="5C711C78"/>
    <w:rsid w:val="5C9F0170"/>
    <w:rsid w:val="5DE00DC4"/>
    <w:rsid w:val="5E5E156A"/>
    <w:rsid w:val="5E717046"/>
    <w:rsid w:val="5E97214B"/>
    <w:rsid w:val="5F5B1620"/>
    <w:rsid w:val="5F6E604F"/>
    <w:rsid w:val="5FEC7140"/>
    <w:rsid w:val="601B2600"/>
    <w:rsid w:val="607C4B84"/>
    <w:rsid w:val="60996FBB"/>
    <w:rsid w:val="61084574"/>
    <w:rsid w:val="610C3486"/>
    <w:rsid w:val="61510AC1"/>
    <w:rsid w:val="617E7104"/>
    <w:rsid w:val="618F5B4C"/>
    <w:rsid w:val="61A34B6D"/>
    <w:rsid w:val="61C207C4"/>
    <w:rsid w:val="61E433B1"/>
    <w:rsid w:val="628220E4"/>
    <w:rsid w:val="62E74BCB"/>
    <w:rsid w:val="638300C4"/>
    <w:rsid w:val="64436804"/>
    <w:rsid w:val="64464395"/>
    <w:rsid w:val="646B1EF4"/>
    <w:rsid w:val="648F1E2B"/>
    <w:rsid w:val="649A6113"/>
    <w:rsid w:val="657A522F"/>
    <w:rsid w:val="663E3EE9"/>
    <w:rsid w:val="668073BA"/>
    <w:rsid w:val="671D522F"/>
    <w:rsid w:val="679C722E"/>
    <w:rsid w:val="67D25710"/>
    <w:rsid w:val="67D82882"/>
    <w:rsid w:val="67DA4A91"/>
    <w:rsid w:val="67EE728C"/>
    <w:rsid w:val="68455E39"/>
    <w:rsid w:val="684C26B5"/>
    <w:rsid w:val="68DC4A3A"/>
    <w:rsid w:val="68E40F21"/>
    <w:rsid w:val="69936CC0"/>
    <w:rsid w:val="69AD5CF3"/>
    <w:rsid w:val="69CB42B6"/>
    <w:rsid w:val="69F90C8C"/>
    <w:rsid w:val="6A130CC4"/>
    <w:rsid w:val="6A3F08F2"/>
    <w:rsid w:val="6A8763FA"/>
    <w:rsid w:val="6A8E10E0"/>
    <w:rsid w:val="6A9B6F96"/>
    <w:rsid w:val="6AB47F5A"/>
    <w:rsid w:val="6AC2327A"/>
    <w:rsid w:val="6AC81C21"/>
    <w:rsid w:val="6AE85617"/>
    <w:rsid w:val="6AF712B1"/>
    <w:rsid w:val="6B83208D"/>
    <w:rsid w:val="6BB3177A"/>
    <w:rsid w:val="6BFBCEC7"/>
    <w:rsid w:val="6CB51F53"/>
    <w:rsid w:val="6D1C6DDF"/>
    <w:rsid w:val="6D1F3676"/>
    <w:rsid w:val="6D7C1AC6"/>
    <w:rsid w:val="6DBB11BE"/>
    <w:rsid w:val="6DE20B03"/>
    <w:rsid w:val="6E404ABF"/>
    <w:rsid w:val="6E6E1209"/>
    <w:rsid w:val="6EE13659"/>
    <w:rsid w:val="6F0A0ECC"/>
    <w:rsid w:val="6F2B1EFF"/>
    <w:rsid w:val="6F4503B2"/>
    <w:rsid w:val="6F4F27D9"/>
    <w:rsid w:val="6FC45BAA"/>
    <w:rsid w:val="70934C70"/>
    <w:rsid w:val="70E71AC3"/>
    <w:rsid w:val="71426101"/>
    <w:rsid w:val="71674505"/>
    <w:rsid w:val="71700EAD"/>
    <w:rsid w:val="719E040C"/>
    <w:rsid w:val="71CA3A26"/>
    <w:rsid w:val="72262F9B"/>
    <w:rsid w:val="739E3EDA"/>
    <w:rsid w:val="73B36E80"/>
    <w:rsid w:val="73BF552E"/>
    <w:rsid w:val="73D83EBB"/>
    <w:rsid w:val="746712EC"/>
    <w:rsid w:val="75FBA417"/>
    <w:rsid w:val="760F67F7"/>
    <w:rsid w:val="76261A22"/>
    <w:rsid w:val="766238D2"/>
    <w:rsid w:val="76753108"/>
    <w:rsid w:val="76796366"/>
    <w:rsid w:val="76C23C77"/>
    <w:rsid w:val="76F87C01"/>
    <w:rsid w:val="774B41DD"/>
    <w:rsid w:val="77A21731"/>
    <w:rsid w:val="77D60F3F"/>
    <w:rsid w:val="77EF9707"/>
    <w:rsid w:val="77F674EC"/>
    <w:rsid w:val="781E6315"/>
    <w:rsid w:val="785A2CEC"/>
    <w:rsid w:val="792E7192"/>
    <w:rsid w:val="79B36154"/>
    <w:rsid w:val="79F576B5"/>
    <w:rsid w:val="7A0B3C26"/>
    <w:rsid w:val="7A2E7F98"/>
    <w:rsid w:val="7A56569D"/>
    <w:rsid w:val="7A6173AE"/>
    <w:rsid w:val="7A7F4BC4"/>
    <w:rsid w:val="7AA15AAF"/>
    <w:rsid w:val="7AC025E9"/>
    <w:rsid w:val="7AF171DB"/>
    <w:rsid w:val="7AFD72CA"/>
    <w:rsid w:val="7B627AAC"/>
    <w:rsid w:val="7B6624EA"/>
    <w:rsid w:val="7BBF4956"/>
    <w:rsid w:val="7C505EC0"/>
    <w:rsid w:val="7C7170A4"/>
    <w:rsid w:val="7C8E0A3C"/>
    <w:rsid w:val="7D151AF9"/>
    <w:rsid w:val="7D285898"/>
    <w:rsid w:val="7D512DF3"/>
    <w:rsid w:val="7D5D0208"/>
    <w:rsid w:val="7D5D6A36"/>
    <w:rsid w:val="7DE01153"/>
    <w:rsid w:val="7E442645"/>
    <w:rsid w:val="7E475586"/>
    <w:rsid w:val="7EBE941E"/>
    <w:rsid w:val="7EBF2997"/>
    <w:rsid w:val="7EBF310B"/>
    <w:rsid w:val="7F044C09"/>
    <w:rsid w:val="7FA07148"/>
    <w:rsid w:val="DA7FF9C0"/>
    <w:rsid w:val="DDD54E6C"/>
    <w:rsid w:val="EFFDD95B"/>
    <w:rsid w:val="F5BF6D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iPriority="9" w:name="heading 7"/>
    <w:lsdException w:qFormat="1" w:uiPriority="9" w:name="heading 8"/>
    <w:lsdException w:qFormat="1" w:uiPriority="9"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99"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99"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Calibri" w:hAnsi="Calibri" w:eastAsia="仿宋" w:cs="Times New Roman"/>
      <w:kern w:val="2"/>
      <w:sz w:val="28"/>
      <w:lang w:val="en-US" w:eastAsia="zh-CN" w:bidi="ar-SA"/>
    </w:rPr>
  </w:style>
  <w:style w:type="paragraph" w:styleId="2">
    <w:name w:val="heading 1"/>
    <w:basedOn w:val="1"/>
    <w:next w:val="1"/>
    <w:link w:val="207"/>
    <w:qFormat/>
    <w:uiPriority w:val="9"/>
    <w:pPr>
      <w:keepNext/>
      <w:keepLines/>
      <w:adjustRightInd w:val="0"/>
      <w:snapToGrid w:val="0"/>
      <w:spacing w:before="120" w:beforeLines="50" w:after="120" w:afterLines="50"/>
      <w:textAlignment w:val="baseline"/>
      <w:outlineLvl w:val="0"/>
    </w:pPr>
    <w:rPr>
      <w:rFonts w:ascii="仿宋_GB2312" w:eastAsia="仿宋_GB2312"/>
      <w:b/>
      <w:kern w:val="44"/>
      <w:sz w:val="30"/>
      <w:szCs w:val="30"/>
    </w:rPr>
  </w:style>
  <w:style w:type="paragraph" w:styleId="3">
    <w:name w:val="heading 2"/>
    <w:basedOn w:val="1"/>
    <w:next w:val="1"/>
    <w:link w:val="212"/>
    <w:qFormat/>
    <w:uiPriority w:val="9"/>
    <w:pPr>
      <w:keepNext/>
      <w:keepLines/>
      <w:adjustRightInd w:val="0"/>
      <w:snapToGrid w:val="0"/>
      <w:ind w:firstLine="480" w:firstLineChars="200"/>
      <w:jc w:val="left"/>
      <w:textAlignment w:val="baseline"/>
      <w:outlineLvl w:val="1"/>
    </w:pPr>
    <w:rPr>
      <w:rFonts w:eastAsia="黑体"/>
      <w:kern w:val="0"/>
      <w:sz w:val="24"/>
    </w:rPr>
  </w:style>
  <w:style w:type="paragraph" w:styleId="4">
    <w:name w:val="heading 3"/>
    <w:basedOn w:val="1"/>
    <w:next w:val="1"/>
    <w:link w:val="214"/>
    <w:qFormat/>
    <w:uiPriority w:val="9"/>
    <w:pPr>
      <w:keepNext/>
      <w:keepLines/>
      <w:spacing w:line="480" w:lineRule="atLeast"/>
      <w:ind w:firstLine="480"/>
      <w:outlineLvl w:val="2"/>
    </w:pPr>
    <w:rPr>
      <w:rFonts w:ascii="黑体" w:eastAsia="黑体"/>
      <w:sz w:val="24"/>
    </w:rPr>
  </w:style>
  <w:style w:type="paragraph" w:styleId="5">
    <w:name w:val="heading 4"/>
    <w:basedOn w:val="1"/>
    <w:next w:val="6"/>
    <w:link w:val="178"/>
    <w:qFormat/>
    <w:uiPriority w:val="9"/>
    <w:pPr>
      <w:keepNext/>
      <w:keepLines/>
      <w:spacing w:line="480" w:lineRule="atLeast"/>
      <w:ind w:firstLine="482"/>
      <w:outlineLvl w:val="3"/>
    </w:pPr>
    <w:rPr>
      <w:sz w:val="24"/>
    </w:rPr>
  </w:style>
  <w:style w:type="paragraph" w:styleId="7">
    <w:name w:val="heading 5"/>
    <w:basedOn w:val="8"/>
    <w:next w:val="6"/>
    <w:link w:val="194"/>
    <w:qFormat/>
    <w:uiPriority w:val="9"/>
    <w:pPr>
      <w:keepNext/>
      <w:keepLines/>
      <w:spacing w:before="280" w:after="290" w:line="376" w:lineRule="auto"/>
      <w:outlineLvl w:val="4"/>
    </w:pPr>
    <w:rPr>
      <w:b/>
      <w:sz w:val="28"/>
    </w:rPr>
  </w:style>
  <w:style w:type="paragraph" w:styleId="9">
    <w:name w:val="heading 6"/>
    <w:basedOn w:val="1"/>
    <w:next w:val="1"/>
    <w:link w:val="209"/>
    <w:qFormat/>
    <w:uiPriority w:val="9"/>
    <w:pPr>
      <w:keepNext/>
      <w:keepLines/>
      <w:spacing w:before="240" w:after="64"/>
      <w:ind w:firstLine="200" w:firstLineChars="200"/>
      <w:jc w:val="left"/>
      <w:outlineLvl w:val="5"/>
    </w:pPr>
    <w:rPr>
      <w:rFonts w:eastAsia="仿宋_GB2312"/>
      <w:bCs/>
      <w:sz w:val="24"/>
      <w:szCs w:val="24"/>
    </w:rPr>
  </w:style>
  <w:style w:type="paragraph" w:styleId="10">
    <w:name w:val="heading 7"/>
    <w:basedOn w:val="1"/>
    <w:next w:val="1"/>
    <w:link w:val="232"/>
    <w:semiHidden/>
    <w:unhideWhenUsed/>
    <w:qFormat/>
    <w:uiPriority w:val="9"/>
    <w:pPr>
      <w:keepNext/>
      <w:keepLines/>
      <w:spacing w:before="240" w:after="64" w:line="320" w:lineRule="auto"/>
      <w:outlineLvl w:val="6"/>
    </w:pPr>
    <w:rPr>
      <w:rFonts w:ascii="Times New Roman" w:hAnsi="Times New Roman" w:eastAsia="宋体"/>
      <w:b/>
      <w:bCs/>
      <w:color w:val="595959"/>
      <w:kern w:val="0"/>
      <w:sz w:val="20"/>
    </w:rPr>
  </w:style>
  <w:style w:type="paragraph" w:styleId="11">
    <w:name w:val="heading 8"/>
    <w:basedOn w:val="1"/>
    <w:next w:val="1"/>
    <w:link w:val="233"/>
    <w:semiHidden/>
    <w:unhideWhenUsed/>
    <w:qFormat/>
    <w:uiPriority w:val="9"/>
    <w:pPr>
      <w:keepNext/>
      <w:keepLines/>
      <w:spacing w:before="240" w:after="64" w:line="320" w:lineRule="auto"/>
      <w:outlineLvl w:val="7"/>
    </w:pPr>
    <w:rPr>
      <w:rFonts w:ascii="Times New Roman" w:hAnsi="Times New Roman" w:eastAsia="宋体"/>
      <w:color w:val="595959"/>
      <w:kern w:val="0"/>
      <w:sz w:val="20"/>
    </w:rPr>
  </w:style>
  <w:style w:type="paragraph" w:styleId="12">
    <w:name w:val="heading 9"/>
    <w:basedOn w:val="1"/>
    <w:next w:val="1"/>
    <w:link w:val="234"/>
    <w:semiHidden/>
    <w:unhideWhenUsed/>
    <w:qFormat/>
    <w:uiPriority w:val="9"/>
    <w:pPr>
      <w:keepNext/>
      <w:keepLines/>
      <w:spacing w:before="240" w:after="64" w:line="320" w:lineRule="auto"/>
      <w:outlineLvl w:val="8"/>
    </w:pPr>
    <w:rPr>
      <w:rFonts w:ascii="Times New Roman" w:hAnsi="Times New Roman" w:eastAsia="等线 Light"/>
      <w:color w:val="595959"/>
      <w:kern w:val="0"/>
      <w:sz w:val="20"/>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1"/>
    <w:qFormat/>
    <w:uiPriority w:val="0"/>
    <w:pPr>
      <w:ind w:firstLine="420"/>
    </w:pPr>
  </w:style>
  <w:style w:type="paragraph" w:customStyle="1" w:styleId="8">
    <w:name w:val="中文报告书样式"/>
    <w:basedOn w:val="1"/>
    <w:link w:val="186"/>
    <w:qFormat/>
    <w:uiPriority w:val="0"/>
    <w:pPr>
      <w:adjustRightInd w:val="0"/>
      <w:snapToGrid w:val="0"/>
      <w:ind w:firstLine="480" w:firstLineChars="200"/>
      <w:textAlignment w:val="baseline"/>
    </w:pPr>
    <w:rPr>
      <w:kern w:val="24"/>
      <w:sz w:val="24"/>
    </w:rPr>
  </w:style>
  <w:style w:type="paragraph" w:styleId="13">
    <w:name w:val="toc 7"/>
    <w:basedOn w:val="1"/>
    <w:next w:val="1"/>
    <w:semiHidden/>
    <w:qFormat/>
    <w:uiPriority w:val="0"/>
    <w:pPr>
      <w:ind w:left="1260"/>
      <w:jc w:val="left"/>
    </w:pPr>
    <w:rPr>
      <w:sz w:val="18"/>
    </w:rPr>
  </w:style>
  <w:style w:type="paragraph" w:styleId="14">
    <w:name w:val="Note Heading"/>
    <w:basedOn w:val="1"/>
    <w:next w:val="1"/>
    <w:link w:val="189"/>
    <w:qFormat/>
    <w:uiPriority w:val="0"/>
    <w:pPr>
      <w:jc w:val="center"/>
    </w:pPr>
    <w:rPr>
      <w:rFonts w:ascii="宋体"/>
    </w:rPr>
  </w:style>
  <w:style w:type="paragraph" w:styleId="15">
    <w:name w:val="caption"/>
    <w:basedOn w:val="1"/>
    <w:next w:val="1"/>
    <w:link w:val="173"/>
    <w:qFormat/>
    <w:uiPriority w:val="0"/>
    <w:pPr>
      <w:spacing w:before="152" w:after="160"/>
    </w:pPr>
    <w:rPr>
      <w:sz w:val="24"/>
    </w:rPr>
  </w:style>
  <w:style w:type="paragraph" w:styleId="16">
    <w:name w:val="Document Map"/>
    <w:basedOn w:val="1"/>
    <w:link w:val="171"/>
    <w:semiHidden/>
    <w:qFormat/>
    <w:uiPriority w:val="99"/>
    <w:pPr>
      <w:shd w:val="clear" w:color="auto" w:fill="000080"/>
    </w:pPr>
  </w:style>
  <w:style w:type="paragraph" w:styleId="17">
    <w:name w:val="annotation text"/>
    <w:basedOn w:val="1"/>
    <w:link w:val="181"/>
    <w:qFormat/>
    <w:uiPriority w:val="0"/>
    <w:pPr>
      <w:jc w:val="left"/>
    </w:pPr>
  </w:style>
  <w:style w:type="paragraph" w:styleId="18">
    <w:name w:val="Body Text 3"/>
    <w:basedOn w:val="1"/>
    <w:link w:val="208"/>
    <w:qFormat/>
    <w:uiPriority w:val="0"/>
    <w:pPr>
      <w:jc w:val="center"/>
    </w:pPr>
    <w:rPr>
      <w:rFonts w:ascii="黑体" w:hAnsi="宋体" w:eastAsia="黑体"/>
      <w:kern w:val="0"/>
      <w:sz w:val="72"/>
      <w:szCs w:val="18"/>
    </w:rPr>
  </w:style>
  <w:style w:type="paragraph" w:styleId="19">
    <w:name w:val="Body Text"/>
    <w:basedOn w:val="1"/>
    <w:link w:val="219"/>
    <w:qFormat/>
    <w:uiPriority w:val="0"/>
    <w:pPr>
      <w:adjustRightInd w:val="0"/>
      <w:snapToGrid w:val="0"/>
    </w:pPr>
    <w:rPr>
      <w:sz w:val="24"/>
    </w:rPr>
  </w:style>
  <w:style w:type="paragraph" w:styleId="20">
    <w:name w:val="Body Text Indent"/>
    <w:basedOn w:val="1"/>
    <w:next w:val="21"/>
    <w:link w:val="216"/>
    <w:qFormat/>
    <w:uiPriority w:val="0"/>
    <w:pPr>
      <w:adjustRightInd w:val="0"/>
      <w:spacing w:line="440" w:lineRule="atLeast"/>
      <w:ind w:firstLine="480"/>
      <w:jc w:val="left"/>
      <w:textAlignment w:val="baseline"/>
    </w:pPr>
    <w:rPr>
      <w:kern w:val="0"/>
      <w:sz w:val="24"/>
    </w:rPr>
  </w:style>
  <w:style w:type="paragraph" w:styleId="21">
    <w:name w:val="Body Text Indent 2"/>
    <w:basedOn w:val="1"/>
    <w:link w:val="185"/>
    <w:qFormat/>
    <w:uiPriority w:val="0"/>
    <w:pPr>
      <w:spacing w:line="440" w:lineRule="atLeast"/>
      <w:ind w:firstLine="480"/>
    </w:pPr>
    <w:rPr>
      <w:rFonts w:ascii="宋体" w:hAnsi="宋体"/>
      <w:sz w:val="24"/>
    </w:rPr>
  </w:style>
  <w:style w:type="paragraph" w:styleId="22">
    <w:name w:val="toc 5"/>
    <w:basedOn w:val="1"/>
    <w:next w:val="1"/>
    <w:semiHidden/>
    <w:qFormat/>
    <w:uiPriority w:val="0"/>
    <w:pPr>
      <w:ind w:left="840"/>
      <w:jc w:val="left"/>
    </w:pPr>
    <w:rPr>
      <w:sz w:val="18"/>
    </w:rPr>
  </w:style>
  <w:style w:type="paragraph" w:styleId="23">
    <w:name w:val="toc 3"/>
    <w:basedOn w:val="1"/>
    <w:next w:val="1"/>
    <w:semiHidden/>
    <w:qFormat/>
    <w:uiPriority w:val="0"/>
    <w:pPr>
      <w:ind w:left="420"/>
      <w:jc w:val="left"/>
    </w:pPr>
    <w:rPr>
      <w:i/>
      <w:sz w:val="20"/>
    </w:rPr>
  </w:style>
  <w:style w:type="paragraph" w:styleId="24">
    <w:name w:val="Plain Text"/>
    <w:basedOn w:val="1"/>
    <w:link w:val="213"/>
    <w:qFormat/>
    <w:uiPriority w:val="0"/>
    <w:rPr>
      <w:rFonts w:ascii="宋体" w:hAnsi="Courier New"/>
    </w:rPr>
  </w:style>
  <w:style w:type="paragraph" w:styleId="25">
    <w:name w:val="toc 8"/>
    <w:basedOn w:val="1"/>
    <w:next w:val="1"/>
    <w:semiHidden/>
    <w:qFormat/>
    <w:uiPriority w:val="0"/>
    <w:pPr>
      <w:ind w:left="1470"/>
      <w:jc w:val="left"/>
    </w:pPr>
    <w:rPr>
      <w:sz w:val="18"/>
    </w:rPr>
  </w:style>
  <w:style w:type="paragraph" w:styleId="26">
    <w:name w:val="Date"/>
    <w:basedOn w:val="1"/>
    <w:next w:val="1"/>
    <w:link w:val="172"/>
    <w:qFormat/>
    <w:uiPriority w:val="0"/>
    <w:rPr>
      <w:sz w:val="24"/>
    </w:rPr>
  </w:style>
  <w:style w:type="paragraph" w:styleId="27">
    <w:name w:val="Balloon Text"/>
    <w:basedOn w:val="1"/>
    <w:link w:val="218"/>
    <w:semiHidden/>
    <w:qFormat/>
    <w:uiPriority w:val="0"/>
    <w:rPr>
      <w:sz w:val="18"/>
      <w:szCs w:val="18"/>
    </w:rPr>
  </w:style>
  <w:style w:type="paragraph" w:styleId="28">
    <w:name w:val="footer"/>
    <w:basedOn w:val="1"/>
    <w:link w:val="205"/>
    <w:qFormat/>
    <w:uiPriority w:val="99"/>
    <w:pPr>
      <w:tabs>
        <w:tab w:val="center" w:pos="4153"/>
        <w:tab w:val="right" w:pos="8306"/>
      </w:tabs>
      <w:snapToGrid w:val="0"/>
      <w:jc w:val="left"/>
    </w:pPr>
    <w:rPr>
      <w:sz w:val="18"/>
    </w:rPr>
  </w:style>
  <w:style w:type="paragraph" w:styleId="29">
    <w:name w:val="header"/>
    <w:basedOn w:val="1"/>
    <w:link w:val="195"/>
    <w:qFormat/>
    <w:uiPriority w:val="99"/>
    <w:pPr>
      <w:pBdr>
        <w:bottom w:val="single" w:color="auto" w:sz="6" w:space="1"/>
      </w:pBdr>
      <w:tabs>
        <w:tab w:val="center" w:pos="4153"/>
        <w:tab w:val="right" w:pos="8306"/>
      </w:tabs>
      <w:snapToGrid w:val="0"/>
      <w:jc w:val="center"/>
    </w:pPr>
    <w:rPr>
      <w:sz w:val="18"/>
    </w:rPr>
  </w:style>
  <w:style w:type="paragraph" w:styleId="30">
    <w:name w:val="toc 1"/>
    <w:basedOn w:val="1"/>
    <w:next w:val="1"/>
    <w:qFormat/>
    <w:uiPriority w:val="39"/>
    <w:pPr>
      <w:tabs>
        <w:tab w:val="right" w:leader="dot" w:pos="8296"/>
      </w:tabs>
      <w:spacing w:before="120" w:after="120"/>
      <w:jc w:val="left"/>
    </w:pPr>
    <w:rPr>
      <w:rFonts w:ascii="楷体_GB2312" w:hAnsi="楷体_GB2312"/>
      <w:b/>
      <w:caps/>
    </w:rPr>
  </w:style>
  <w:style w:type="paragraph" w:styleId="31">
    <w:name w:val="toc 4"/>
    <w:basedOn w:val="1"/>
    <w:next w:val="1"/>
    <w:semiHidden/>
    <w:qFormat/>
    <w:uiPriority w:val="0"/>
    <w:pPr>
      <w:ind w:left="630"/>
      <w:jc w:val="left"/>
    </w:pPr>
    <w:rPr>
      <w:sz w:val="18"/>
    </w:rPr>
  </w:style>
  <w:style w:type="paragraph" w:styleId="32">
    <w:name w:val="Subtitle"/>
    <w:basedOn w:val="1"/>
    <w:next w:val="1"/>
    <w:link w:val="190"/>
    <w:qFormat/>
    <w:uiPriority w:val="11"/>
    <w:pPr>
      <w:widowControl/>
      <w:jc w:val="left"/>
      <w:outlineLvl w:val="1"/>
    </w:pPr>
    <w:rPr>
      <w:rFonts w:ascii="Cambria" w:hAnsi="Cambria"/>
      <w:b/>
      <w:bCs/>
      <w:kern w:val="28"/>
      <w:sz w:val="24"/>
      <w:szCs w:val="32"/>
    </w:rPr>
  </w:style>
  <w:style w:type="paragraph" w:styleId="33">
    <w:name w:val="toc 6"/>
    <w:basedOn w:val="1"/>
    <w:next w:val="1"/>
    <w:semiHidden/>
    <w:qFormat/>
    <w:uiPriority w:val="0"/>
    <w:pPr>
      <w:ind w:left="1050"/>
      <w:jc w:val="left"/>
    </w:pPr>
    <w:rPr>
      <w:sz w:val="18"/>
    </w:rPr>
  </w:style>
  <w:style w:type="paragraph" w:styleId="34">
    <w:name w:val="Body Text Indent 3"/>
    <w:basedOn w:val="1"/>
    <w:link w:val="206"/>
    <w:qFormat/>
    <w:uiPriority w:val="0"/>
    <w:pPr>
      <w:spacing w:after="120"/>
      <w:ind w:left="420" w:leftChars="200"/>
    </w:pPr>
    <w:rPr>
      <w:sz w:val="16"/>
      <w:szCs w:val="16"/>
    </w:rPr>
  </w:style>
  <w:style w:type="paragraph" w:styleId="35">
    <w:name w:val="toc 2"/>
    <w:basedOn w:val="1"/>
    <w:next w:val="1"/>
    <w:qFormat/>
    <w:uiPriority w:val="39"/>
    <w:pPr>
      <w:tabs>
        <w:tab w:val="right" w:leader="dot" w:pos="8296"/>
      </w:tabs>
      <w:ind w:left="210"/>
      <w:jc w:val="left"/>
    </w:pPr>
    <w:rPr>
      <w:rFonts w:ascii="楷体_GB2312" w:hAnsi="楷体_GB2312"/>
      <w:smallCaps/>
    </w:rPr>
  </w:style>
  <w:style w:type="paragraph" w:styleId="36">
    <w:name w:val="toc 9"/>
    <w:basedOn w:val="1"/>
    <w:next w:val="1"/>
    <w:semiHidden/>
    <w:qFormat/>
    <w:uiPriority w:val="0"/>
    <w:pPr>
      <w:ind w:left="1680"/>
      <w:jc w:val="left"/>
    </w:pPr>
    <w:rPr>
      <w:sz w:val="18"/>
    </w:rPr>
  </w:style>
  <w:style w:type="paragraph" w:styleId="37">
    <w:name w:val="Body Text 2"/>
    <w:basedOn w:val="1"/>
    <w:link w:val="197"/>
    <w:qFormat/>
    <w:uiPriority w:val="0"/>
    <w:pPr>
      <w:spacing w:after="120" w:line="480" w:lineRule="auto"/>
    </w:pPr>
  </w:style>
  <w:style w:type="paragraph" w:styleId="38">
    <w:name w:val="HTML Preformatted"/>
    <w:basedOn w:val="1"/>
    <w:link w:val="203"/>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paragraph" w:styleId="39">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styleId="40">
    <w:name w:val="Title"/>
    <w:basedOn w:val="1"/>
    <w:next w:val="1"/>
    <w:link w:val="236"/>
    <w:qFormat/>
    <w:uiPriority w:val="10"/>
    <w:pPr>
      <w:spacing w:before="240" w:after="60"/>
      <w:jc w:val="center"/>
      <w:outlineLvl w:val="0"/>
    </w:pPr>
    <w:rPr>
      <w:rFonts w:ascii="等线 Light" w:hAnsi="等线 Light" w:eastAsia="等线 Light"/>
      <w:spacing w:val="-10"/>
      <w:kern w:val="28"/>
      <w:sz w:val="56"/>
      <w:szCs w:val="56"/>
    </w:rPr>
  </w:style>
  <w:style w:type="paragraph" w:styleId="41">
    <w:name w:val="annotation subject"/>
    <w:basedOn w:val="17"/>
    <w:next w:val="17"/>
    <w:link w:val="198"/>
    <w:semiHidden/>
    <w:qFormat/>
    <w:uiPriority w:val="0"/>
    <w:rPr>
      <w:b/>
      <w:bCs/>
    </w:rPr>
  </w:style>
  <w:style w:type="paragraph" w:styleId="42">
    <w:name w:val="Body Text First Indent 2"/>
    <w:basedOn w:val="20"/>
    <w:next w:val="1"/>
    <w:link w:val="193"/>
    <w:unhideWhenUsed/>
    <w:qFormat/>
    <w:uiPriority w:val="99"/>
    <w:pPr>
      <w:adjustRightInd/>
      <w:spacing w:after="120" w:line="240" w:lineRule="auto"/>
      <w:ind w:left="420" w:leftChars="200" w:firstLine="420" w:firstLineChars="200"/>
      <w:jc w:val="both"/>
      <w:textAlignment w:val="auto"/>
    </w:pPr>
    <w:rPr>
      <w:kern w:val="2"/>
      <w:sz w:val="21"/>
    </w:rPr>
  </w:style>
  <w:style w:type="table" w:styleId="44">
    <w:name w:val="Table Grid"/>
    <w:basedOn w:val="43"/>
    <w:qFormat/>
    <w:uiPriority w:val="0"/>
    <w:pPr>
      <w:widowControl w:val="0"/>
      <w:adjustRightInd w:val="0"/>
      <w:spacing w:line="360" w:lineRule="atLeast"/>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qFormat/>
    <w:uiPriority w:val="0"/>
    <w:rPr>
      <w:b/>
      <w:bCs/>
    </w:rPr>
  </w:style>
  <w:style w:type="character" w:styleId="47">
    <w:name w:val="page number"/>
    <w:basedOn w:val="45"/>
    <w:qFormat/>
    <w:uiPriority w:val="0"/>
  </w:style>
  <w:style w:type="character" w:styleId="48">
    <w:name w:val="FollowedHyperlink"/>
    <w:qFormat/>
    <w:uiPriority w:val="99"/>
    <w:rPr>
      <w:color w:val="800080"/>
      <w:u w:val="single"/>
    </w:rPr>
  </w:style>
  <w:style w:type="character" w:styleId="49">
    <w:name w:val="Hyperlink"/>
    <w:qFormat/>
    <w:uiPriority w:val="99"/>
    <w:rPr>
      <w:color w:val="0000FF"/>
      <w:u w:val="single"/>
    </w:rPr>
  </w:style>
  <w:style w:type="character" w:styleId="50">
    <w:name w:val="annotation reference"/>
    <w:qFormat/>
    <w:uiPriority w:val="0"/>
    <w:rPr>
      <w:sz w:val="21"/>
      <w:szCs w:val="21"/>
    </w:rPr>
  </w:style>
  <w:style w:type="paragraph" w:customStyle="1" w:styleId="51">
    <w:name w:val="预案正文"/>
    <w:basedOn w:val="1"/>
    <w:qFormat/>
    <w:uiPriority w:val="0"/>
    <w:pPr>
      <w:ind w:firstLine="200" w:firstLineChars="200"/>
    </w:pPr>
    <w:rPr>
      <w:rFonts w:ascii="Times New Roman" w:hAnsi="Times New Roman" w:eastAsia="仿宋_GB2312"/>
      <w:kern w:val="0"/>
      <w:sz w:val="24"/>
    </w:rPr>
  </w:style>
  <w:style w:type="paragraph" w:customStyle="1" w:styleId="52">
    <w:name w:val="表格文字"/>
    <w:basedOn w:val="19"/>
    <w:qFormat/>
    <w:uiPriority w:val="0"/>
    <w:pPr>
      <w:spacing w:line="240" w:lineRule="auto"/>
      <w:jc w:val="center"/>
    </w:pPr>
    <w:rPr>
      <w:szCs w:val="24"/>
    </w:rPr>
  </w:style>
  <w:style w:type="paragraph" w:customStyle="1" w:styleId="53">
    <w:name w:val="表格"/>
    <w:basedOn w:val="1"/>
    <w:qFormat/>
    <w:uiPriority w:val="0"/>
    <w:pPr>
      <w:adjustRightInd w:val="0"/>
      <w:snapToGrid w:val="0"/>
      <w:spacing w:before="120"/>
      <w:jc w:val="center"/>
      <w:textAlignment w:val="baseline"/>
    </w:pPr>
    <w:rPr>
      <w:kern w:val="0"/>
    </w:rPr>
  </w:style>
  <w:style w:type="paragraph" w:customStyle="1" w:styleId="54">
    <w:name w:val="表头"/>
    <w:link w:val="176"/>
    <w:qFormat/>
    <w:uiPriority w:val="99"/>
    <w:pPr>
      <w:snapToGrid w:val="0"/>
      <w:jc w:val="center"/>
    </w:pPr>
    <w:rPr>
      <w:rFonts w:ascii="宋体" w:hAnsi="宋体" w:eastAsia="宋体" w:cs="Times New Roman"/>
      <w:sz w:val="24"/>
      <w:lang w:val="en-US" w:eastAsia="zh-CN" w:bidi="ar-SA"/>
    </w:rPr>
  </w:style>
  <w:style w:type="paragraph" w:customStyle="1" w:styleId="55">
    <w:name w:val="xl68"/>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56">
    <w:name w:val="WPSOffice手动目录 1"/>
    <w:qFormat/>
    <w:uiPriority w:val="0"/>
    <w:rPr>
      <w:rFonts w:ascii="Calibri" w:hAnsi="Calibri" w:eastAsia="宋体" w:cs="Times New Roman"/>
      <w:lang w:val="en-US" w:eastAsia="zh-CN" w:bidi="ar-SA"/>
    </w:rPr>
  </w:style>
  <w:style w:type="paragraph" w:customStyle="1" w:styleId="57">
    <w:name w:val="标准公文"/>
    <w:qFormat/>
    <w:uiPriority w:val="0"/>
    <w:pPr>
      <w:spacing w:line="610" w:lineRule="atLeast"/>
      <w:ind w:firstLine="658"/>
      <w:jc w:val="both"/>
    </w:pPr>
    <w:rPr>
      <w:rFonts w:ascii="Calibri" w:hAnsi="Calibri" w:eastAsia="仿宋_GB2312" w:cs="Times New Roman"/>
      <w:sz w:val="32"/>
      <w:lang w:val="en-US" w:eastAsia="zh-CN" w:bidi="ar-SA"/>
    </w:rPr>
  </w:style>
  <w:style w:type="paragraph" w:customStyle="1" w:styleId="58">
    <w:name w:val="xl60"/>
    <w:basedOn w:val="1"/>
    <w:qFormat/>
    <w:uiPriority w:val="0"/>
    <w:pPr>
      <w:widowControl/>
      <w:pBdr>
        <w:left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59">
    <w:name w:val="xl30"/>
    <w:basedOn w:val="1"/>
    <w:qFormat/>
    <w:uiPriority w:val="0"/>
    <w:pPr>
      <w:widowControl/>
      <w:pBdr>
        <w:top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60">
    <w:name w:val="xl33"/>
    <w:basedOn w:val="1"/>
    <w:qFormat/>
    <w:uiPriority w:val="0"/>
    <w:pPr>
      <w:widowControl/>
      <w:pBdr>
        <w:top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61">
    <w:name w:val="报告书"/>
    <w:basedOn w:val="1"/>
    <w:link w:val="202"/>
    <w:qFormat/>
    <w:uiPriority w:val="0"/>
    <w:pPr>
      <w:adjustRightInd w:val="0"/>
      <w:snapToGrid w:val="0"/>
      <w:spacing w:line="440" w:lineRule="atLeast"/>
      <w:ind w:firstLine="482"/>
      <w:textAlignment w:val="baseline"/>
    </w:pPr>
    <w:rPr>
      <w:rFonts w:ascii="宋体"/>
      <w:kern w:val="24"/>
      <w:sz w:val="24"/>
    </w:rPr>
  </w:style>
  <w:style w:type="paragraph" w:customStyle="1" w:styleId="62">
    <w:name w:val="Char"/>
    <w:basedOn w:val="1"/>
    <w:qFormat/>
    <w:uiPriority w:val="0"/>
    <w:pPr>
      <w:ind w:firstLine="200" w:firstLineChars="200"/>
    </w:pPr>
    <w:rPr>
      <w:rFonts w:ascii="宋体" w:hAnsi="宋体" w:cs="宋体"/>
      <w:sz w:val="24"/>
      <w:szCs w:val="24"/>
    </w:rPr>
  </w:style>
  <w:style w:type="paragraph" w:customStyle="1" w:styleId="63">
    <w:name w:val="标题4"/>
    <w:basedOn w:val="4"/>
    <w:next w:val="19"/>
    <w:qFormat/>
    <w:uiPriority w:val="0"/>
    <w:pPr>
      <w:adjustRightInd w:val="0"/>
      <w:spacing w:line="480" w:lineRule="exact"/>
      <w:ind w:left="480" w:leftChars="200" w:firstLine="0"/>
      <w:jc w:val="left"/>
      <w:textAlignment w:val="baseline"/>
      <w:outlineLvl w:val="3"/>
    </w:pPr>
    <w:rPr>
      <w:rFonts w:hAnsi="Arial"/>
      <w:bCs/>
      <w:kern w:val="0"/>
      <w:szCs w:val="32"/>
    </w:rPr>
  </w:style>
  <w:style w:type="paragraph" w:customStyle="1" w:styleId="64">
    <w:name w:val="xl50"/>
    <w:basedOn w:val="1"/>
    <w:qFormat/>
    <w:uiPriority w:val="0"/>
    <w:pPr>
      <w:widowControl/>
      <w:pBdr>
        <w:top w:val="double" w:color="auto" w:sz="6" w:space="0"/>
        <w:left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65">
    <w:name w:val="1-正文"/>
    <w:basedOn w:val="1"/>
    <w:qFormat/>
    <w:uiPriority w:val="0"/>
    <w:pPr>
      <w:ind w:firstLine="480" w:firstLineChars="200"/>
      <w:jc w:val="left"/>
    </w:pPr>
    <w:rPr>
      <w:rFonts w:ascii="宋体" w:hAnsi="宋体" w:cs="宋体"/>
      <w:sz w:val="24"/>
      <w:szCs w:val="24"/>
    </w:rPr>
  </w:style>
  <w:style w:type="paragraph" w:customStyle="1" w:styleId="66">
    <w:name w:val="1"/>
    <w:basedOn w:val="1"/>
    <w:next w:val="6"/>
    <w:qFormat/>
    <w:uiPriority w:val="0"/>
    <w:pPr>
      <w:ind w:firstLine="420"/>
    </w:pPr>
  </w:style>
  <w:style w:type="paragraph" w:customStyle="1" w:styleId="67">
    <w:name w:val="Char Char Char Char Char1 Char Char Char Char Char Char Char Char Char1 Char Char Char Char Char Char Char Char Char Char Char Char Char"/>
    <w:basedOn w:val="16"/>
    <w:qFormat/>
    <w:uiPriority w:val="0"/>
    <w:rPr>
      <w:rFonts w:ascii="Tahoma" w:hAnsi="Tahoma" w:eastAsia="等线"/>
      <w:sz w:val="24"/>
      <w:szCs w:val="24"/>
    </w:rPr>
  </w:style>
  <w:style w:type="paragraph" w:customStyle="1" w:styleId="68">
    <w:name w:val="表1"/>
    <w:basedOn w:val="1"/>
    <w:qFormat/>
    <w:uiPriority w:val="0"/>
    <w:pPr>
      <w:spacing w:before="40" w:line="0" w:lineRule="atLeast"/>
      <w:jc w:val="center"/>
    </w:pPr>
  </w:style>
  <w:style w:type="paragraph" w:customStyle="1" w:styleId="69">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70">
    <w:name w:val="xl34"/>
    <w:basedOn w:val="1"/>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71">
    <w:name w:val="表格内容"/>
    <w:basedOn w:val="1"/>
    <w:qFormat/>
    <w:uiPriority w:val="0"/>
    <w:pPr>
      <w:adjustRightInd w:val="0"/>
      <w:jc w:val="center"/>
      <w:textAlignment w:val="baseline"/>
    </w:pPr>
    <w:rPr>
      <w:rFonts w:ascii="宋体"/>
      <w:kern w:val="0"/>
      <w:szCs w:val="28"/>
    </w:rPr>
  </w:style>
  <w:style w:type="paragraph" w:customStyle="1" w:styleId="72">
    <w:name w:val="font7"/>
    <w:basedOn w:val="1"/>
    <w:qFormat/>
    <w:uiPriority w:val="0"/>
    <w:pPr>
      <w:widowControl/>
      <w:spacing w:before="100" w:beforeAutospacing="1" w:after="100" w:afterAutospacing="1"/>
      <w:jc w:val="left"/>
    </w:pPr>
    <w:rPr>
      <w:rFonts w:eastAsia="Arial Unicode MS"/>
      <w:kern w:val="0"/>
      <w:sz w:val="18"/>
      <w:szCs w:val="18"/>
    </w:rPr>
  </w:style>
  <w:style w:type="paragraph" w:customStyle="1" w:styleId="73">
    <w:name w:val="其 它 文 件"/>
    <w:basedOn w:val="1"/>
    <w:qFormat/>
    <w:uiPriority w:val="0"/>
    <w:pPr>
      <w:spacing w:after="80" w:line="440" w:lineRule="atLeast"/>
    </w:pPr>
    <w:rPr>
      <w:rFonts w:eastAsia="楷体"/>
    </w:rPr>
  </w:style>
  <w:style w:type="paragraph" w:customStyle="1" w:styleId="74">
    <w:name w:val="xl36"/>
    <w:basedOn w:val="1"/>
    <w:qFormat/>
    <w:uiPriority w:val="0"/>
    <w:pPr>
      <w:widowControl/>
      <w:pBdr>
        <w:top w:val="double" w:color="auto" w:sz="6"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75">
    <w:name w:val="xl71"/>
    <w:basedOn w:val="1"/>
    <w:qFormat/>
    <w:uiPriority w:val="0"/>
    <w:pPr>
      <w:widowControl/>
      <w:pBdr>
        <w:left w:val="single" w:color="auto" w:sz="4" w:space="0"/>
        <w:bottom w:val="double" w:color="auto" w:sz="6"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76">
    <w:name w:val="2"/>
    <w:basedOn w:val="1"/>
    <w:next w:val="20"/>
    <w:qFormat/>
    <w:uiPriority w:val="0"/>
    <w:pPr>
      <w:adjustRightInd w:val="0"/>
      <w:spacing w:line="440" w:lineRule="atLeast"/>
      <w:ind w:firstLine="480"/>
      <w:jc w:val="left"/>
      <w:textAlignment w:val="baseline"/>
    </w:pPr>
    <w:rPr>
      <w:kern w:val="0"/>
      <w:sz w:val="24"/>
    </w:rPr>
  </w:style>
  <w:style w:type="paragraph" w:customStyle="1" w:styleId="77">
    <w:name w:val="Char Char Char"/>
    <w:basedOn w:val="1"/>
    <w:qFormat/>
    <w:uiPriority w:val="0"/>
    <w:rPr>
      <w:sz w:val="24"/>
      <w:szCs w:val="24"/>
    </w:rPr>
  </w:style>
  <w:style w:type="paragraph" w:customStyle="1" w:styleId="78">
    <w:name w:val="xl70"/>
    <w:basedOn w:val="1"/>
    <w:qFormat/>
    <w:uiPriority w:val="0"/>
    <w:pPr>
      <w:widowControl/>
      <w:pBdr>
        <w:left w:val="single" w:color="auto" w:sz="4" w:space="0"/>
        <w:bottom w:val="double" w:color="auto" w:sz="6" w:space="0"/>
        <w:right w:val="single" w:color="auto" w:sz="4" w:space="0"/>
      </w:pBdr>
      <w:spacing w:before="100" w:beforeAutospacing="1" w:after="100" w:afterAutospacing="1"/>
      <w:jc w:val="left"/>
    </w:pPr>
    <w:rPr>
      <w:rFonts w:ascii="Arial Unicode MS" w:hAnsi="Arial Unicode MS" w:eastAsia="Arial Unicode MS" w:cs="Arial Unicode MS"/>
      <w:kern w:val="0"/>
      <w:sz w:val="18"/>
      <w:szCs w:val="18"/>
    </w:rPr>
  </w:style>
  <w:style w:type="paragraph" w:customStyle="1" w:styleId="79">
    <w:name w:val="样式 报告书正文 + 首行缩进:  2 字符"/>
    <w:basedOn w:val="1"/>
    <w:link w:val="179"/>
    <w:qFormat/>
    <w:uiPriority w:val="0"/>
    <w:pPr>
      <w:ind w:firstLine="480" w:firstLineChars="200"/>
    </w:pPr>
    <w:rPr>
      <w:rFonts w:cs="宋体"/>
      <w:sz w:val="24"/>
    </w:rPr>
  </w:style>
  <w:style w:type="paragraph" w:customStyle="1" w:styleId="80">
    <w:name w:val="标注"/>
    <w:basedOn w:val="71"/>
    <w:qFormat/>
    <w:uiPriority w:val="0"/>
    <w:pPr>
      <w:ind w:firstLine="425"/>
      <w:jc w:val="left"/>
    </w:pPr>
    <w:rPr>
      <w:sz w:val="24"/>
      <w:szCs w:val="24"/>
    </w:rPr>
  </w:style>
  <w:style w:type="paragraph" w:customStyle="1" w:styleId="81">
    <w:name w:val="xl43"/>
    <w:basedOn w:val="1"/>
    <w:qFormat/>
    <w:uiPriority w:val="0"/>
    <w:pPr>
      <w:widowControl/>
      <w:pBdr>
        <w:top w:val="double" w:color="auto" w:sz="6" w:space="0"/>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82">
    <w:name w:val="font5"/>
    <w:basedOn w:val="1"/>
    <w:qFormat/>
    <w:uiPriority w:val="0"/>
    <w:pPr>
      <w:widowControl/>
      <w:spacing w:before="100" w:beforeAutospacing="1" w:after="100" w:afterAutospacing="1"/>
      <w:jc w:val="left"/>
    </w:pPr>
    <w:rPr>
      <w:rFonts w:eastAsia="Arial Unicode MS"/>
      <w:kern w:val="0"/>
      <w:sz w:val="18"/>
      <w:szCs w:val="18"/>
    </w:rPr>
  </w:style>
  <w:style w:type="paragraph" w:customStyle="1" w:styleId="83">
    <w:name w:val="Default Text"/>
    <w:basedOn w:val="1"/>
    <w:qFormat/>
    <w:uiPriority w:val="0"/>
    <w:pPr>
      <w:widowControl/>
      <w:tabs>
        <w:tab w:val="left" w:pos="2268"/>
      </w:tabs>
      <w:jc w:val="left"/>
    </w:pPr>
    <w:rPr>
      <w:kern w:val="0"/>
      <w:sz w:val="24"/>
      <w:lang w:eastAsia="en-US"/>
    </w:rPr>
  </w:style>
  <w:style w:type="paragraph" w:customStyle="1" w:styleId="84">
    <w:name w:val="表格王"/>
    <w:basedOn w:val="1"/>
    <w:qFormat/>
    <w:uiPriority w:val="0"/>
    <w:pPr>
      <w:spacing w:line="240" w:lineRule="auto"/>
      <w:jc w:val="center"/>
    </w:pPr>
    <w:rPr>
      <w:rFonts w:ascii="宋体" w:hAnsi="宋体" w:eastAsia="宋体"/>
      <w:sz w:val="21"/>
    </w:rPr>
  </w:style>
  <w:style w:type="paragraph" w:customStyle="1" w:styleId="85">
    <w:name w:val="刘文婷"/>
    <w:basedOn w:val="1"/>
    <w:link w:val="184"/>
    <w:qFormat/>
    <w:uiPriority w:val="0"/>
    <w:rPr>
      <w:szCs w:val="28"/>
    </w:rPr>
  </w:style>
  <w:style w:type="paragraph" w:customStyle="1" w:styleId="86">
    <w:name w:val="xl65"/>
    <w:basedOn w:val="1"/>
    <w:qFormat/>
    <w:uiPriority w:val="0"/>
    <w:pPr>
      <w:widowControl/>
      <w:pBdr>
        <w:top w:val="single" w:color="auto" w:sz="8" w:space="0"/>
        <w:left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87">
    <w:name w:val="xl69"/>
    <w:basedOn w:val="1"/>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18"/>
      <w:szCs w:val="18"/>
    </w:rPr>
  </w:style>
  <w:style w:type="paragraph" w:customStyle="1" w:styleId="88">
    <w:name w:val="_Style 79"/>
    <w:unhideWhenUsed/>
    <w:qFormat/>
    <w:uiPriority w:val="99"/>
    <w:rPr>
      <w:rFonts w:ascii="Calibri" w:hAnsi="Calibri" w:eastAsia="宋体" w:cs="Times New Roman"/>
      <w:kern w:val="2"/>
      <w:sz w:val="21"/>
      <w:lang w:val="en-US" w:eastAsia="zh-CN" w:bidi="ar-SA"/>
    </w:rPr>
  </w:style>
  <w:style w:type="paragraph" w:customStyle="1" w:styleId="89">
    <w:name w:val="表中文字"/>
    <w:basedOn w:val="1"/>
    <w:qFormat/>
    <w:uiPriority w:val="0"/>
    <w:pPr>
      <w:spacing w:line="280" w:lineRule="exact"/>
      <w:jc w:val="center"/>
    </w:pPr>
    <w:rPr>
      <w:rFonts w:ascii="宋体" w:hAnsi="宋体"/>
      <w:sz w:val="18"/>
      <w:szCs w:val="18"/>
    </w:rPr>
  </w:style>
  <w:style w:type="paragraph" w:customStyle="1" w:styleId="90">
    <w:name w:val="预案-正文缩进"/>
    <w:basedOn w:val="1"/>
    <w:qFormat/>
    <w:uiPriority w:val="0"/>
    <w:pPr>
      <w:adjustRightInd w:val="0"/>
      <w:spacing w:line="346" w:lineRule="atLeast"/>
      <w:ind w:firstLine="200" w:firstLineChars="200"/>
      <w:textAlignment w:val="baseline"/>
    </w:pPr>
    <w:rPr>
      <w:kern w:val="0"/>
      <w:sz w:val="24"/>
    </w:rPr>
  </w:style>
  <w:style w:type="paragraph" w:customStyle="1" w:styleId="91">
    <w:name w:val="Char Char Char Char Char Char1 Char Char Char Char"/>
    <w:basedOn w:val="1"/>
    <w:qFormat/>
    <w:uiPriority w:val="0"/>
    <w:pPr>
      <w:ind w:firstLine="200" w:firstLineChars="200"/>
    </w:pPr>
    <w:rPr>
      <w:rFonts w:ascii="宋体" w:hAnsi="宋体" w:cs="宋体"/>
      <w:sz w:val="24"/>
      <w:szCs w:val="24"/>
    </w:rPr>
  </w:style>
  <w:style w:type="paragraph" w:customStyle="1" w:styleId="92">
    <w:name w:val="Char Char Char Char Char Char Char"/>
    <w:basedOn w:val="1"/>
    <w:qFormat/>
    <w:uiPriority w:val="0"/>
    <w:pPr>
      <w:ind w:firstLine="200" w:firstLineChars="200"/>
    </w:pPr>
    <w:rPr>
      <w:rFonts w:ascii="宋体" w:hAnsi="宋体" w:cs="宋体"/>
      <w:sz w:val="24"/>
      <w:szCs w:val="24"/>
    </w:rPr>
  </w:style>
  <w:style w:type="paragraph" w:customStyle="1" w:styleId="93">
    <w:name w:val="Char Char Char1"/>
    <w:basedOn w:val="1"/>
    <w:qFormat/>
    <w:uiPriority w:val="0"/>
    <w:rPr>
      <w:sz w:val="24"/>
      <w:szCs w:val="24"/>
    </w:rPr>
  </w:style>
  <w:style w:type="paragraph" w:customStyle="1" w:styleId="94">
    <w:name w:val="正文999"/>
    <w:basedOn w:val="1"/>
    <w:qFormat/>
    <w:uiPriority w:val="0"/>
    <w:pPr>
      <w:ind w:firstLine="480" w:firstLineChars="200"/>
    </w:pPr>
    <w:rPr>
      <w:rFonts w:ascii="宋体" w:hAnsi="宋体"/>
      <w:sz w:val="24"/>
      <w:szCs w:val="24"/>
    </w:rPr>
  </w:style>
  <w:style w:type="paragraph" w:customStyle="1" w:styleId="95">
    <w:name w:val="样式 样式 (中文) 仿宋_GB2312 四号 + 首行缩进:  2 字符"/>
    <w:basedOn w:val="1"/>
    <w:qFormat/>
    <w:uiPriority w:val="0"/>
    <w:pPr>
      <w:snapToGrid w:val="0"/>
      <w:ind w:firstLine="200" w:firstLineChars="200"/>
      <w:textAlignment w:val="baseline"/>
    </w:pPr>
    <w:rPr>
      <w:rFonts w:cs="宋体"/>
      <w:color w:val="000000"/>
      <w:kern w:val="0"/>
      <w:u w:color="000000"/>
    </w:rPr>
  </w:style>
  <w:style w:type="paragraph" w:customStyle="1" w:styleId="96">
    <w:name w:val="Char Char Char Char Char Char1 Char"/>
    <w:basedOn w:val="1"/>
    <w:qFormat/>
    <w:uiPriority w:val="0"/>
    <w:pPr>
      <w:ind w:firstLine="200" w:firstLineChars="200"/>
    </w:pPr>
    <w:rPr>
      <w:rFonts w:ascii="宋体" w:hAnsi="宋体" w:cs="宋体"/>
      <w:sz w:val="24"/>
      <w:szCs w:val="24"/>
    </w:rPr>
  </w:style>
  <w:style w:type="paragraph" w:customStyle="1" w:styleId="97">
    <w:name w:val="xl61"/>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98">
    <w:name w:val="xl32"/>
    <w:basedOn w:val="1"/>
    <w:qFormat/>
    <w:uiPriority w:val="0"/>
    <w:pPr>
      <w:widowControl/>
      <w:pBdr>
        <w:top w:val="single" w:color="auto" w:sz="4" w:space="0"/>
        <w:lef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99">
    <w:name w:val="Char Char Char Char"/>
    <w:basedOn w:val="1"/>
    <w:qFormat/>
    <w:uiPriority w:val="0"/>
    <w:pPr>
      <w:ind w:firstLine="200" w:firstLineChars="200"/>
    </w:pPr>
    <w:rPr>
      <w:rFonts w:ascii="宋体" w:hAnsi="宋体" w:cs="宋体"/>
      <w:sz w:val="24"/>
      <w:szCs w:val="24"/>
    </w:rPr>
  </w:style>
  <w:style w:type="paragraph" w:customStyle="1" w:styleId="100">
    <w:name w:val="xl73"/>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hint="eastAsia" w:ascii="宋体" w:hAnsi="宋体" w:cs="Arial Unicode MS"/>
      <w:kern w:val="0"/>
      <w:sz w:val="18"/>
      <w:szCs w:val="18"/>
    </w:rPr>
  </w:style>
  <w:style w:type="paragraph" w:customStyle="1" w:styleId="101">
    <w:name w:val="xl39"/>
    <w:basedOn w:val="1"/>
    <w:qFormat/>
    <w:uiPriority w:val="0"/>
    <w:pPr>
      <w:widowControl/>
      <w:pBdr>
        <w:top w:val="single" w:color="auto" w:sz="4" w:space="0"/>
        <w:bottom w:val="double" w:color="auto" w:sz="6"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02">
    <w:name w:val="xl47"/>
    <w:basedOn w:val="1"/>
    <w:qFormat/>
    <w:uiPriority w:val="0"/>
    <w:pPr>
      <w:widowControl/>
      <w:pBdr>
        <w:left w:val="single" w:color="auto" w:sz="4"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03">
    <w:name w:val="表格正文"/>
    <w:basedOn w:val="1"/>
    <w:qFormat/>
    <w:uiPriority w:val="0"/>
    <w:pPr>
      <w:spacing w:line="360" w:lineRule="exact"/>
      <w:jc w:val="center"/>
    </w:pPr>
    <w:rPr>
      <w:szCs w:val="24"/>
    </w:rPr>
  </w:style>
  <w:style w:type="paragraph" w:customStyle="1" w:styleId="104">
    <w:name w:val="其 它 文 件 样 式"/>
    <w:basedOn w:val="1"/>
    <w:qFormat/>
    <w:uiPriority w:val="0"/>
    <w:pPr>
      <w:adjustRightInd w:val="0"/>
      <w:spacing w:line="400" w:lineRule="atLeast"/>
      <w:ind w:firstLine="567"/>
      <w:jc w:val="left"/>
      <w:textAlignment w:val="baseline"/>
    </w:pPr>
    <w:rPr>
      <w:rFonts w:eastAsia="楷体"/>
      <w:spacing w:val="10"/>
      <w:kern w:val="28"/>
    </w:rPr>
  </w:style>
  <w:style w:type="paragraph" w:customStyle="1" w:styleId="105">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106">
    <w:name w:val="中 文 论 文"/>
    <w:basedOn w:val="1"/>
    <w:qFormat/>
    <w:uiPriority w:val="0"/>
    <w:pPr>
      <w:adjustRightInd w:val="0"/>
      <w:spacing w:line="480" w:lineRule="atLeast"/>
      <w:ind w:firstLine="510"/>
      <w:jc w:val="left"/>
      <w:textAlignment w:val="baseline"/>
    </w:pPr>
    <w:rPr>
      <w:rFonts w:eastAsia="仿宋_GB2312"/>
      <w:kern w:val="0"/>
    </w:rPr>
  </w:style>
  <w:style w:type="paragraph" w:customStyle="1" w:styleId="107">
    <w:name w:val="Char Char Char Char Char Char1 Char Char Char Char1"/>
    <w:basedOn w:val="1"/>
    <w:qFormat/>
    <w:uiPriority w:val="0"/>
    <w:pPr>
      <w:ind w:firstLine="200" w:firstLineChars="200"/>
    </w:pPr>
    <w:rPr>
      <w:rFonts w:ascii="宋体" w:hAnsi="宋体" w:cs="宋体"/>
      <w:sz w:val="24"/>
      <w:szCs w:val="24"/>
    </w:rPr>
  </w:style>
  <w:style w:type="paragraph" w:customStyle="1" w:styleId="108">
    <w:name w:val="Char Char Char Char Char Char1 Char1"/>
    <w:basedOn w:val="1"/>
    <w:qFormat/>
    <w:uiPriority w:val="0"/>
    <w:pPr>
      <w:ind w:firstLine="200" w:firstLineChars="200"/>
    </w:pPr>
    <w:rPr>
      <w:rFonts w:ascii="宋体" w:hAnsi="宋体" w:cs="宋体"/>
      <w:sz w:val="24"/>
      <w:szCs w:val="24"/>
    </w:rPr>
  </w:style>
  <w:style w:type="paragraph" w:customStyle="1" w:styleId="109">
    <w:name w:val="xl72"/>
    <w:basedOn w:val="1"/>
    <w:qFormat/>
    <w:uiPriority w:val="0"/>
    <w:pPr>
      <w:widowControl/>
      <w:pBdr>
        <w:left w:val="single" w:color="auto" w:sz="8"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10">
    <w:name w:val="xl35"/>
    <w:basedOn w:val="1"/>
    <w:qFormat/>
    <w:uiPriority w:val="0"/>
    <w:pPr>
      <w:widowControl/>
      <w:pBdr>
        <w:top w:val="double" w:color="auto" w:sz="6" w:space="0"/>
        <w:left w:val="single" w:color="auto" w:sz="4" w:space="0"/>
        <w:bottom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111">
    <w:name w:val="样式 报告正文 + 首行缩进:  2 字符"/>
    <w:basedOn w:val="1"/>
    <w:qFormat/>
    <w:uiPriority w:val="0"/>
    <w:pPr>
      <w:autoSpaceDE w:val="0"/>
      <w:autoSpaceDN w:val="0"/>
      <w:ind w:firstLine="200" w:firstLineChars="200"/>
    </w:pPr>
    <w:rPr>
      <w:rFonts w:cs="宋体"/>
      <w:sz w:val="24"/>
    </w:rPr>
  </w:style>
  <w:style w:type="paragraph" w:customStyle="1" w:styleId="112">
    <w:name w:val="Char Char Char Char Char Char"/>
    <w:basedOn w:val="1"/>
    <w:qFormat/>
    <w:uiPriority w:val="0"/>
    <w:pPr>
      <w:ind w:firstLine="200" w:firstLineChars="200"/>
    </w:pPr>
    <w:rPr>
      <w:rFonts w:ascii="宋体" w:hAnsi="宋体" w:cs="宋体"/>
      <w:sz w:val="24"/>
      <w:szCs w:val="24"/>
    </w:rPr>
  </w:style>
  <w:style w:type="paragraph" w:customStyle="1" w:styleId="113">
    <w:name w:val="Char Char Char Char Char1 Char Char Char Char Char Char Char Char Char1 Char Char Char Char Char Char Char Char Char Char Char Char Char1"/>
    <w:basedOn w:val="16"/>
    <w:qFormat/>
    <w:uiPriority w:val="0"/>
    <w:rPr>
      <w:rFonts w:ascii="Tahoma" w:hAnsi="Tahoma"/>
      <w:sz w:val="24"/>
      <w:szCs w:val="24"/>
    </w:rPr>
  </w:style>
  <w:style w:type="paragraph" w:customStyle="1" w:styleId="114">
    <w:name w:val="表"/>
    <w:basedOn w:val="1"/>
    <w:qFormat/>
    <w:uiPriority w:val="0"/>
    <w:pPr>
      <w:adjustRightInd w:val="0"/>
      <w:snapToGrid w:val="0"/>
    </w:pPr>
    <w:rPr>
      <w:rFonts w:eastAsia="仿宋_GB2312"/>
      <w:bCs/>
      <w:color w:val="000000"/>
      <w:szCs w:val="24"/>
    </w:rPr>
  </w:style>
  <w:style w:type="paragraph" w:customStyle="1" w:styleId="115">
    <w:name w:val="Default"/>
    <w:unhideWhenUsed/>
    <w:qFormat/>
    <w:uiPriority w:val="99"/>
    <w:pPr>
      <w:widowControl w:val="0"/>
      <w:autoSpaceDE w:val="0"/>
      <w:autoSpaceDN w:val="0"/>
      <w:adjustRightInd w:val="0"/>
    </w:pPr>
    <w:rPr>
      <w:rFonts w:hint="eastAsia" w:ascii="仿宋_GB2312" w:hAnsi="仿宋_GB2312" w:eastAsia="仿宋_GB2312" w:cs="Times New Roman"/>
      <w:color w:val="000000"/>
      <w:sz w:val="24"/>
      <w:lang w:val="en-US" w:eastAsia="zh-CN" w:bidi="ar-SA"/>
    </w:rPr>
  </w:style>
  <w:style w:type="paragraph" w:customStyle="1" w:styleId="116">
    <w:name w:val="中文报告书"/>
    <w:basedOn w:val="1"/>
    <w:qFormat/>
    <w:uiPriority w:val="0"/>
    <w:pPr>
      <w:adjustRightInd w:val="0"/>
      <w:spacing w:after="80" w:line="420" w:lineRule="atLeast"/>
      <w:jc w:val="left"/>
      <w:textAlignment w:val="baseline"/>
    </w:pPr>
    <w:rPr>
      <w:kern w:val="0"/>
      <w:sz w:val="24"/>
    </w:rPr>
  </w:style>
  <w:style w:type="paragraph" w:customStyle="1" w:styleId="117">
    <w:name w:val="3"/>
    <w:basedOn w:val="1"/>
    <w:next w:val="24"/>
    <w:qFormat/>
    <w:uiPriority w:val="0"/>
    <w:rPr>
      <w:rFonts w:ascii="宋体" w:hAnsi="Courier New" w:cs="宋体"/>
      <w:szCs w:val="21"/>
    </w:rPr>
  </w:style>
  <w:style w:type="paragraph" w:customStyle="1" w:styleId="118">
    <w:name w:val="font6"/>
    <w:basedOn w:val="1"/>
    <w:qFormat/>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119">
    <w:name w:val="Char1 Char Char Char1 Char Char Char Char Char Char Char Char Char Char Char Char"/>
    <w:basedOn w:val="16"/>
    <w:qFormat/>
    <w:uiPriority w:val="0"/>
    <w:pPr>
      <w:adjustRightInd w:val="0"/>
      <w:spacing w:line="436" w:lineRule="exact"/>
      <w:ind w:left="357"/>
      <w:jc w:val="left"/>
      <w:outlineLvl w:val="3"/>
    </w:pPr>
    <w:rPr>
      <w:rFonts w:ascii="Tahoma" w:hAnsi="Tahoma"/>
      <w:b/>
      <w:sz w:val="24"/>
      <w:szCs w:val="24"/>
    </w:rPr>
  </w:style>
  <w:style w:type="paragraph" w:customStyle="1" w:styleId="120">
    <w:name w:val="xl55"/>
    <w:basedOn w:val="1"/>
    <w:qFormat/>
    <w:uiPriority w:val="0"/>
    <w:pPr>
      <w:widowControl/>
      <w:pBdr>
        <w:left w:val="single" w:color="auto" w:sz="8" w:space="0"/>
        <w:bottom w:val="double" w:color="auto" w:sz="6"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21">
    <w:name w:val="xl37"/>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122">
    <w:name w:val="默认段落字体 Para Char Char Char Char"/>
    <w:basedOn w:val="1"/>
    <w:qFormat/>
    <w:uiPriority w:val="0"/>
    <w:rPr>
      <w:szCs w:val="24"/>
    </w:rPr>
  </w:style>
  <w:style w:type="paragraph" w:customStyle="1" w:styleId="123">
    <w:name w:val="xl57"/>
    <w:basedOn w:val="1"/>
    <w:qFormat/>
    <w:uiPriority w:val="0"/>
    <w:pPr>
      <w:widowControl/>
      <w:spacing w:before="100" w:beforeAutospacing="1" w:after="100" w:afterAutospacing="1"/>
      <w:jc w:val="center"/>
      <w:textAlignment w:val="center"/>
    </w:pPr>
    <w:rPr>
      <w:rFonts w:ascii="Arial Unicode MS" w:hAnsi="Arial Unicode MS" w:eastAsia="Arial Unicode MS" w:cs="Arial Unicode MS"/>
      <w:b/>
      <w:bCs/>
      <w:kern w:val="0"/>
      <w:sz w:val="18"/>
      <w:szCs w:val="18"/>
    </w:rPr>
  </w:style>
  <w:style w:type="paragraph" w:customStyle="1" w:styleId="124">
    <w:name w:val="xl38"/>
    <w:basedOn w:val="1"/>
    <w:qFormat/>
    <w:uiPriority w:val="0"/>
    <w:pPr>
      <w:widowControl/>
      <w:pBdr>
        <w:top w:val="single" w:color="auto" w:sz="4" w:space="0"/>
        <w:left w:val="single" w:color="auto" w:sz="4" w:space="0"/>
        <w:bottom w:val="double" w:color="auto" w:sz="6"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125">
    <w:name w:val="xl27"/>
    <w:basedOn w:val="1"/>
    <w:qFormat/>
    <w:uiPriority w:val="0"/>
    <w:pPr>
      <w:widowControl/>
      <w:pBdr>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26">
    <w:name w:val="xl24"/>
    <w:basedOn w:val="1"/>
    <w:qFormat/>
    <w:uiPriority w:val="0"/>
    <w:pPr>
      <w:widowControl/>
      <w:pBdr>
        <w:top w:val="single" w:color="auto" w:sz="4"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27">
    <w:name w:val="xl54"/>
    <w:basedOn w:val="1"/>
    <w:qFormat/>
    <w:uiPriority w:val="0"/>
    <w:pPr>
      <w:widowControl/>
      <w:pBdr>
        <w:left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28">
    <w:name w:val="xl59"/>
    <w:basedOn w:val="1"/>
    <w:qFormat/>
    <w:uiPriority w:val="0"/>
    <w:pPr>
      <w:widowControl/>
      <w:pBdr>
        <w:left w:val="single" w:color="auto" w:sz="4" w:space="0"/>
        <w:bottom w:val="double" w:color="auto" w:sz="6"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29">
    <w:name w:val="Char1"/>
    <w:basedOn w:val="1"/>
    <w:qFormat/>
    <w:uiPriority w:val="0"/>
    <w:pPr>
      <w:ind w:firstLine="200" w:firstLineChars="200"/>
    </w:pPr>
    <w:rPr>
      <w:rFonts w:ascii="宋体" w:hAnsi="宋体" w:cs="宋体"/>
      <w:sz w:val="24"/>
      <w:szCs w:val="24"/>
    </w:rPr>
  </w:style>
  <w:style w:type="paragraph" w:customStyle="1" w:styleId="130">
    <w:name w:val="Char Char Char Char Char Char Char Char Char Char"/>
    <w:basedOn w:val="1"/>
    <w:qFormat/>
    <w:uiPriority w:val="0"/>
    <w:pPr>
      <w:ind w:firstLine="200" w:firstLineChars="200"/>
    </w:pPr>
    <w:rPr>
      <w:rFonts w:ascii="宋体" w:hAnsi="宋体" w:cs="宋体"/>
      <w:sz w:val="24"/>
      <w:szCs w:val="24"/>
    </w:rPr>
  </w:style>
  <w:style w:type="paragraph" w:customStyle="1" w:styleId="131">
    <w:name w:val="xl58"/>
    <w:basedOn w:val="1"/>
    <w:qFormat/>
    <w:uiPriority w:val="0"/>
    <w:pPr>
      <w:widowControl/>
      <w:pBdr>
        <w:top w:val="double" w:color="auto" w:sz="6" w:space="0"/>
        <w:left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32">
    <w:name w:val="xl49"/>
    <w:basedOn w:val="1"/>
    <w:qFormat/>
    <w:uiPriority w:val="0"/>
    <w:pPr>
      <w:widowControl/>
      <w:pBdr>
        <w:left w:val="single" w:color="auto" w:sz="4" w:space="0"/>
        <w:bottom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33">
    <w:name w:val="默认段落字体 Para Char"/>
    <w:basedOn w:val="1"/>
    <w:qFormat/>
    <w:uiPriority w:val="0"/>
    <w:pPr>
      <w:ind w:firstLine="200" w:firstLineChars="200"/>
    </w:pPr>
    <w:rPr>
      <w:rFonts w:ascii="宋体" w:hAnsi="宋体" w:cs="宋体"/>
      <w:sz w:val="24"/>
      <w:szCs w:val="24"/>
    </w:rPr>
  </w:style>
  <w:style w:type="paragraph" w:customStyle="1" w:styleId="134">
    <w:name w:val="中心文件"/>
    <w:basedOn w:val="116"/>
    <w:qFormat/>
    <w:uiPriority w:val="0"/>
    <w:pPr>
      <w:spacing w:after="0" w:line="480" w:lineRule="atLeast"/>
    </w:pPr>
    <w:rPr>
      <w:rFonts w:eastAsia="仿宋_GB2312"/>
      <w:sz w:val="28"/>
    </w:rPr>
  </w:style>
  <w:style w:type="paragraph" w:customStyle="1" w:styleId="135">
    <w:name w:val="Char Char Char Char Char Char1"/>
    <w:basedOn w:val="1"/>
    <w:qFormat/>
    <w:uiPriority w:val="0"/>
    <w:pPr>
      <w:ind w:firstLine="200" w:firstLineChars="200"/>
    </w:pPr>
    <w:rPr>
      <w:rFonts w:ascii="宋体" w:hAnsi="宋体" w:cs="宋体"/>
      <w:sz w:val="24"/>
      <w:szCs w:val="24"/>
    </w:rPr>
  </w:style>
  <w:style w:type="paragraph" w:customStyle="1" w:styleId="136">
    <w:name w:val="正文格式"/>
    <w:basedOn w:val="1"/>
    <w:link w:val="180"/>
    <w:qFormat/>
    <w:uiPriority w:val="0"/>
    <w:pPr>
      <w:ind w:firstLine="482"/>
    </w:pPr>
    <w:rPr>
      <w:rFonts w:ascii="宋体" w:hAnsi="宋体"/>
      <w:sz w:val="24"/>
      <w:szCs w:val="24"/>
    </w:rPr>
  </w:style>
  <w:style w:type="paragraph" w:customStyle="1" w:styleId="137">
    <w:name w:val="王治民正文"/>
    <w:basedOn w:val="1"/>
    <w:link w:val="199"/>
    <w:qFormat/>
    <w:uiPriority w:val="0"/>
    <w:pPr>
      <w:ind w:firstLine="200" w:firstLineChars="200"/>
    </w:pPr>
    <w:rPr>
      <w:sz w:val="24"/>
      <w:szCs w:val="24"/>
    </w:rPr>
  </w:style>
  <w:style w:type="paragraph" w:customStyle="1" w:styleId="138">
    <w:name w:val="xl3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139">
    <w:name w:val="declear1"/>
    <w:basedOn w:val="1"/>
    <w:qFormat/>
    <w:uiPriority w:val="0"/>
    <w:pPr>
      <w:widowControl/>
      <w:spacing w:after="30" w:line="240" w:lineRule="atLeast"/>
      <w:jc w:val="left"/>
    </w:pPr>
    <w:rPr>
      <w:rFonts w:ascii="宋体" w:hAnsi="宋体" w:cs="宋体"/>
      <w:vanish/>
      <w:color w:val="999999"/>
      <w:kern w:val="0"/>
      <w:sz w:val="18"/>
      <w:szCs w:val="18"/>
    </w:rPr>
  </w:style>
  <w:style w:type="paragraph" w:customStyle="1" w:styleId="140">
    <w:name w:val="xl41"/>
    <w:basedOn w:val="1"/>
    <w:qFormat/>
    <w:uiPriority w:val="0"/>
    <w:pPr>
      <w:widowControl/>
      <w:pBdr>
        <w:top w:val="single" w:color="auto" w:sz="4" w:space="0"/>
        <w:left w:val="single" w:color="auto" w:sz="4" w:space="0"/>
        <w:bottom w:val="single" w:color="auto" w:sz="8"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141">
    <w:name w:val="默认段落字体 Para Char Char Char Char Char Char Char Char Char Char"/>
    <w:basedOn w:val="1"/>
    <w:qFormat/>
    <w:uiPriority w:val="0"/>
    <w:pPr>
      <w:ind w:firstLine="200" w:firstLineChars="200"/>
    </w:pPr>
    <w:rPr>
      <w:rFonts w:ascii="宋体" w:hAnsi="宋体" w:cs="宋体"/>
      <w:sz w:val="24"/>
      <w:szCs w:val="24"/>
    </w:rPr>
  </w:style>
  <w:style w:type="paragraph" w:customStyle="1" w:styleId="142">
    <w:name w:val="xl40"/>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143">
    <w:name w:val="_Style 137"/>
    <w:basedOn w:val="1"/>
    <w:qFormat/>
    <w:uiPriority w:val="99"/>
    <w:pPr>
      <w:ind w:firstLine="420" w:firstLineChars="200"/>
    </w:pPr>
  </w:style>
  <w:style w:type="paragraph" w:customStyle="1" w:styleId="144">
    <w:name w:val="xl48"/>
    <w:basedOn w:val="1"/>
    <w:qFormat/>
    <w:uiPriority w:val="0"/>
    <w:pPr>
      <w:widowControl/>
      <w:pBdr>
        <w:top w:val="single" w:color="auto" w:sz="8" w:space="0"/>
        <w:lef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45">
    <w:name w:val="xl52"/>
    <w:basedOn w:val="1"/>
    <w:qFormat/>
    <w:uiPriority w:val="0"/>
    <w:pPr>
      <w:widowControl/>
      <w:pBdr>
        <w:left w:val="single" w:color="auto" w:sz="8" w:space="0"/>
        <w:bottom w:val="double" w:color="auto" w:sz="6"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46">
    <w:name w:val="xl46"/>
    <w:basedOn w:val="1"/>
    <w:qFormat/>
    <w:uiPriority w:val="0"/>
    <w:pPr>
      <w:widowControl/>
      <w:pBdr>
        <w:top w:val="single" w:color="auto" w:sz="8" w:space="0"/>
        <w:left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47">
    <w:name w:val="xl44"/>
    <w:basedOn w:val="1"/>
    <w:qFormat/>
    <w:uiPriority w:val="0"/>
    <w:pPr>
      <w:widowControl/>
      <w:pBdr>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48">
    <w:name w:val="Char Char Char Char Char Char Char Char Char Char1"/>
    <w:basedOn w:val="1"/>
    <w:qFormat/>
    <w:uiPriority w:val="0"/>
    <w:pPr>
      <w:ind w:firstLine="200" w:firstLineChars="200"/>
    </w:pPr>
    <w:rPr>
      <w:rFonts w:ascii="宋体" w:hAnsi="宋体" w:cs="宋体"/>
      <w:sz w:val="24"/>
      <w:szCs w:val="24"/>
    </w:rPr>
  </w:style>
  <w:style w:type="paragraph" w:customStyle="1" w:styleId="149">
    <w:name w:val="xl51"/>
    <w:basedOn w:val="1"/>
    <w:qFormat/>
    <w:uiPriority w:val="0"/>
    <w:pPr>
      <w:widowControl/>
      <w:pBdr>
        <w:left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50">
    <w:name w:val="xl26"/>
    <w:basedOn w:val="1"/>
    <w:qFormat/>
    <w:uiPriority w:val="0"/>
    <w:pPr>
      <w:widowControl/>
      <w:pBdr>
        <w:left w:val="single" w:color="auto" w:sz="4" w:space="0"/>
        <w:bottom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151">
    <w:name w:val="Char Char Char Char1"/>
    <w:basedOn w:val="1"/>
    <w:qFormat/>
    <w:uiPriority w:val="0"/>
    <w:pPr>
      <w:ind w:firstLine="200" w:firstLineChars="200"/>
    </w:pPr>
    <w:rPr>
      <w:rFonts w:ascii="宋体" w:hAnsi="宋体" w:cs="宋体"/>
      <w:sz w:val="24"/>
      <w:szCs w:val="24"/>
    </w:rPr>
  </w:style>
  <w:style w:type="paragraph" w:customStyle="1" w:styleId="152">
    <w:name w:val="列表段落1"/>
    <w:basedOn w:val="1"/>
    <w:qFormat/>
    <w:uiPriority w:val="0"/>
    <w:pPr>
      <w:ind w:firstLine="420" w:firstLineChars="200"/>
    </w:pPr>
    <w:rPr>
      <w:szCs w:val="24"/>
    </w:rPr>
  </w:style>
  <w:style w:type="paragraph" w:customStyle="1" w:styleId="153">
    <w:name w:val="xl64"/>
    <w:basedOn w:val="1"/>
    <w:qFormat/>
    <w:uiPriority w:val="0"/>
    <w:pPr>
      <w:widowControl/>
      <w:pBdr>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54">
    <w:name w:val="xl67"/>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55">
    <w:name w:val="报告书表格"/>
    <w:basedOn w:val="1"/>
    <w:link w:val="174"/>
    <w:qFormat/>
    <w:uiPriority w:val="0"/>
    <w:pPr>
      <w:adjustRightInd w:val="0"/>
      <w:snapToGrid w:val="0"/>
      <w:spacing w:line="240" w:lineRule="atLeast"/>
      <w:jc w:val="center"/>
      <w:textAlignment w:val="baseline"/>
    </w:pPr>
    <w:rPr>
      <w:kern w:val="0"/>
    </w:rPr>
  </w:style>
  <w:style w:type="paragraph" w:customStyle="1" w:styleId="156">
    <w:name w:val="xl53"/>
    <w:basedOn w:val="1"/>
    <w:qFormat/>
    <w:uiPriority w:val="0"/>
    <w:pPr>
      <w:widowControl/>
      <w:pBdr>
        <w:top w:val="double" w:color="auto" w:sz="6" w:space="0"/>
        <w:left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57">
    <w:name w:val="列出段落1"/>
    <w:basedOn w:val="1"/>
    <w:qFormat/>
    <w:uiPriority w:val="0"/>
    <w:pPr>
      <w:ind w:firstLine="420" w:firstLineChars="200"/>
    </w:pPr>
    <w:rPr>
      <w:szCs w:val="24"/>
    </w:rPr>
  </w:style>
  <w:style w:type="paragraph" w:customStyle="1" w:styleId="158">
    <w:name w:val="xl63"/>
    <w:basedOn w:val="1"/>
    <w:qFormat/>
    <w:uiPriority w:val="0"/>
    <w:pPr>
      <w:widowControl/>
      <w:pBdr>
        <w:top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59">
    <w:name w:val="BIG BOLD"/>
    <w:basedOn w:val="1"/>
    <w:qFormat/>
    <w:uiPriority w:val="0"/>
    <w:pPr>
      <w:tabs>
        <w:tab w:val="left" w:leader="underscore" w:pos="1134"/>
      </w:tabs>
      <w:adjustRightInd w:val="0"/>
      <w:snapToGrid w:val="0"/>
      <w:spacing w:line="300" w:lineRule="auto"/>
    </w:pPr>
    <w:rPr>
      <w:b/>
    </w:rPr>
  </w:style>
  <w:style w:type="paragraph" w:customStyle="1" w:styleId="160">
    <w:name w:val="xl74"/>
    <w:basedOn w:val="1"/>
    <w:qFormat/>
    <w:uiPriority w:val="0"/>
    <w:pPr>
      <w:widowControl/>
      <w:pBdr>
        <w:top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61">
    <w:name w:val="xl56"/>
    <w:basedOn w:val="1"/>
    <w:qFormat/>
    <w:uiPriority w:val="0"/>
    <w:pPr>
      <w:widowControl/>
      <w:pBdr>
        <w:bottom w:val="single" w:color="auto" w:sz="8" w:space="0"/>
      </w:pBdr>
      <w:spacing w:before="100" w:beforeAutospacing="1" w:after="100" w:afterAutospacing="1"/>
      <w:jc w:val="center"/>
      <w:textAlignment w:val="center"/>
    </w:pPr>
    <w:rPr>
      <w:rFonts w:ascii="Arial Unicode MS" w:hAnsi="Arial Unicode MS" w:eastAsia="Arial Unicode MS" w:cs="Arial Unicode MS"/>
      <w:b/>
      <w:bCs/>
      <w:kern w:val="0"/>
      <w:sz w:val="18"/>
      <w:szCs w:val="18"/>
    </w:rPr>
  </w:style>
  <w:style w:type="paragraph" w:customStyle="1" w:styleId="162">
    <w:name w:val="xl42"/>
    <w:basedOn w:val="1"/>
    <w:qFormat/>
    <w:uiPriority w:val="0"/>
    <w:pPr>
      <w:widowControl/>
      <w:pBdr>
        <w:left w:val="single" w:color="auto" w:sz="8"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63">
    <w:name w:val="xl45"/>
    <w:basedOn w:val="1"/>
    <w:qFormat/>
    <w:uiPriority w:val="0"/>
    <w:pPr>
      <w:widowControl/>
      <w:pBdr>
        <w:left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64">
    <w:name w:val="【表格】"/>
    <w:basedOn w:val="84"/>
    <w:qFormat/>
    <w:uiPriority w:val="0"/>
  </w:style>
  <w:style w:type="paragraph" w:customStyle="1" w:styleId="165">
    <w:name w:val="xl29"/>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166">
    <w:name w:val="xl66"/>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67">
    <w:name w:val="WPSOffice手动目录 2"/>
    <w:qFormat/>
    <w:uiPriority w:val="0"/>
    <w:pPr>
      <w:ind w:left="200" w:leftChars="200"/>
    </w:pPr>
    <w:rPr>
      <w:rFonts w:ascii="Calibri" w:hAnsi="Calibri" w:eastAsia="宋体" w:cs="Times New Roman"/>
      <w:lang w:val="en-US" w:eastAsia="zh-CN" w:bidi="ar-SA"/>
    </w:rPr>
  </w:style>
  <w:style w:type="paragraph" w:customStyle="1" w:styleId="168">
    <w:name w:val="Char Char Char Char Char Char Char1"/>
    <w:basedOn w:val="1"/>
    <w:qFormat/>
    <w:uiPriority w:val="0"/>
    <w:pPr>
      <w:ind w:firstLine="200" w:firstLineChars="200"/>
    </w:pPr>
    <w:rPr>
      <w:rFonts w:ascii="宋体" w:hAnsi="宋体" w:cs="宋体"/>
      <w:sz w:val="24"/>
      <w:szCs w:val="24"/>
    </w:rPr>
  </w:style>
  <w:style w:type="paragraph" w:customStyle="1" w:styleId="169">
    <w:name w:val="xl62"/>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70">
    <w:name w:val="Char3"/>
    <w:basedOn w:val="1"/>
    <w:qFormat/>
    <w:uiPriority w:val="0"/>
    <w:pPr>
      <w:ind w:firstLine="200" w:firstLineChars="200"/>
    </w:pPr>
    <w:rPr>
      <w:rFonts w:ascii="宋体" w:hAnsi="宋体" w:cs="宋体"/>
      <w:sz w:val="24"/>
      <w:szCs w:val="24"/>
    </w:rPr>
  </w:style>
  <w:style w:type="character" w:customStyle="1" w:styleId="171">
    <w:name w:val="文档结构图 字符"/>
    <w:link w:val="16"/>
    <w:semiHidden/>
    <w:qFormat/>
    <w:uiPriority w:val="99"/>
    <w:rPr>
      <w:kern w:val="2"/>
      <w:sz w:val="21"/>
      <w:shd w:val="clear" w:color="auto" w:fill="000080"/>
    </w:rPr>
  </w:style>
  <w:style w:type="character" w:customStyle="1" w:styleId="172">
    <w:name w:val="日期 字符"/>
    <w:link w:val="26"/>
    <w:qFormat/>
    <w:uiPriority w:val="0"/>
    <w:rPr>
      <w:kern w:val="2"/>
      <w:sz w:val="24"/>
    </w:rPr>
  </w:style>
  <w:style w:type="character" w:customStyle="1" w:styleId="173">
    <w:name w:val="题注 字符"/>
    <w:link w:val="15"/>
    <w:qFormat/>
    <w:uiPriority w:val="0"/>
    <w:rPr>
      <w:kern w:val="2"/>
      <w:sz w:val="24"/>
    </w:rPr>
  </w:style>
  <w:style w:type="character" w:customStyle="1" w:styleId="174">
    <w:name w:val="报告书表格 Char"/>
    <w:link w:val="155"/>
    <w:qFormat/>
    <w:uiPriority w:val="0"/>
    <w:rPr>
      <w:sz w:val="21"/>
    </w:rPr>
  </w:style>
  <w:style w:type="character" w:customStyle="1" w:styleId="175">
    <w:name w:val="纯文本 Char1"/>
    <w:qFormat/>
    <w:uiPriority w:val="0"/>
    <w:rPr>
      <w:rFonts w:ascii="宋体" w:hAnsi="Courier New"/>
      <w:kern w:val="2"/>
      <w:sz w:val="21"/>
    </w:rPr>
  </w:style>
  <w:style w:type="character" w:customStyle="1" w:styleId="176">
    <w:name w:val="表头 Char"/>
    <w:link w:val="54"/>
    <w:qFormat/>
    <w:locked/>
    <w:uiPriority w:val="99"/>
    <w:rPr>
      <w:rFonts w:ascii="宋体" w:hAnsi="宋体"/>
      <w:sz w:val="24"/>
      <w:lang w:bidi="ar-SA"/>
    </w:rPr>
  </w:style>
  <w:style w:type="character" w:customStyle="1" w:styleId="177">
    <w:name w:val="Char Char1"/>
    <w:qFormat/>
    <w:uiPriority w:val="0"/>
    <w:rPr>
      <w:rFonts w:hint="default" w:ascii="Arial" w:hAnsi="Arial" w:eastAsia="黑体" w:cs="Arial"/>
      <w:b/>
      <w:bCs/>
      <w:sz w:val="32"/>
      <w:szCs w:val="32"/>
      <w:lang w:val="en-US" w:eastAsia="zh-CN" w:bidi="ar-SA"/>
    </w:rPr>
  </w:style>
  <w:style w:type="character" w:customStyle="1" w:styleId="178">
    <w:name w:val="标题 4 字符"/>
    <w:link w:val="5"/>
    <w:qFormat/>
    <w:uiPriority w:val="9"/>
    <w:rPr>
      <w:rFonts w:eastAsia="宋体"/>
      <w:kern w:val="2"/>
      <w:sz w:val="24"/>
      <w:lang w:val="en-US" w:eastAsia="zh-CN" w:bidi="ar-SA"/>
    </w:rPr>
  </w:style>
  <w:style w:type="character" w:customStyle="1" w:styleId="179">
    <w:name w:val="样式 报告书正文 + 首行缩进:  2 字符 Char"/>
    <w:link w:val="79"/>
    <w:qFormat/>
    <w:uiPriority w:val="0"/>
    <w:rPr>
      <w:rFonts w:eastAsia="宋体" w:cs="宋体"/>
      <w:kern w:val="2"/>
      <w:sz w:val="24"/>
      <w:lang w:val="en-US" w:eastAsia="zh-CN" w:bidi="ar-SA"/>
    </w:rPr>
  </w:style>
  <w:style w:type="character" w:customStyle="1" w:styleId="180">
    <w:name w:val="正文格式 Char"/>
    <w:link w:val="136"/>
    <w:qFormat/>
    <w:uiPriority w:val="0"/>
    <w:rPr>
      <w:rFonts w:ascii="宋体" w:hAnsi="宋体"/>
      <w:kern w:val="2"/>
      <w:sz w:val="24"/>
      <w:szCs w:val="24"/>
    </w:rPr>
  </w:style>
  <w:style w:type="character" w:customStyle="1" w:styleId="181">
    <w:name w:val="批注文字 字符"/>
    <w:link w:val="17"/>
    <w:qFormat/>
    <w:locked/>
    <w:uiPriority w:val="0"/>
    <w:rPr>
      <w:rFonts w:eastAsia="宋体"/>
      <w:kern w:val="2"/>
      <w:sz w:val="21"/>
      <w:lang w:val="en-US" w:eastAsia="zh-CN" w:bidi="ar-SA"/>
    </w:rPr>
  </w:style>
  <w:style w:type="character" w:customStyle="1" w:styleId="182">
    <w:name w:val="gjz1"/>
    <w:qFormat/>
    <w:uiPriority w:val="0"/>
    <w:rPr>
      <w:sz w:val="18"/>
      <w:szCs w:val="18"/>
    </w:rPr>
  </w:style>
  <w:style w:type="character" w:customStyle="1" w:styleId="183">
    <w:name w:val="timu1"/>
    <w:qFormat/>
    <w:uiPriority w:val="0"/>
    <w:rPr>
      <w:sz w:val="24"/>
      <w:szCs w:val="24"/>
    </w:rPr>
  </w:style>
  <w:style w:type="character" w:customStyle="1" w:styleId="184">
    <w:name w:val="刘文婷 字符"/>
    <w:link w:val="85"/>
    <w:qFormat/>
    <w:uiPriority w:val="0"/>
    <w:rPr>
      <w:rFonts w:eastAsia="仿宋"/>
      <w:kern w:val="2"/>
      <w:sz w:val="28"/>
      <w:szCs w:val="28"/>
    </w:rPr>
  </w:style>
  <w:style w:type="character" w:customStyle="1" w:styleId="185">
    <w:name w:val="正文文本缩进 2 字符"/>
    <w:link w:val="21"/>
    <w:qFormat/>
    <w:uiPriority w:val="0"/>
    <w:rPr>
      <w:rFonts w:ascii="宋体" w:hAnsi="宋体"/>
      <w:kern w:val="2"/>
      <w:sz w:val="24"/>
    </w:rPr>
  </w:style>
  <w:style w:type="character" w:customStyle="1" w:styleId="186">
    <w:name w:val="中文报告书样式 Char1"/>
    <w:link w:val="8"/>
    <w:qFormat/>
    <w:uiPriority w:val="0"/>
    <w:rPr>
      <w:rFonts w:eastAsia="宋体"/>
      <w:kern w:val="24"/>
      <w:sz w:val="24"/>
      <w:lang w:val="en-US" w:eastAsia="zh-CN" w:bidi="ar-SA"/>
    </w:rPr>
  </w:style>
  <w:style w:type="character" w:customStyle="1" w:styleId="187">
    <w:name w:val="标题 2 Char"/>
    <w:qFormat/>
    <w:uiPriority w:val="9"/>
    <w:rPr>
      <w:rFonts w:ascii="Arial" w:hAnsi="Arial" w:eastAsia="黑体"/>
      <w:sz w:val="24"/>
      <w:lang w:val="en-US" w:eastAsia="zh-CN" w:bidi="ar-SA"/>
    </w:rPr>
  </w:style>
  <w:style w:type="character" w:customStyle="1" w:styleId="188">
    <w:name w:val="中文报告书 Char"/>
    <w:qFormat/>
    <w:uiPriority w:val="0"/>
    <w:rPr>
      <w:rFonts w:eastAsia="宋体"/>
      <w:sz w:val="24"/>
      <w:lang w:val="en-US" w:eastAsia="zh-CN" w:bidi="ar-SA"/>
    </w:rPr>
  </w:style>
  <w:style w:type="character" w:customStyle="1" w:styleId="189">
    <w:name w:val="注释标题 字符"/>
    <w:link w:val="14"/>
    <w:qFormat/>
    <w:uiPriority w:val="0"/>
    <w:rPr>
      <w:rFonts w:ascii="宋体"/>
      <w:kern w:val="2"/>
      <w:sz w:val="21"/>
    </w:rPr>
  </w:style>
  <w:style w:type="character" w:customStyle="1" w:styleId="190">
    <w:name w:val="副标题 字符"/>
    <w:link w:val="32"/>
    <w:qFormat/>
    <w:uiPriority w:val="11"/>
    <w:rPr>
      <w:rFonts w:ascii="Cambria" w:hAnsi="Cambria"/>
      <w:b/>
      <w:bCs/>
      <w:kern w:val="28"/>
      <w:sz w:val="24"/>
      <w:szCs w:val="32"/>
    </w:rPr>
  </w:style>
  <w:style w:type="character" w:customStyle="1" w:styleId="191">
    <w:name w:val="正文文本缩进 字符"/>
    <w:qFormat/>
    <w:uiPriority w:val="0"/>
    <w:rPr>
      <w:rFonts w:ascii="Times New Roman" w:hAnsi="Times New Roman" w:eastAsia="宋体" w:cs="Times New Roman"/>
      <w:kern w:val="0"/>
      <w:sz w:val="24"/>
      <w:szCs w:val="20"/>
    </w:rPr>
  </w:style>
  <w:style w:type="character" w:customStyle="1" w:styleId="192">
    <w:name w:val="中文报告书样式 Char"/>
    <w:qFormat/>
    <w:uiPriority w:val="0"/>
    <w:rPr>
      <w:rFonts w:eastAsia="宋体"/>
      <w:kern w:val="24"/>
      <w:sz w:val="24"/>
      <w:lang w:val="en-US" w:eastAsia="zh-CN" w:bidi="ar-SA"/>
    </w:rPr>
  </w:style>
  <w:style w:type="character" w:customStyle="1" w:styleId="193">
    <w:name w:val="正文文本首行缩进 2 字符"/>
    <w:link w:val="42"/>
    <w:qFormat/>
    <w:uiPriority w:val="99"/>
    <w:rPr>
      <w:kern w:val="2"/>
      <w:sz w:val="21"/>
    </w:rPr>
  </w:style>
  <w:style w:type="character" w:customStyle="1" w:styleId="194">
    <w:name w:val="标题 5 字符"/>
    <w:link w:val="7"/>
    <w:qFormat/>
    <w:uiPriority w:val="9"/>
    <w:rPr>
      <w:b/>
      <w:kern w:val="24"/>
      <w:sz w:val="28"/>
    </w:rPr>
  </w:style>
  <w:style w:type="character" w:customStyle="1" w:styleId="195">
    <w:name w:val="页眉 字符"/>
    <w:link w:val="29"/>
    <w:qFormat/>
    <w:uiPriority w:val="99"/>
    <w:rPr>
      <w:kern w:val="2"/>
      <w:sz w:val="18"/>
    </w:rPr>
  </w:style>
  <w:style w:type="character" w:customStyle="1" w:styleId="196">
    <w:name w:val="ht1"/>
    <w:qFormat/>
    <w:uiPriority w:val="0"/>
    <w:rPr>
      <w:rFonts w:ascii="黑体" w:eastAsia="黑体"/>
      <w:b/>
      <w:bCs/>
    </w:rPr>
  </w:style>
  <w:style w:type="character" w:customStyle="1" w:styleId="197">
    <w:name w:val="正文文本 2 字符"/>
    <w:link w:val="37"/>
    <w:qFormat/>
    <w:uiPriority w:val="0"/>
    <w:rPr>
      <w:kern w:val="2"/>
      <w:sz w:val="21"/>
    </w:rPr>
  </w:style>
  <w:style w:type="character" w:customStyle="1" w:styleId="198">
    <w:name w:val="批注主题 字符"/>
    <w:link w:val="41"/>
    <w:semiHidden/>
    <w:qFormat/>
    <w:uiPriority w:val="0"/>
    <w:rPr>
      <w:b/>
      <w:bCs/>
      <w:kern w:val="2"/>
      <w:sz w:val="21"/>
    </w:rPr>
  </w:style>
  <w:style w:type="character" w:customStyle="1" w:styleId="199">
    <w:name w:val="王治民正文 Char"/>
    <w:link w:val="137"/>
    <w:qFormat/>
    <w:uiPriority w:val="0"/>
    <w:rPr>
      <w:rFonts w:eastAsia="宋体"/>
      <w:kern w:val="2"/>
      <w:sz w:val="24"/>
      <w:szCs w:val="24"/>
      <w:lang w:val="en-US" w:eastAsia="zh-CN" w:bidi="ar-SA"/>
    </w:rPr>
  </w:style>
  <w:style w:type="character" w:customStyle="1" w:styleId="200">
    <w:name w:val="中文报告书样式 Char Char"/>
    <w:qFormat/>
    <w:uiPriority w:val="0"/>
    <w:rPr>
      <w:rFonts w:hint="eastAsia" w:ascii="宋体" w:hAnsi="宋体" w:eastAsia="宋体"/>
      <w:kern w:val="24"/>
      <w:sz w:val="24"/>
      <w:lang w:val="en-US" w:eastAsia="zh-CN" w:bidi="ar-SA"/>
    </w:rPr>
  </w:style>
  <w:style w:type="character" w:customStyle="1" w:styleId="201">
    <w:name w:val="headline-content2"/>
    <w:basedOn w:val="45"/>
    <w:qFormat/>
    <w:uiPriority w:val="0"/>
  </w:style>
  <w:style w:type="character" w:customStyle="1" w:styleId="202">
    <w:name w:val="报告书 Char"/>
    <w:link w:val="61"/>
    <w:qFormat/>
    <w:uiPriority w:val="0"/>
    <w:rPr>
      <w:rFonts w:ascii="宋体" w:eastAsia="宋体"/>
      <w:kern w:val="24"/>
      <w:sz w:val="24"/>
      <w:lang w:val="en-US" w:eastAsia="zh-CN" w:bidi="ar-SA"/>
    </w:rPr>
  </w:style>
  <w:style w:type="character" w:customStyle="1" w:styleId="203">
    <w:name w:val="HTML 预设格式 字符"/>
    <w:link w:val="38"/>
    <w:qFormat/>
    <w:uiPriority w:val="99"/>
    <w:rPr>
      <w:rFonts w:ascii="Arial" w:hAnsi="Arial" w:cs="Arial"/>
      <w:sz w:val="24"/>
      <w:szCs w:val="24"/>
    </w:rPr>
  </w:style>
  <w:style w:type="character" w:customStyle="1" w:styleId="204">
    <w:name w:val="showtreebodycontent1"/>
    <w:qFormat/>
    <w:uiPriority w:val="0"/>
    <w:rPr>
      <w:sz w:val="21"/>
      <w:szCs w:val="21"/>
    </w:rPr>
  </w:style>
  <w:style w:type="character" w:customStyle="1" w:styleId="205">
    <w:name w:val="页脚 字符"/>
    <w:link w:val="28"/>
    <w:qFormat/>
    <w:uiPriority w:val="99"/>
    <w:rPr>
      <w:kern w:val="2"/>
      <w:sz w:val="18"/>
    </w:rPr>
  </w:style>
  <w:style w:type="character" w:customStyle="1" w:styleId="206">
    <w:name w:val="正文文本缩进 3 字符"/>
    <w:link w:val="34"/>
    <w:qFormat/>
    <w:uiPriority w:val="0"/>
    <w:rPr>
      <w:kern w:val="2"/>
      <w:sz w:val="16"/>
      <w:szCs w:val="16"/>
    </w:rPr>
  </w:style>
  <w:style w:type="character" w:customStyle="1" w:styleId="207">
    <w:name w:val="标题 1 字符"/>
    <w:link w:val="2"/>
    <w:qFormat/>
    <w:uiPriority w:val="9"/>
    <w:rPr>
      <w:rFonts w:ascii="仿宋_GB2312" w:eastAsia="仿宋_GB2312"/>
      <w:b/>
      <w:kern w:val="44"/>
      <w:sz w:val="30"/>
      <w:szCs w:val="30"/>
    </w:rPr>
  </w:style>
  <w:style w:type="character" w:customStyle="1" w:styleId="208">
    <w:name w:val="正文文本 3 字符"/>
    <w:link w:val="18"/>
    <w:qFormat/>
    <w:uiPriority w:val="0"/>
    <w:rPr>
      <w:rFonts w:ascii="黑体" w:hAnsi="宋体" w:eastAsia="黑体"/>
      <w:sz w:val="72"/>
      <w:szCs w:val="18"/>
    </w:rPr>
  </w:style>
  <w:style w:type="character" w:customStyle="1" w:styleId="209">
    <w:name w:val="标题 6 字符"/>
    <w:link w:val="9"/>
    <w:qFormat/>
    <w:uiPriority w:val="9"/>
    <w:rPr>
      <w:rFonts w:eastAsia="仿宋_GB2312"/>
      <w:bCs/>
      <w:kern w:val="2"/>
      <w:sz w:val="24"/>
      <w:szCs w:val="24"/>
    </w:rPr>
  </w:style>
  <w:style w:type="character" w:customStyle="1" w:styleId="210">
    <w:name w:val="zhengwen"/>
    <w:basedOn w:val="45"/>
    <w:qFormat/>
    <w:uiPriority w:val="0"/>
  </w:style>
  <w:style w:type="character" w:customStyle="1" w:styleId="211">
    <w:name w:val="副标题 字符1"/>
    <w:qFormat/>
    <w:uiPriority w:val="11"/>
    <w:rPr>
      <w:b/>
      <w:bCs/>
      <w:kern w:val="28"/>
      <w:sz w:val="32"/>
      <w:szCs w:val="32"/>
    </w:rPr>
  </w:style>
  <w:style w:type="character" w:customStyle="1" w:styleId="212">
    <w:name w:val="标题 2 字符"/>
    <w:link w:val="3"/>
    <w:qFormat/>
    <w:uiPriority w:val="9"/>
    <w:rPr>
      <w:rFonts w:eastAsia="黑体"/>
      <w:sz w:val="24"/>
      <w:lang w:val="en-US" w:eastAsia="zh-CN" w:bidi="ar-SA"/>
    </w:rPr>
  </w:style>
  <w:style w:type="character" w:customStyle="1" w:styleId="213">
    <w:name w:val="纯文本 字符"/>
    <w:link w:val="24"/>
    <w:qFormat/>
    <w:uiPriority w:val="0"/>
    <w:rPr>
      <w:rFonts w:ascii="宋体" w:hAnsi="Courier New"/>
      <w:kern w:val="2"/>
      <w:sz w:val="21"/>
    </w:rPr>
  </w:style>
  <w:style w:type="character" w:customStyle="1" w:styleId="214">
    <w:name w:val="标题 3 字符"/>
    <w:link w:val="4"/>
    <w:qFormat/>
    <w:uiPriority w:val="9"/>
    <w:rPr>
      <w:rFonts w:ascii="黑体" w:eastAsia="黑体"/>
      <w:kern w:val="2"/>
      <w:sz w:val="24"/>
    </w:rPr>
  </w:style>
  <w:style w:type="character" w:customStyle="1" w:styleId="215">
    <w:name w:val="kt1"/>
    <w:basedOn w:val="45"/>
    <w:qFormat/>
    <w:uiPriority w:val="0"/>
  </w:style>
  <w:style w:type="character" w:customStyle="1" w:styleId="216">
    <w:name w:val="正文文本缩进 字符1"/>
    <w:link w:val="20"/>
    <w:qFormat/>
    <w:uiPriority w:val="0"/>
    <w:rPr>
      <w:sz w:val="24"/>
    </w:rPr>
  </w:style>
  <w:style w:type="character" w:customStyle="1" w:styleId="217">
    <w:name w:val="副标题 Char"/>
    <w:qFormat/>
    <w:uiPriority w:val="11"/>
    <w:rPr>
      <w:rFonts w:ascii="等线 Light" w:hAnsi="等线 Light" w:eastAsia="宋体" w:cs="Times New Roman"/>
      <w:b/>
      <w:bCs/>
      <w:kern w:val="28"/>
      <w:sz w:val="32"/>
      <w:szCs w:val="32"/>
    </w:rPr>
  </w:style>
  <w:style w:type="character" w:customStyle="1" w:styleId="218">
    <w:name w:val="批注框文本 字符"/>
    <w:link w:val="27"/>
    <w:semiHidden/>
    <w:qFormat/>
    <w:uiPriority w:val="0"/>
    <w:rPr>
      <w:kern w:val="2"/>
      <w:sz w:val="18"/>
      <w:szCs w:val="18"/>
    </w:rPr>
  </w:style>
  <w:style w:type="character" w:customStyle="1" w:styleId="219">
    <w:name w:val="正文文本 字符"/>
    <w:link w:val="19"/>
    <w:qFormat/>
    <w:uiPriority w:val="0"/>
    <w:rPr>
      <w:kern w:val="2"/>
      <w:sz w:val="24"/>
    </w:rPr>
  </w:style>
  <w:style w:type="character" w:customStyle="1" w:styleId="220">
    <w:name w:val="bb1"/>
    <w:qFormat/>
    <w:uiPriority w:val="0"/>
    <w:rPr>
      <w:sz w:val="21"/>
      <w:szCs w:val="21"/>
      <w:u w:val="none"/>
    </w:rPr>
  </w:style>
  <w:style w:type="paragraph" w:customStyle="1" w:styleId="221">
    <w:name w:val="修订1"/>
    <w:hidden/>
    <w:unhideWhenUsed/>
    <w:qFormat/>
    <w:uiPriority w:val="99"/>
    <w:rPr>
      <w:rFonts w:ascii="Calibri" w:hAnsi="Calibri" w:eastAsia="仿宋" w:cs="Times New Roman"/>
      <w:kern w:val="2"/>
      <w:sz w:val="28"/>
      <w:lang w:val="en-US" w:eastAsia="zh-CN" w:bidi="ar-SA"/>
    </w:rPr>
  </w:style>
  <w:style w:type="paragraph" w:customStyle="1" w:styleId="222">
    <w:name w:val="修订2"/>
    <w:hidden/>
    <w:unhideWhenUsed/>
    <w:qFormat/>
    <w:uiPriority w:val="99"/>
    <w:rPr>
      <w:rFonts w:ascii="Calibri" w:hAnsi="Calibri" w:eastAsia="仿宋" w:cs="Times New Roman"/>
      <w:kern w:val="2"/>
      <w:sz w:val="28"/>
      <w:lang w:val="en-US" w:eastAsia="zh-CN" w:bidi="ar-SA"/>
    </w:rPr>
  </w:style>
  <w:style w:type="paragraph" w:customStyle="1" w:styleId="223">
    <w:name w:val="应急预案-正文"/>
    <w:basedOn w:val="1"/>
    <w:next w:val="1"/>
    <w:qFormat/>
    <w:uiPriority w:val="0"/>
    <w:pPr>
      <w:ind w:firstLine="200" w:firstLineChars="200"/>
    </w:pPr>
    <w:rPr>
      <w:rFonts w:ascii="Times New Roman" w:hAnsi="Times New Roman"/>
      <w:szCs w:val="28"/>
    </w:rPr>
  </w:style>
  <w:style w:type="paragraph" w:styleId="224">
    <w:name w:val="List Paragraph"/>
    <w:basedOn w:val="1"/>
    <w:link w:val="227"/>
    <w:unhideWhenUsed/>
    <w:qFormat/>
    <w:uiPriority w:val="34"/>
    <w:pPr>
      <w:ind w:firstLine="420" w:firstLineChars="200"/>
    </w:pPr>
  </w:style>
  <w:style w:type="paragraph" w:customStyle="1" w:styleId="225">
    <w:name w:val="报告正文"/>
    <w:basedOn w:val="1"/>
    <w:qFormat/>
    <w:uiPriority w:val="0"/>
    <w:pPr>
      <w:adjustRightInd w:val="0"/>
      <w:spacing w:line="240" w:lineRule="auto"/>
      <w:ind w:firstLine="200"/>
    </w:pPr>
    <w:rPr>
      <w:rFonts w:ascii="Times New Roman" w:hAnsi="Times New Roman" w:eastAsia="宋体"/>
      <w:sz w:val="21"/>
      <w:szCs w:val="24"/>
    </w:rPr>
  </w:style>
  <w:style w:type="paragraph" w:customStyle="1" w:styleId="226">
    <w:name w:val="表格标题"/>
    <w:basedOn w:val="224"/>
    <w:link w:val="228"/>
    <w:qFormat/>
    <w:uiPriority w:val="0"/>
    <w:pPr>
      <w:ind w:left="1420" w:firstLine="0" w:firstLineChars="0"/>
      <w:jc w:val="center"/>
    </w:pPr>
    <w:rPr>
      <w:rFonts w:ascii="Times New Roman" w:hAnsi="Times New Roman"/>
    </w:rPr>
  </w:style>
  <w:style w:type="character" w:customStyle="1" w:styleId="227">
    <w:name w:val="列表段落 字符"/>
    <w:basedOn w:val="45"/>
    <w:link w:val="224"/>
    <w:qFormat/>
    <w:uiPriority w:val="99"/>
    <w:rPr>
      <w:rFonts w:ascii="Calibri" w:hAnsi="Calibri" w:eastAsia="仿宋"/>
      <w:kern w:val="2"/>
      <w:sz w:val="28"/>
    </w:rPr>
  </w:style>
  <w:style w:type="character" w:customStyle="1" w:styleId="228">
    <w:name w:val="表格标题 字符"/>
    <w:basedOn w:val="227"/>
    <w:link w:val="226"/>
    <w:qFormat/>
    <w:uiPriority w:val="0"/>
    <w:rPr>
      <w:rFonts w:ascii="Calibri" w:hAnsi="Calibri" w:eastAsia="仿宋"/>
      <w:kern w:val="2"/>
      <w:sz w:val="28"/>
    </w:rPr>
  </w:style>
  <w:style w:type="paragraph" w:customStyle="1" w:styleId="229">
    <w:name w:val="标题 71"/>
    <w:basedOn w:val="1"/>
    <w:next w:val="1"/>
    <w:semiHidden/>
    <w:unhideWhenUsed/>
    <w:qFormat/>
    <w:uiPriority w:val="9"/>
    <w:pPr>
      <w:keepNext/>
      <w:keepLines/>
      <w:spacing w:before="40" w:line="278" w:lineRule="auto"/>
      <w:jc w:val="left"/>
      <w:outlineLvl w:val="6"/>
    </w:pPr>
    <w:rPr>
      <w:rFonts w:ascii="等线" w:hAnsi="等线" w:eastAsia="等线"/>
      <w:b/>
      <w:bCs/>
      <w:color w:val="595959"/>
      <w:sz w:val="22"/>
      <w:szCs w:val="24"/>
      <w14:ligatures w14:val="standardContextual"/>
    </w:rPr>
  </w:style>
  <w:style w:type="paragraph" w:customStyle="1" w:styleId="230">
    <w:name w:val="标题 81"/>
    <w:basedOn w:val="1"/>
    <w:next w:val="1"/>
    <w:semiHidden/>
    <w:unhideWhenUsed/>
    <w:qFormat/>
    <w:uiPriority w:val="9"/>
    <w:pPr>
      <w:keepNext/>
      <w:keepLines/>
      <w:spacing w:line="278" w:lineRule="auto"/>
      <w:jc w:val="left"/>
      <w:outlineLvl w:val="7"/>
    </w:pPr>
    <w:rPr>
      <w:rFonts w:ascii="等线" w:hAnsi="等线" w:eastAsia="等线"/>
      <w:color w:val="595959"/>
      <w:sz w:val="22"/>
      <w:szCs w:val="24"/>
      <w14:ligatures w14:val="standardContextual"/>
    </w:rPr>
  </w:style>
  <w:style w:type="paragraph" w:customStyle="1" w:styleId="231">
    <w:name w:val="标题 91"/>
    <w:basedOn w:val="1"/>
    <w:next w:val="1"/>
    <w:semiHidden/>
    <w:unhideWhenUsed/>
    <w:qFormat/>
    <w:uiPriority w:val="9"/>
    <w:pPr>
      <w:keepNext/>
      <w:keepLines/>
      <w:spacing w:line="278" w:lineRule="auto"/>
      <w:jc w:val="left"/>
      <w:outlineLvl w:val="8"/>
    </w:pPr>
    <w:rPr>
      <w:rFonts w:ascii="等线" w:hAnsi="等线" w:eastAsia="等线 Light"/>
      <w:color w:val="595959"/>
      <w:sz w:val="22"/>
      <w:szCs w:val="24"/>
      <w14:ligatures w14:val="standardContextual"/>
    </w:rPr>
  </w:style>
  <w:style w:type="character" w:customStyle="1" w:styleId="232">
    <w:name w:val="标题 7 字符"/>
    <w:basedOn w:val="45"/>
    <w:link w:val="10"/>
    <w:semiHidden/>
    <w:qFormat/>
    <w:uiPriority w:val="9"/>
    <w:rPr>
      <w:rFonts w:cs="Times New Roman"/>
      <w:b/>
      <w:bCs/>
      <w:color w:val="595959"/>
    </w:rPr>
  </w:style>
  <w:style w:type="character" w:customStyle="1" w:styleId="233">
    <w:name w:val="标题 8 字符"/>
    <w:basedOn w:val="45"/>
    <w:link w:val="11"/>
    <w:semiHidden/>
    <w:qFormat/>
    <w:uiPriority w:val="9"/>
    <w:rPr>
      <w:rFonts w:cs="Times New Roman"/>
      <w:color w:val="595959"/>
    </w:rPr>
  </w:style>
  <w:style w:type="character" w:customStyle="1" w:styleId="234">
    <w:name w:val="标题 9 字符"/>
    <w:basedOn w:val="45"/>
    <w:link w:val="12"/>
    <w:semiHidden/>
    <w:qFormat/>
    <w:uiPriority w:val="9"/>
    <w:rPr>
      <w:rFonts w:eastAsia="等线 Light" w:cs="Times New Roman"/>
      <w:color w:val="595959"/>
    </w:rPr>
  </w:style>
  <w:style w:type="paragraph" w:customStyle="1" w:styleId="235">
    <w:name w:val="标题1"/>
    <w:basedOn w:val="1"/>
    <w:next w:val="1"/>
    <w:qFormat/>
    <w:uiPriority w:val="10"/>
    <w:pPr>
      <w:spacing w:after="80" w:line="240" w:lineRule="auto"/>
      <w:contextualSpacing/>
      <w:jc w:val="center"/>
    </w:pPr>
    <w:rPr>
      <w:rFonts w:ascii="等线 Light" w:hAnsi="等线 Light" w:eastAsia="等线 Light"/>
      <w:spacing w:val="-10"/>
      <w:kern w:val="28"/>
      <w:sz w:val="56"/>
      <w:szCs w:val="56"/>
      <w14:ligatures w14:val="standardContextual"/>
    </w:rPr>
  </w:style>
  <w:style w:type="character" w:customStyle="1" w:styleId="236">
    <w:name w:val="标题 字符"/>
    <w:basedOn w:val="45"/>
    <w:link w:val="40"/>
    <w:qFormat/>
    <w:uiPriority w:val="10"/>
    <w:rPr>
      <w:rFonts w:ascii="等线 Light" w:hAnsi="等线 Light" w:eastAsia="等线 Light" w:cs="Times New Roman"/>
      <w:spacing w:val="-10"/>
      <w:kern w:val="28"/>
      <w:sz w:val="56"/>
      <w:szCs w:val="56"/>
    </w:rPr>
  </w:style>
  <w:style w:type="paragraph" w:customStyle="1" w:styleId="237">
    <w:name w:val="引用1"/>
    <w:basedOn w:val="1"/>
    <w:next w:val="1"/>
    <w:qFormat/>
    <w:uiPriority w:val="29"/>
    <w:pPr>
      <w:spacing w:before="160" w:after="160" w:line="278" w:lineRule="auto"/>
      <w:jc w:val="center"/>
    </w:pPr>
    <w:rPr>
      <w:rFonts w:ascii="等线" w:hAnsi="等线" w:eastAsia="等线"/>
      <w:i/>
      <w:iCs/>
      <w:color w:val="404040"/>
      <w:sz w:val="22"/>
      <w:szCs w:val="24"/>
      <w14:ligatures w14:val="standardContextual"/>
    </w:rPr>
  </w:style>
  <w:style w:type="character" w:customStyle="1" w:styleId="238">
    <w:name w:val="引用 字符"/>
    <w:basedOn w:val="45"/>
    <w:link w:val="239"/>
    <w:qFormat/>
    <w:uiPriority w:val="29"/>
    <w:rPr>
      <w:i/>
      <w:iCs/>
      <w:color w:val="404040"/>
    </w:rPr>
  </w:style>
  <w:style w:type="paragraph" w:styleId="239">
    <w:name w:val="Quote"/>
    <w:basedOn w:val="1"/>
    <w:next w:val="1"/>
    <w:link w:val="238"/>
    <w:semiHidden/>
    <w:unhideWhenUsed/>
    <w:qFormat/>
    <w:uiPriority w:val="29"/>
    <w:pPr>
      <w:spacing w:before="200" w:after="160"/>
      <w:ind w:left="864" w:right="864"/>
      <w:jc w:val="center"/>
    </w:pPr>
    <w:rPr>
      <w:rFonts w:ascii="Times New Roman" w:hAnsi="Times New Roman" w:eastAsia="宋体"/>
      <w:i/>
      <w:iCs/>
      <w:color w:val="404040"/>
      <w:kern w:val="0"/>
      <w:sz w:val="20"/>
    </w:rPr>
  </w:style>
  <w:style w:type="character" w:customStyle="1" w:styleId="240">
    <w:name w:val="明显强调1"/>
    <w:basedOn w:val="45"/>
    <w:qFormat/>
    <w:uiPriority w:val="21"/>
    <w:rPr>
      <w:i/>
      <w:iCs/>
      <w:color w:val="0F4761"/>
    </w:rPr>
  </w:style>
  <w:style w:type="paragraph" w:customStyle="1" w:styleId="241">
    <w:name w:val="明显引用1"/>
    <w:basedOn w:val="1"/>
    <w:next w:val="1"/>
    <w:qFormat/>
    <w:uiPriority w:val="30"/>
    <w:pPr>
      <w:pBdr>
        <w:top w:val="single" w:color="0F4761" w:sz="4" w:space="10"/>
        <w:bottom w:val="single" w:color="0F4761" w:sz="4" w:space="10"/>
      </w:pBdr>
      <w:spacing w:before="360" w:after="360" w:line="278" w:lineRule="auto"/>
      <w:ind w:left="864" w:right="864"/>
      <w:jc w:val="center"/>
    </w:pPr>
    <w:rPr>
      <w:rFonts w:ascii="等线" w:hAnsi="等线" w:eastAsia="等线"/>
      <w:i/>
      <w:iCs/>
      <w:color w:val="0F4761"/>
      <w:sz w:val="22"/>
      <w:szCs w:val="24"/>
      <w14:ligatures w14:val="standardContextual"/>
    </w:rPr>
  </w:style>
  <w:style w:type="character" w:customStyle="1" w:styleId="242">
    <w:name w:val="明显引用 字符"/>
    <w:basedOn w:val="45"/>
    <w:link w:val="243"/>
    <w:qFormat/>
    <w:uiPriority w:val="30"/>
    <w:rPr>
      <w:i/>
      <w:iCs/>
      <w:color w:val="0F4761"/>
    </w:rPr>
  </w:style>
  <w:style w:type="paragraph" w:styleId="243">
    <w:name w:val="Intense Quote"/>
    <w:basedOn w:val="1"/>
    <w:next w:val="1"/>
    <w:link w:val="242"/>
    <w:semiHidden/>
    <w:unhideWhenUsed/>
    <w:qFormat/>
    <w:uiPriority w:val="30"/>
    <w:pPr>
      <w:pBdr>
        <w:top w:val="single" w:color="4F81BD" w:themeColor="accent1" w:sz="4" w:space="10"/>
        <w:bottom w:val="single" w:color="4F81BD" w:themeColor="accent1" w:sz="4" w:space="10"/>
      </w:pBdr>
      <w:spacing w:before="360" w:after="360"/>
      <w:ind w:left="864" w:right="864"/>
      <w:jc w:val="center"/>
    </w:pPr>
    <w:rPr>
      <w:rFonts w:ascii="Times New Roman" w:hAnsi="Times New Roman" w:eastAsia="宋体"/>
      <w:i/>
      <w:iCs/>
      <w:color w:val="0F4761"/>
      <w:kern w:val="0"/>
      <w:sz w:val="20"/>
    </w:rPr>
  </w:style>
  <w:style w:type="character" w:customStyle="1" w:styleId="244">
    <w:name w:val="明显参考1"/>
    <w:basedOn w:val="45"/>
    <w:qFormat/>
    <w:uiPriority w:val="32"/>
    <w:rPr>
      <w:b/>
      <w:bCs/>
      <w:smallCaps/>
      <w:color w:val="0F4761"/>
      <w:spacing w:val="5"/>
    </w:rPr>
  </w:style>
  <w:style w:type="paragraph" w:customStyle="1" w:styleId="245">
    <w:name w:val="msonormal"/>
    <w:basedOn w:val="1"/>
    <w:qFormat/>
    <w:uiPriority w:val="0"/>
    <w:pPr>
      <w:widowControl/>
      <w:spacing w:before="100" w:beforeAutospacing="1" w:after="100" w:afterAutospacing="1" w:line="240" w:lineRule="auto"/>
      <w:jc w:val="left"/>
    </w:pPr>
    <w:rPr>
      <w:rFonts w:ascii="宋体" w:hAnsi="宋体" w:eastAsia="宋体" w:cs="宋体"/>
      <w:kern w:val="0"/>
      <w:sz w:val="24"/>
      <w:szCs w:val="24"/>
    </w:rPr>
  </w:style>
  <w:style w:type="table" w:customStyle="1" w:styleId="246">
    <w:name w:val="网格型1"/>
    <w:basedOn w:val="43"/>
    <w:qFormat/>
    <w:uiPriority w:val="39"/>
    <w:rPr>
      <w:rFonts w:ascii="等线" w:hAnsi="等线" w:eastAsia="等线"/>
      <w:kern w:val="2"/>
      <w:sz w:val="22"/>
      <w:szCs w:val="24"/>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47">
    <w:name w:val="标题 7 字符1"/>
    <w:basedOn w:val="45"/>
    <w:semiHidden/>
    <w:qFormat/>
    <w:uiPriority w:val="0"/>
    <w:rPr>
      <w:rFonts w:ascii="Calibri" w:hAnsi="Calibri" w:eastAsia="仿宋"/>
      <w:b/>
      <w:bCs/>
      <w:kern w:val="2"/>
      <w:sz w:val="24"/>
      <w:szCs w:val="24"/>
    </w:rPr>
  </w:style>
  <w:style w:type="character" w:customStyle="1" w:styleId="248">
    <w:name w:val="标题 8 字符1"/>
    <w:basedOn w:val="45"/>
    <w:semiHidden/>
    <w:qFormat/>
    <w:uiPriority w:val="0"/>
    <w:rPr>
      <w:rFonts w:asciiTheme="majorHAnsi" w:hAnsiTheme="majorHAnsi" w:eastAsiaTheme="majorEastAsia" w:cstheme="majorBidi"/>
      <w:kern w:val="2"/>
      <w:sz w:val="24"/>
      <w:szCs w:val="24"/>
    </w:rPr>
  </w:style>
  <w:style w:type="character" w:customStyle="1" w:styleId="249">
    <w:name w:val="标题 9 字符1"/>
    <w:basedOn w:val="45"/>
    <w:semiHidden/>
    <w:qFormat/>
    <w:uiPriority w:val="0"/>
    <w:rPr>
      <w:rFonts w:asciiTheme="majorHAnsi" w:hAnsiTheme="majorHAnsi" w:eastAsiaTheme="majorEastAsia" w:cstheme="majorBidi"/>
      <w:kern w:val="2"/>
      <w:sz w:val="21"/>
      <w:szCs w:val="21"/>
    </w:rPr>
  </w:style>
  <w:style w:type="character" w:customStyle="1" w:styleId="250">
    <w:name w:val="标题 字符1"/>
    <w:basedOn w:val="45"/>
    <w:qFormat/>
    <w:uiPriority w:val="0"/>
    <w:rPr>
      <w:rFonts w:asciiTheme="majorHAnsi" w:hAnsiTheme="majorHAnsi" w:eastAsiaTheme="majorEastAsia" w:cstheme="majorBidi"/>
      <w:b/>
      <w:bCs/>
      <w:kern w:val="2"/>
      <w:sz w:val="32"/>
      <w:szCs w:val="32"/>
    </w:rPr>
  </w:style>
  <w:style w:type="character" w:customStyle="1" w:styleId="251">
    <w:name w:val="引用 字符1"/>
    <w:basedOn w:val="45"/>
    <w:semiHidden/>
    <w:qFormat/>
    <w:uiPriority w:val="99"/>
    <w:rPr>
      <w:rFonts w:ascii="Calibri" w:hAnsi="Calibri" w:eastAsia="仿宋"/>
      <w:i/>
      <w:iCs/>
      <w:color w:val="404040" w:themeColor="text1" w:themeTint="BF"/>
      <w:kern w:val="2"/>
      <w:sz w:val="28"/>
      <w14:textFill>
        <w14:solidFill>
          <w14:schemeClr w14:val="tx1">
            <w14:lumMod w14:val="75000"/>
            <w14:lumOff w14:val="25000"/>
          </w14:schemeClr>
        </w14:solidFill>
      </w14:textFill>
    </w:rPr>
  </w:style>
  <w:style w:type="character" w:customStyle="1" w:styleId="252">
    <w:name w:val="Intense Emphasis"/>
    <w:basedOn w:val="45"/>
    <w:qFormat/>
    <w:uiPriority w:val="21"/>
    <w:rPr>
      <w:i/>
      <w:iCs/>
      <w:color w:val="4F81BD" w:themeColor="accent1"/>
      <w14:textFill>
        <w14:solidFill>
          <w14:schemeClr w14:val="accent1"/>
        </w14:solidFill>
      </w14:textFill>
    </w:rPr>
  </w:style>
  <w:style w:type="character" w:customStyle="1" w:styleId="253">
    <w:name w:val="明显引用 字符1"/>
    <w:basedOn w:val="45"/>
    <w:semiHidden/>
    <w:qFormat/>
    <w:uiPriority w:val="99"/>
    <w:rPr>
      <w:rFonts w:ascii="Calibri" w:hAnsi="Calibri" w:eastAsia="仿宋"/>
      <w:i/>
      <w:iCs/>
      <w:color w:val="4F81BD" w:themeColor="accent1"/>
      <w:kern w:val="2"/>
      <w:sz w:val="28"/>
      <w14:textFill>
        <w14:solidFill>
          <w14:schemeClr w14:val="accent1"/>
        </w14:solidFill>
      </w14:textFill>
    </w:rPr>
  </w:style>
  <w:style w:type="character" w:customStyle="1" w:styleId="254">
    <w:name w:val="Intense Reference"/>
    <w:basedOn w:val="45"/>
    <w:qFormat/>
    <w:uiPriority w:val="32"/>
    <w:rPr>
      <w:b/>
      <w:bCs/>
      <w:smallCaps/>
      <w:color w:val="4F81BD" w:themeColor="accent1"/>
      <w:spacing w:val="5"/>
      <w14:textFill>
        <w14:solidFill>
          <w14:schemeClr w14:val="accent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8A03DC-5489-49AF-986D-48127FBCDA65}">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54</Pages>
  <Words>4954</Words>
  <Characters>5622</Characters>
  <Lines>188</Lines>
  <Paragraphs>53</Paragraphs>
  <TotalTime>5</TotalTime>
  <ScaleCrop>false</ScaleCrop>
  <LinksUpToDate>false</LinksUpToDate>
  <CharactersWithSpaces>5840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2019-06-21T08:19:00Z</dcterms:created>
  <dc:creator>WZ</dc:creator>
  <cp:lastModifiedBy>乄</cp:lastModifiedBy>
  <cp:lastPrinted>2021-12-02T08:28:00Z</cp:lastPrinted>
  <dcterms:modified xsi:type="dcterms:W3CDTF">2024-11-07T02:57:43Z</dcterms:modified>
  <dc:title>1ǰ�</dc:title>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AAC858DD2B3E44F1A353692170C126FE</vt:lpwstr>
  </property>
</Properties>
</file>