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BD9D76">
      <w:pPr>
        <w:adjustRightInd w:val="0"/>
        <w:snapToGrid w:val="0"/>
        <w:spacing w:line="360" w:lineRule="auto"/>
        <w:jc w:val="center"/>
        <w:rPr>
          <w:rFonts w:eastAsia="仿宋_GB2312"/>
          <w:b/>
          <w:sz w:val="30"/>
          <w:szCs w:val="30"/>
        </w:rPr>
      </w:pPr>
      <w:bookmarkStart w:id="0" w:name="_Toc189475665"/>
      <w:bookmarkStart w:id="1" w:name="_Toc296521832"/>
      <w:bookmarkStart w:id="2" w:name="_Toc42314217"/>
      <w:bookmarkStart w:id="3" w:name="_Toc42314235"/>
      <w:bookmarkStart w:id="4" w:name="_Toc22136313"/>
      <w:bookmarkStart w:id="80" w:name="_GoBack"/>
      <w:bookmarkEnd w:id="80"/>
      <w:r>
        <w:rPr>
          <w:rFonts w:eastAsia="仿宋_GB2312"/>
          <w:b/>
          <w:sz w:val="30"/>
          <w:szCs w:val="30"/>
        </w:rPr>
        <w:t>目录</w:t>
      </w:r>
    </w:p>
    <w:p w14:paraId="528E2AEC">
      <w:pPr>
        <w:pStyle w:val="28"/>
        <w:rPr>
          <w:rFonts w:ascii="Times New Roman" w:eastAsia="仿宋"/>
          <w:b w:val="0"/>
          <w:caps w:val="0"/>
          <w:sz w:val="28"/>
          <w:szCs w:val="28"/>
        </w:rPr>
      </w:pPr>
      <w:r>
        <w:rPr>
          <w:rFonts w:ascii="Times New Roman" w:eastAsia="仿宋"/>
          <w:sz w:val="28"/>
          <w:szCs w:val="28"/>
        </w:rPr>
        <w:fldChar w:fldCharType="begin"/>
      </w:r>
      <w:r>
        <w:rPr>
          <w:rFonts w:ascii="Times New Roman" w:eastAsia="仿宋"/>
          <w:sz w:val="28"/>
          <w:szCs w:val="28"/>
        </w:rPr>
        <w:instrText xml:space="preserve"> TOC \o "1-2" \h \z \u </w:instrText>
      </w:r>
      <w:r>
        <w:rPr>
          <w:rFonts w:ascii="Times New Roman" w:eastAsia="仿宋"/>
          <w:sz w:val="28"/>
          <w:szCs w:val="28"/>
        </w:rPr>
        <w:fldChar w:fldCharType="separate"/>
      </w:r>
      <w:r>
        <w:fldChar w:fldCharType="begin"/>
      </w:r>
      <w:r>
        <w:instrText xml:space="preserve"> HYPERLINK \l "_Toc165395056" </w:instrText>
      </w:r>
      <w:r>
        <w:fldChar w:fldCharType="separate"/>
      </w:r>
      <w:r>
        <w:rPr>
          <w:rStyle w:val="47"/>
          <w:rFonts w:ascii="Times New Roman" w:eastAsia="仿宋"/>
          <w:sz w:val="28"/>
          <w:szCs w:val="28"/>
        </w:rPr>
        <w:t>1总则</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_Toc165395056 \h </w:instrText>
      </w:r>
      <w:r>
        <w:rPr>
          <w:rFonts w:ascii="Times New Roman" w:eastAsia="仿宋"/>
          <w:sz w:val="28"/>
          <w:szCs w:val="28"/>
        </w:rPr>
        <w:fldChar w:fldCharType="separate"/>
      </w:r>
      <w:r>
        <w:rPr>
          <w:rFonts w:ascii="Times New Roman" w:eastAsia="仿宋"/>
          <w:sz w:val="28"/>
          <w:szCs w:val="28"/>
        </w:rPr>
        <w:t>1</w:t>
      </w:r>
      <w:r>
        <w:rPr>
          <w:rFonts w:ascii="Times New Roman" w:eastAsia="仿宋"/>
          <w:sz w:val="28"/>
          <w:szCs w:val="28"/>
        </w:rPr>
        <w:fldChar w:fldCharType="end"/>
      </w:r>
      <w:r>
        <w:rPr>
          <w:rFonts w:ascii="Times New Roman" w:eastAsia="仿宋"/>
          <w:sz w:val="28"/>
          <w:szCs w:val="28"/>
        </w:rPr>
        <w:fldChar w:fldCharType="end"/>
      </w:r>
    </w:p>
    <w:p w14:paraId="7F196AF2">
      <w:pPr>
        <w:pStyle w:val="34"/>
        <w:rPr>
          <w:rFonts w:ascii="Times New Roman" w:eastAsia="仿宋"/>
          <w:smallCaps w:val="0"/>
          <w:sz w:val="28"/>
          <w:szCs w:val="28"/>
        </w:rPr>
      </w:pPr>
      <w:r>
        <w:fldChar w:fldCharType="begin"/>
      </w:r>
      <w:r>
        <w:instrText xml:space="preserve"> HYPERLINK \l "_Toc165395057" </w:instrText>
      </w:r>
      <w:r>
        <w:fldChar w:fldCharType="separate"/>
      </w:r>
      <w:r>
        <w:rPr>
          <w:rStyle w:val="47"/>
          <w:rFonts w:ascii="Times New Roman" w:eastAsia="仿宋"/>
          <w:bCs/>
          <w:sz w:val="28"/>
          <w:szCs w:val="28"/>
        </w:rPr>
        <w:t>1.1编制目的</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_Toc165395057 \h </w:instrText>
      </w:r>
      <w:r>
        <w:rPr>
          <w:rFonts w:ascii="Times New Roman" w:eastAsia="仿宋"/>
          <w:sz w:val="28"/>
          <w:szCs w:val="28"/>
        </w:rPr>
        <w:fldChar w:fldCharType="separate"/>
      </w:r>
      <w:r>
        <w:rPr>
          <w:rFonts w:ascii="Times New Roman" w:eastAsia="仿宋"/>
          <w:sz w:val="28"/>
          <w:szCs w:val="28"/>
        </w:rPr>
        <w:t>1</w:t>
      </w:r>
      <w:r>
        <w:rPr>
          <w:rFonts w:ascii="Times New Roman" w:eastAsia="仿宋"/>
          <w:sz w:val="28"/>
          <w:szCs w:val="28"/>
        </w:rPr>
        <w:fldChar w:fldCharType="end"/>
      </w:r>
      <w:r>
        <w:rPr>
          <w:rFonts w:ascii="Times New Roman" w:eastAsia="仿宋"/>
          <w:sz w:val="28"/>
          <w:szCs w:val="28"/>
        </w:rPr>
        <w:fldChar w:fldCharType="end"/>
      </w:r>
    </w:p>
    <w:p w14:paraId="6F303473">
      <w:pPr>
        <w:pStyle w:val="34"/>
        <w:rPr>
          <w:rFonts w:ascii="Times New Roman" w:eastAsia="仿宋"/>
          <w:smallCaps w:val="0"/>
          <w:sz w:val="28"/>
          <w:szCs w:val="28"/>
        </w:rPr>
      </w:pPr>
      <w:r>
        <w:fldChar w:fldCharType="begin"/>
      </w:r>
      <w:r>
        <w:instrText xml:space="preserve"> HYPERLINK \l "_Toc165395058" </w:instrText>
      </w:r>
      <w:r>
        <w:fldChar w:fldCharType="separate"/>
      </w:r>
      <w:r>
        <w:rPr>
          <w:rStyle w:val="47"/>
          <w:rFonts w:ascii="Times New Roman" w:eastAsia="仿宋"/>
          <w:bCs/>
          <w:sz w:val="28"/>
          <w:szCs w:val="28"/>
        </w:rPr>
        <w:t>1.2编制依据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_Toc165395058 \h </w:instrText>
      </w:r>
      <w:r>
        <w:rPr>
          <w:rFonts w:ascii="Times New Roman" w:eastAsia="仿宋"/>
          <w:sz w:val="28"/>
          <w:szCs w:val="28"/>
        </w:rPr>
        <w:fldChar w:fldCharType="separate"/>
      </w:r>
      <w:r>
        <w:rPr>
          <w:rFonts w:ascii="Times New Roman" w:eastAsia="仿宋"/>
          <w:sz w:val="28"/>
          <w:szCs w:val="28"/>
        </w:rPr>
        <w:t>1</w:t>
      </w:r>
      <w:r>
        <w:rPr>
          <w:rFonts w:ascii="Times New Roman" w:eastAsia="仿宋"/>
          <w:sz w:val="28"/>
          <w:szCs w:val="28"/>
        </w:rPr>
        <w:fldChar w:fldCharType="end"/>
      </w:r>
      <w:r>
        <w:rPr>
          <w:rFonts w:ascii="Times New Roman" w:eastAsia="仿宋"/>
          <w:sz w:val="28"/>
          <w:szCs w:val="28"/>
        </w:rPr>
        <w:fldChar w:fldCharType="end"/>
      </w:r>
    </w:p>
    <w:p w14:paraId="0A2336F9">
      <w:pPr>
        <w:pStyle w:val="34"/>
        <w:rPr>
          <w:rFonts w:ascii="Times New Roman" w:eastAsia="仿宋"/>
          <w:smallCaps w:val="0"/>
          <w:sz w:val="28"/>
          <w:szCs w:val="28"/>
        </w:rPr>
      </w:pPr>
      <w:r>
        <w:fldChar w:fldCharType="begin"/>
      </w:r>
      <w:r>
        <w:instrText xml:space="preserve"> HYPERLINK \l "_Toc165395059" </w:instrText>
      </w:r>
      <w:r>
        <w:fldChar w:fldCharType="separate"/>
      </w:r>
      <w:r>
        <w:rPr>
          <w:rStyle w:val="47"/>
          <w:rFonts w:ascii="Times New Roman" w:eastAsia="仿宋"/>
          <w:bCs/>
          <w:sz w:val="28"/>
          <w:szCs w:val="28"/>
        </w:rPr>
        <w:t>1.3适用范围</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_Toc165395059 \h </w:instrText>
      </w:r>
      <w:r>
        <w:rPr>
          <w:rFonts w:ascii="Times New Roman" w:eastAsia="仿宋"/>
          <w:sz w:val="28"/>
          <w:szCs w:val="28"/>
        </w:rPr>
        <w:fldChar w:fldCharType="separate"/>
      </w:r>
      <w:r>
        <w:rPr>
          <w:rFonts w:ascii="Times New Roman" w:eastAsia="仿宋"/>
          <w:sz w:val="28"/>
          <w:szCs w:val="28"/>
        </w:rPr>
        <w:t>3</w:t>
      </w:r>
      <w:r>
        <w:rPr>
          <w:rFonts w:ascii="Times New Roman" w:eastAsia="仿宋"/>
          <w:sz w:val="28"/>
          <w:szCs w:val="28"/>
        </w:rPr>
        <w:fldChar w:fldCharType="end"/>
      </w:r>
      <w:r>
        <w:rPr>
          <w:rFonts w:ascii="Times New Roman" w:eastAsia="仿宋"/>
          <w:sz w:val="28"/>
          <w:szCs w:val="28"/>
        </w:rPr>
        <w:fldChar w:fldCharType="end"/>
      </w:r>
    </w:p>
    <w:p w14:paraId="460F0D02">
      <w:pPr>
        <w:pStyle w:val="34"/>
        <w:rPr>
          <w:rFonts w:ascii="Times New Roman" w:eastAsia="仿宋"/>
          <w:smallCaps w:val="0"/>
          <w:sz w:val="28"/>
          <w:szCs w:val="28"/>
        </w:rPr>
      </w:pPr>
      <w:r>
        <w:fldChar w:fldCharType="begin"/>
      </w:r>
      <w:r>
        <w:instrText xml:space="preserve"> HYPERLINK \l "_Toc165395060" </w:instrText>
      </w:r>
      <w:r>
        <w:fldChar w:fldCharType="separate"/>
      </w:r>
      <w:r>
        <w:rPr>
          <w:rStyle w:val="47"/>
          <w:rFonts w:ascii="Times New Roman" w:eastAsia="仿宋"/>
          <w:bCs/>
          <w:sz w:val="28"/>
          <w:szCs w:val="28"/>
        </w:rPr>
        <w:t>1.4工作原则</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_Toc165395060 \h </w:instrText>
      </w:r>
      <w:r>
        <w:rPr>
          <w:rFonts w:ascii="Times New Roman" w:eastAsia="仿宋"/>
          <w:sz w:val="28"/>
          <w:szCs w:val="28"/>
        </w:rPr>
        <w:fldChar w:fldCharType="separate"/>
      </w:r>
      <w:r>
        <w:rPr>
          <w:rFonts w:ascii="Times New Roman" w:eastAsia="仿宋"/>
          <w:sz w:val="28"/>
          <w:szCs w:val="28"/>
        </w:rPr>
        <w:t>4</w:t>
      </w:r>
      <w:r>
        <w:rPr>
          <w:rFonts w:ascii="Times New Roman" w:eastAsia="仿宋"/>
          <w:sz w:val="28"/>
          <w:szCs w:val="28"/>
        </w:rPr>
        <w:fldChar w:fldCharType="end"/>
      </w:r>
      <w:r>
        <w:rPr>
          <w:rFonts w:ascii="Times New Roman" w:eastAsia="仿宋"/>
          <w:sz w:val="28"/>
          <w:szCs w:val="28"/>
        </w:rPr>
        <w:fldChar w:fldCharType="end"/>
      </w:r>
    </w:p>
    <w:p w14:paraId="45808B57">
      <w:pPr>
        <w:pStyle w:val="34"/>
        <w:rPr>
          <w:rFonts w:ascii="Times New Roman" w:eastAsia="仿宋"/>
          <w:smallCaps w:val="0"/>
          <w:sz w:val="28"/>
          <w:szCs w:val="28"/>
        </w:rPr>
      </w:pPr>
      <w:r>
        <w:fldChar w:fldCharType="begin"/>
      </w:r>
      <w:r>
        <w:instrText xml:space="preserve"> HYPERLINK \l "_Toc165395061" </w:instrText>
      </w:r>
      <w:r>
        <w:fldChar w:fldCharType="separate"/>
      </w:r>
      <w:r>
        <w:rPr>
          <w:rStyle w:val="47"/>
          <w:rFonts w:ascii="Times New Roman" w:eastAsia="仿宋"/>
          <w:bCs/>
          <w:sz w:val="28"/>
          <w:szCs w:val="28"/>
        </w:rPr>
        <w:t>1.5预案衔接</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_Toc165395061 \h </w:instrText>
      </w:r>
      <w:r>
        <w:rPr>
          <w:rFonts w:ascii="Times New Roman" w:eastAsia="仿宋"/>
          <w:sz w:val="28"/>
          <w:szCs w:val="28"/>
        </w:rPr>
        <w:fldChar w:fldCharType="separate"/>
      </w:r>
      <w:r>
        <w:rPr>
          <w:rFonts w:ascii="Times New Roman" w:eastAsia="仿宋"/>
          <w:sz w:val="28"/>
          <w:szCs w:val="28"/>
        </w:rPr>
        <w:t>4</w:t>
      </w:r>
      <w:r>
        <w:rPr>
          <w:rFonts w:ascii="Times New Roman" w:eastAsia="仿宋"/>
          <w:sz w:val="28"/>
          <w:szCs w:val="28"/>
        </w:rPr>
        <w:fldChar w:fldCharType="end"/>
      </w:r>
      <w:r>
        <w:rPr>
          <w:rFonts w:ascii="Times New Roman" w:eastAsia="仿宋"/>
          <w:sz w:val="28"/>
          <w:szCs w:val="28"/>
        </w:rPr>
        <w:fldChar w:fldCharType="end"/>
      </w:r>
    </w:p>
    <w:p w14:paraId="59699E08">
      <w:pPr>
        <w:pStyle w:val="28"/>
        <w:rPr>
          <w:rFonts w:ascii="Times New Roman" w:eastAsia="仿宋"/>
          <w:b w:val="0"/>
          <w:caps w:val="0"/>
          <w:sz w:val="28"/>
          <w:szCs w:val="28"/>
        </w:rPr>
      </w:pPr>
      <w:r>
        <w:fldChar w:fldCharType="begin"/>
      </w:r>
      <w:r>
        <w:instrText xml:space="preserve"> HYPERLINK \l "_Toc165395062" </w:instrText>
      </w:r>
      <w:r>
        <w:fldChar w:fldCharType="separate"/>
      </w:r>
      <w:r>
        <w:rPr>
          <w:rStyle w:val="47"/>
          <w:rFonts w:ascii="Times New Roman" w:eastAsia="仿宋"/>
          <w:sz w:val="28"/>
          <w:szCs w:val="28"/>
        </w:rPr>
        <w:t>2基本情况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_Toc165395062 \h </w:instrText>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r>
        <w:rPr>
          <w:rFonts w:ascii="Times New Roman" w:eastAsia="仿宋"/>
          <w:sz w:val="28"/>
          <w:szCs w:val="28"/>
        </w:rPr>
        <w:fldChar w:fldCharType="end"/>
      </w:r>
    </w:p>
    <w:p w14:paraId="329EAFA7">
      <w:pPr>
        <w:pStyle w:val="34"/>
        <w:rPr>
          <w:rFonts w:ascii="Times New Roman" w:eastAsia="仿宋"/>
          <w:smallCaps w:val="0"/>
          <w:sz w:val="28"/>
          <w:szCs w:val="28"/>
        </w:rPr>
      </w:pPr>
      <w:r>
        <w:fldChar w:fldCharType="begin"/>
      </w:r>
      <w:r>
        <w:instrText xml:space="preserve"> HYPERLINK \l "_Toc165395063" </w:instrText>
      </w:r>
      <w:r>
        <w:fldChar w:fldCharType="separate"/>
      </w:r>
      <w:r>
        <w:rPr>
          <w:rStyle w:val="47"/>
          <w:rFonts w:ascii="Times New Roman" w:eastAsia="仿宋"/>
          <w:bCs/>
          <w:sz w:val="28"/>
          <w:szCs w:val="28"/>
        </w:rPr>
        <w:t>2.1单位基本情况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_Toc165395063 \h </w:instrText>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r>
        <w:rPr>
          <w:rFonts w:ascii="Times New Roman" w:eastAsia="仿宋"/>
          <w:sz w:val="28"/>
          <w:szCs w:val="28"/>
        </w:rPr>
        <w:fldChar w:fldCharType="end"/>
      </w:r>
    </w:p>
    <w:p w14:paraId="64D087CB">
      <w:pPr>
        <w:pStyle w:val="34"/>
        <w:rPr>
          <w:rFonts w:ascii="Times New Roman" w:eastAsia="仿宋"/>
          <w:smallCaps w:val="0"/>
          <w:sz w:val="28"/>
          <w:szCs w:val="28"/>
        </w:rPr>
      </w:pPr>
      <w:r>
        <w:fldChar w:fldCharType="begin"/>
      </w:r>
      <w:r>
        <w:instrText xml:space="preserve"> HYPERLINK \l "_Toc165395064" </w:instrText>
      </w:r>
      <w:r>
        <w:fldChar w:fldCharType="separate"/>
      </w:r>
      <w:r>
        <w:rPr>
          <w:rStyle w:val="47"/>
          <w:rFonts w:ascii="Times New Roman" w:eastAsia="仿宋"/>
          <w:bCs/>
          <w:sz w:val="28"/>
          <w:szCs w:val="28"/>
        </w:rPr>
        <w:t>2.2风险物质和危险废物基本情况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_Toc165395064 \h </w:instrText>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r>
        <w:rPr>
          <w:rFonts w:ascii="Times New Roman" w:eastAsia="仿宋"/>
          <w:sz w:val="28"/>
          <w:szCs w:val="28"/>
        </w:rPr>
        <w:fldChar w:fldCharType="end"/>
      </w:r>
    </w:p>
    <w:p w14:paraId="32E1726A">
      <w:pPr>
        <w:pStyle w:val="34"/>
        <w:rPr>
          <w:rFonts w:ascii="Times New Roman" w:eastAsia="仿宋"/>
          <w:smallCaps w:val="0"/>
          <w:sz w:val="28"/>
          <w:szCs w:val="28"/>
        </w:rPr>
      </w:pPr>
      <w:r>
        <w:fldChar w:fldCharType="begin"/>
      </w:r>
      <w:r>
        <w:instrText xml:space="preserve"> HYPERLINK \l "_Toc165395065" </w:instrText>
      </w:r>
      <w:r>
        <w:fldChar w:fldCharType="separate"/>
      </w:r>
      <w:r>
        <w:rPr>
          <w:rStyle w:val="47"/>
          <w:rFonts w:ascii="Times New Roman" w:eastAsia="仿宋"/>
          <w:bCs/>
          <w:sz w:val="28"/>
          <w:szCs w:val="28"/>
        </w:rPr>
        <w:t>2.3周边环境状况及环境保护目标情况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_Toc165395065 \h </w:instrText>
      </w:r>
      <w:r>
        <w:rPr>
          <w:rFonts w:ascii="Times New Roman" w:eastAsia="仿宋"/>
          <w:sz w:val="28"/>
          <w:szCs w:val="28"/>
        </w:rPr>
        <w:fldChar w:fldCharType="separate"/>
      </w:r>
      <w:r>
        <w:rPr>
          <w:rFonts w:ascii="Times New Roman" w:eastAsia="仿宋"/>
          <w:sz w:val="28"/>
          <w:szCs w:val="28"/>
        </w:rPr>
        <w:t>9</w:t>
      </w:r>
      <w:r>
        <w:rPr>
          <w:rFonts w:ascii="Times New Roman" w:eastAsia="仿宋"/>
          <w:sz w:val="28"/>
          <w:szCs w:val="28"/>
        </w:rPr>
        <w:fldChar w:fldCharType="end"/>
      </w:r>
      <w:r>
        <w:rPr>
          <w:rFonts w:ascii="Times New Roman" w:eastAsia="仿宋"/>
          <w:sz w:val="28"/>
          <w:szCs w:val="28"/>
        </w:rPr>
        <w:fldChar w:fldCharType="end"/>
      </w:r>
    </w:p>
    <w:p w14:paraId="09AE638F">
      <w:pPr>
        <w:pStyle w:val="28"/>
        <w:rPr>
          <w:rFonts w:ascii="Times New Roman" w:eastAsia="仿宋"/>
          <w:b w:val="0"/>
          <w:caps w:val="0"/>
          <w:sz w:val="28"/>
          <w:szCs w:val="28"/>
        </w:rPr>
      </w:pPr>
      <w:r>
        <w:fldChar w:fldCharType="begin"/>
      </w:r>
      <w:r>
        <w:instrText xml:space="preserve"> HYPERLINK \l "_Toc165395066" </w:instrText>
      </w:r>
      <w:r>
        <w:fldChar w:fldCharType="separate"/>
      </w:r>
      <w:r>
        <w:rPr>
          <w:rStyle w:val="47"/>
          <w:rFonts w:ascii="Times New Roman" w:eastAsia="仿宋"/>
          <w:sz w:val="28"/>
          <w:szCs w:val="28"/>
        </w:rPr>
        <w:t>3环境风险源辨识与风险评估</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_Toc165395066 \h </w:instrText>
      </w:r>
      <w:r>
        <w:rPr>
          <w:rFonts w:ascii="Times New Roman" w:eastAsia="仿宋"/>
          <w:sz w:val="28"/>
          <w:szCs w:val="28"/>
        </w:rPr>
        <w:fldChar w:fldCharType="separate"/>
      </w:r>
      <w:r>
        <w:rPr>
          <w:rFonts w:ascii="Times New Roman" w:eastAsia="仿宋"/>
          <w:sz w:val="28"/>
          <w:szCs w:val="28"/>
        </w:rPr>
        <w:t>20</w:t>
      </w:r>
      <w:r>
        <w:rPr>
          <w:rFonts w:ascii="Times New Roman" w:eastAsia="仿宋"/>
          <w:sz w:val="28"/>
          <w:szCs w:val="28"/>
        </w:rPr>
        <w:fldChar w:fldCharType="end"/>
      </w:r>
      <w:r>
        <w:rPr>
          <w:rFonts w:ascii="Times New Roman" w:eastAsia="仿宋"/>
          <w:sz w:val="28"/>
          <w:szCs w:val="28"/>
        </w:rPr>
        <w:fldChar w:fldCharType="end"/>
      </w:r>
    </w:p>
    <w:p w14:paraId="06701821">
      <w:pPr>
        <w:pStyle w:val="28"/>
        <w:rPr>
          <w:rFonts w:ascii="Times New Roman" w:eastAsia="仿宋"/>
          <w:b w:val="0"/>
          <w:caps w:val="0"/>
          <w:sz w:val="28"/>
          <w:szCs w:val="28"/>
        </w:rPr>
      </w:pPr>
      <w:r>
        <w:fldChar w:fldCharType="begin"/>
      </w:r>
      <w:r>
        <w:instrText xml:space="preserve"> HYPERLINK \l "_Toc165395067" </w:instrText>
      </w:r>
      <w:r>
        <w:fldChar w:fldCharType="separate"/>
      </w:r>
      <w:r>
        <w:rPr>
          <w:rStyle w:val="47"/>
          <w:rFonts w:ascii="Times New Roman" w:eastAsia="仿宋"/>
          <w:sz w:val="28"/>
          <w:szCs w:val="28"/>
        </w:rPr>
        <w:t>4组织机构及职责</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_Toc165395067 \h </w:instrText>
      </w:r>
      <w:r>
        <w:rPr>
          <w:rFonts w:ascii="Times New Roman" w:eastAsia="仿宋"/>
          <w:sz w:val="28"/>
          <w:szCs w:val="28"/>
        </w:rPr>
        <w:fldChar w:fldCharType="separate"/>
      </w:r>
      <w:r>
        <w:rPr>
          <w:rFonts w:ascii="Times New Roman" w:eastAsia="仿宋"/>
          <w:sz w:val="28"/>
          <w:szCs w:val="28"/>
        </w:rPr>
        <w:t>21</w:t>
      </w:r>
      <w:r>
        <w:rPr>
          <w:rFonts w:ascii="Times New Roman" w:eastAsia="仿宋"/>
          <w:sz w:val="28"/>
          <w:szCs w:val="28"/>
        </w:rPr>
        <w:fldChar w:fldCharType="end"/>
      </w:r>
      <w:r>
        <w:rPr>
          <w:rFonts w:ascii="Times New Roman" w:eastAsia="仿宋"/>
          <w:sz w:val="28"/>
          <w:szCs w:val="28"/>
        </w:rPr>
        <w:fldChar w:fldCharType="end"/>
      </w:r>
    </w:p>
    <w:p w14:paraId="0DC298CC">
      <w:pPr>
        <w:pStyle w:val="34"/>
        <w:rPr>
          <w:rFonts w:ascii="Times New Roman" w:eastAsia="仿宋"/>
          <w:smallCaps w:val="0"/>
          <w:sz w:val="28"/>
          <w:szCs w:val="28"/>
        </w:rPr>
      </w:pPr>
      <w:r>
        <w:fldChar w:fldCharType="begin"/>
      </w:r>
      <w:r>
        <w:instrText xml:space="preserve"> HYPERLINK \l "_Toc165395068" </w:instrText>
      </w:r>
      <w:r>
        <w:fldChar w:fldCharType="separate"/>
      </w:r>
      <w:r>
        <w:rPr>
          <w:rStyle w:val="47"/>
          <w:rFonts w:ascii="Times New Roman" w:eastAsia="仿宋"/>
          <w:bCs/>
          <w:sz w:val="28"/>
          <w:szCs w:val="28"/>
        </w:rPr>
        <w:t>4.1指挥机构组成</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_Toc165395068 \h </w:instrText>
      </w:r>
      <w:r>
        <w:rPr>
          <w:rFonts w:ascii="Times New Roman" w:eastAsia="仿宋"/>
          <w:sz w:val="28"/>
          <w:szCs w:val="28"/>
        </w:rPr>
        <w:fldChar w:fldCharType="separate"/>
      </w:r>
      <w:r>
        <w:rPr>
          <w:rFonts w:ascii="Times New Roman" w:eastAsia="仿宋"/>
          <w:sz w:val="28"/>
          <w:szCs w:val="28"/>
        </w:rPr>
        <w:t>21</w:t>
      </w:r>
      <w:r>
        <w:rPr>
          <w:rFonts w:ascii="Times New Roman" w:eastAsia="仿宋"/>
          <w:sz w:val="28"/>
          <w:szCs w:val="28"/>
        </w:rPr>
        <w:fldChar w:fldCharType="end"/>
      </w:r>
      <w:r>
        <w:rPr>
          <w:rFonts w:ascii="Times New Roman" w:eastAsia="仿宋"/>
          <w:sz w:val="28"/>
          <w:szCs w:val="28"/>
        </w:rPr>
        <w:fldChar w:fldCharType="end"/>
      </w:r>
    </w:p>
    <w:p w14:paraId="7C1F36D7">
      <w:pPr>
        <w:pStyle w:val="34"/>
        <w:rPr>
          <w:rFonts w:ascii="Times New Roman" w:eastAsia="仿宋"/>
          <w:smallCaps w:val="0"/>
          <w:sz w:val="28"/>
          <w:szCs w:val="28"/>
        </w:rPr>
      </w:pPr>
      <w:r>
        <w:fldChar w:fldCharType="begin"/>
      </w:r>
      <w:r>
        <w:instrText xml:space="preserve"> HYPERLINK \l "_Toc165395069" </w:instrText>
      </w:r>
      <w:r>
        <w:fldChar w:fldCharType="separate"/>
      </w:r>
      <w:r>
        <w:rPr>
          <w:rStyle w:val="47"/>
          <w:rFonts w:ascii="Times New Roman" w:eastAsia="仿宋"/>
          <w:bCs/>
          <w:sz w:val="28"/>
          <w:szCs w:val="28"/>
        </w:rPr>
        <w:t>4.2指挥机构的主要职责</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_Toc165395069 \h </w:instrText>
      </w:r>
      <w:r>
        <w:rPr>
          <w:rFonts w:ascii="Times New Roman" w:eastAsia="仿宋"/>
          <w:sz w:val="28"/>
          <w:szCs w:val="28"/>
        </w:rPr>
        <w:fldChar w:fldCharType="separate"/>
      </w:r>
      <w:r>
        <w:rPr>
          <w:rFonts w:ascii="Times New Roman" w:eastAsia="仿宋"/>
          <w:sz w:val="28"/>
          <w:szCs w:val="28"/>
        </w:rPr>
        <w:t>21</w:t>
      </w:r>
      <w:r>
        <w:rPr>
          <w:rFonts w:ascii="Times New Roman" w:eastAsia="仿宋"/>
          <w:sz w:val="28"/>
          <w:szCs w:val="28"/>
        </w:rPr>
        <w:fldChar w:fldCharType="end"/>
      </w:r>
      <w:r>
        <w:rPr>
          <w:rFonts w:ascii="Times New Roman" w:eastAsia="仿宋"/>
          <w:sz w:val="28"/>
          <w:szCs w:val="28"/>
        </w:rPr>
        <w:fldChar w:fldCharType="end"/>
      </w:r>
    </w:p>
    <w:p w14:paraId="115D6392">
      <w:pPr>
        <w:pStyle w:val="28"/>
        <w:rPr>
          <w:rFonts w:ascii="Times New Roman" w:eastAsia="仿宋"/>
          <w:b w:val="0"/>
          <w:caps w:val="0"/>
          <w:sz w:val="28"/>
          <w:szCs w:val="28"/>
        </w:rPr>
      </w:pPr>
      <w:r>
        <w:fldChar w:fldCharType="begin"/>
      </w:r>
      <w:r>
        <w:instrText xml:space="preserve"> HYPERLINK \l "_Toc165395070" </w:instrText>
      </w:r>
      <w:r>
        <w:fldChar w:fldCharType="separate"/>
      </w:r>
      <w:r>
        <w:rPr>
          <w:rStyle w:val="47"/>
          <w:rFonts w:ascii="Times New Roman" w:eastAsia="仿宋"/>
          <w:sz w:val="28"/>
          <w:szCs w:val="28"/>
        </w:rPr>
        <w:t>5应急能力建设</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_Toc165395070 \h </w:instrText>
      </w:r>
      <w:r>
        <w:rPr>
          <w:rFonts w:ascii="Times New Roman" w:eastAsia="仿宋"/>
          <w:sz w:val="28"/>
          <w:szCs w:val="28"/>
        </w:rPr>
        <w:fldChar w:fldCharType="separate"/>
      </w:r>
      <w:r>
        <w:rPr>
          <w:rFonts w:ascii="Times New Roman" w:eastAsia="仿宋"/>
          <w:sz w:val="28"/>
          <w:szCs w:val="28"/>
        </w:rPr>
        <w:t>23</w:t>
      </w:r>
      <w:r>
        <w:rPr>
          <w:rFonts w:ascii="Times New Roman" w:eastAsia="仿宋"/>
          <w:sz w:val="28"/>
          <w:szCs w:val="28"/>
        </w:rPr>
        <w:fldChar w:fldCharType="end"/>
      </w:r>
      <w:r>
        <w:rPr>
          <w:rFonts w:ascii="Times New Roman" w:eastAsia="仿宋"/>
          <w:sz w:val="28"/>
          <w:szCs w:val="28"/>
        </w:rPr>
        <w:fldChar w:fldCharType="end"/>
      </w:r>
    </w:p>
    <w:p w14:paraId="589EEDA2">
      <w:pPr>
        <w:pStyle w:val="34"/>
        <w:rPr>
          <w:rFonts w:ascii="Times New Roman" w:eastAsia="仿宋"/>
          <w:smallCaps w:val="0"/>
          <w:sz w:val="28"/>
          <w:szCs w:val="28"/>
        </w:rPr>
      </w:pPr>
      <w:r>
        <w:fldChar w:fldCharType="begin"/>
      </w:r>
      <w:r>
        <w:instrText xml:space="preserve"> HYPERLINK \l "_Toc165395071" </w:instrText>
      </w:r>
      <w:r>
        <w:fldChar w:fldCharType="separate"/>
      </w:r>
      <w:r>
        <w:rPr>
          <w:rStyle w:val="47"/>
          <w:rFonts w:ascii="Times New Roman" w:eastAsia="仿宋"/>
          <w:bCs/>
          <w:sz w:val="28"/>
          <w:szCs w:val="28"/>
        </w:rPr>
        <w:t>5.1应急处置队伍</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_Toc165395071 \h </w:instrText>
      </w:r>
      <w:r>
        <w:rPr>
          <w:rFonts w:ascii="Times New Roman" w:eastAsia="仿宋"/>
          <w:sz w:val="28"/>
          <w:szCs w:val="28"/>
        </w:rPr>
        <w:fldChar w:fldCharType="separate"/>
      </w:r>
      <w:r>
        <w:rPr>
          <w:rFonts w:ascii="Times New Roman" w:eastAsia="仿宋"/>
          <w:sz w:val="28"/>
          <w:szCs w:val="28"/>
        </w:rPr>
        <w:t>23</w:t>
      </w:r>
      <w:r>
        <w:rPr>
          <w:rFonts w:ascii="Times New Roman" w:eastAsia="仿宋"/>
          <w:sz w:val="28"/>
          <w:szCs w:val="28"/>
        </w:rPr>
        <w:fldChar w:fldCharType="end"/>
      </w:r>
      <w:r>
        <w:rPr>
          <w:rFonts w:ascii="Times New Roman" w:eastAsia="仿宋"/>
          <w:sz w:val="28"/>
          <w:szCs w:val="28"/>
        </w:rPr>
        <w:fldChar w:fldCharType="end"/>
      </w:r>
    </w:p>
    <w:p w14:paraId="1FC1459D">
      <w:pPr>
        <w:pStyle w:val="34"/>
        <w:rPr>
          <w:rFonts w:ascii="Times New Roman" w:eastAsia="仿宋"/>
          <w:smallCaps w:val="0"/>
          <w:sz w:val="28"/>
          <w:szCs w:val="28"/>
        </w:rPr>
      </w:pPr>
      <w:r>
        <w:fldChar w:fldCharType="begin"/>
      </w:r>
      <w:r>
        <w:instrText xml:space="preserve"> HYPERLINK \l "_Toc165395072" </w:instrText>
      </w:r>
      <w:r>
        <w:fldChar w:fldCharType="separate"/>
      </w:r>
      <w:r>
        <w:rPr>
          <w:rStyle w:val="47"/>
          <w:rFonts w:ascii="Times New Roman" w:eastAsia="仿宋"/>
          <w:bCs/>
          <w:sz w:val="28"/>
          <w:szCs w:val="28"/>
        </w:rPr>
        <w:t>5.2应急设施和物资</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_Toc165395072 \h </w:instrText>
      </w:r>
      <w:r>
        <w:rPr>
          <w:rFonts w:ascii="Times New Roman" w:eastAsia="仿宋"/>
          <w:sz w:val="28"/>
          <w:szCs w:val="28"/>
        </w:rPr>
        <w:fldChar w:fldCharType="separate"/>
      </w:r>
      <w:r>
        <w:rPr>
          <w:rFonts w:ascii="Times New Roman" w:eastAsia="仿宋"/>
          <w:sz w:val="28"/>
          <w:szCs w:val="28"/>
        </w:rPr>
        <w:t>25</w:t>
      </w:r>
      <w:r>
        <w:rPr>
          <w:rFonts w:ascii="Times New Roman" w:eastAsia="仿宋"/>
          <w:sz w:val="28"/>
          <w:szCs w:val="28"/>
        </w:rPr>
        <w:fldChar w:fldCharType="end"/>
      </w:r>
      <w:r>
        <w:rPr>
          <w:rFonts w:ascii="Times New Roman" w:eastAsia="仿宋"/>
          <w:sz w:val="28"/>
          <w:szCs w:val="28"/>
        </w:rPr>
        <w:fldChar w:fldCharType="end"/>
      </w:r>
    </w:p>
    <w:p w14:paraId="5ECEA22C">
      <w:pPr>
        <w:pStyle w:val="28"/>
        <w:rPr>
          <w:rFonts w:ascii="Times New Roman" w:eastAsia="仿宋"/>
          <w:b w:val="0"/>
          <w:caps w:val="0"/>
          <w:sz w:val="28"/>
          <w:szCs w:val="28"/>
        </w:rPr>
      </w:pPr>
      <w:r>
        <w:fldChar w:fldCharType="begin"/>
      </w:r>
      <w:r>
        <w:instrText xml:space="preserve"> HYPERLINK \l "_Toc165395073" </w:instrText>
      </w:r>
      <w:r>
        <w:fldChar w:fldCharType="separate"/>
      </w:r>
      <w:r>
        <w:rPr>
          <w:rStyle w:val="47"/>
          <w:rFonts w:ascii="Times New Roman" w:eastAsia="仿宋"/>
          <w:sz w:val="28"/>
          <w:szCs w:val="28"/>
        </w:rPr>
        <w:t>6预警及应急处置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_Toc165395073 \h </w:instrText>
      </w:r>
      <w:r>
        <w:rPr>
          <w:rFonts w:ascii="Times New Roman" w:eastAsia="仿宋"/>
          <w:sz w:val="28"/>
          <w:szCs w:val="28"/>
        </w:rPr>
        <w:fldChar w:fldCharType="separate"/>
      </w:r>
      <w:r>
        <w:rPr>
          <w:rFonts w:ascii="Times New Roman" w:eastAsia="仿宋"/>
          <w:sz w:val="28"/>
          <w:szCs w:val="28"/>
        </w:rPr>
        <w:t>27</w:t>
      </w:r>
      <w:r>
        <w:rPr>
          <w:rFonts w:ascii="Times New Roman" w:eastAsia="仿宋"/>
          <w:sz w:val="28"/>
          <w:szCs w:val="28"/>
        </w:rPr>
        <w:fldChar w:fldCharType="end"/>
      </w:r>
      <w:r>
        <w:rPr>
          <w:rFonts w:ascii="Times New Roman" w:eastAsia="仿宋"/>
          <w:sz w:val="28"/>
          <w:szCs w:val="28"/>
        </w:rPr>
        <w:fldChar w:fldCharType="end"/>
      </w:r>
    </w:p>
    <w:p w14:paraId="175FFA8E">
      <w:pPr>
        <w:pStyle w:val="34"/>
        <w:rPr>
          <w:rFonts w:ascii="Times New Roman" w:eastAsia="仿宋"/>
          <w:smallCaps w:val="0"/>
          <w:sz w:val="28"/>
          <w:szCs w:val="28"/>
        </w:rPr>
      </w:pPr>
      <w:r>
        <w:fldChar w:fldCharType="begin"/>
      </w:r>
      <w:r>
        <w:instrText xml:space="preserve"> HYPERLINK \l "_Toc165395074" </w:instrText>
      </w:r>
      <w:r>
        <w:fldChar w:fldCharType="separate"/>
      </w:r>
      <w:r>
        <w:rPr>
          <w:rStyle w:val="47"/>
          <w:rFonts w:ascii="Times New Roman" w:eastAsia="仿宋"/>
          <w:bCs/>
          <w:sz w:val="28"/>
          <w:szCs w:val="28"/>
        </w:rPr>
        <w:t>6.1预警监控</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_Toc165395074 \h </w:instrText>
      </w:r>
      <w:r>
        <w:rPr>
          <w:rFonts w:ascii="Times New Roman" w:eastAsia="仿宋"/>
          <w:sz w:val="28"/>
          <w:szCs w:val="28"/>
        </w:rPr>
        <w:fldChar w:fldCharType="separate"/>
      </w:r>
      <w:r>
        <w:rPr>
          <w:rFonts w:ascii="Times New Roman" w:eastAsia="仿宋"/>
          <w:sz w:val="28"/>
          <w:szCs w:val="28"/>
        </w:rPr>
        <w:t>27</w:t>
      </w:r>
      <w:r>
        <w:rPr>
          <w:rFonts w:ascii="Times New Roman" w:eastAsia="仿宋"/>
          <w:sz w:val="28"/>
          <w:szCs w:val="28"/>
        </w:rPr>
        <w:fldChar w:fldCharType="end"/>
      </w:r>
      <w:r>
        <w:rPr>
          <w:rFonts w:ascii="Times New Roman" w:eastAsia="仿宋"/>
          <w:sz w:val="28"/>
          <w:szCs w:val="28"/>
        </w:rPr>
        <w:fldChar w:fldCharType="end"/>
      </w:r>
    </w:p>
    <w:p w14:paraId="5E918460">
      <w:pPr>
        <w:pStyle w:val="34"/>
        <w:rPr>
          <w:rFonts w:ascii="Times New Roman" w:eastAsia="仿宋"/>
          <w:smallCaps w:val="0"/>
          <w:sz w:val="28"/>
          <w:szCs w:val="28"/>
        </w:rPr>
      </w:pPr>
      <w:r>
        <w:fldChar w:fldCharType="begin"/>
      </w:r>
      <w:r>
        <w:instrText xml:space="preserve"> HYPERLINK \l "_Toc165395075" </w:instrText>
      </w:r>
      <w:r>
        <w:fldChar w:fldCharType="separate"/>
      </w:r>
      <w:r>
        <w:rPr>
          <w:rStyle w:val="47"/>
          <w:rFonts w:ascii="Times New Roman" w:eastAsia="仿宋"/>
          <w:bCs/>
          <w:sz w:val="28"/>
          <w:szCs w:val="28"/>
        </w:rPr>
        <w:t>6.2信息报告和通报</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_Toc165395075 \h </w:instrText>
      </w:r>
      <w:r>
        <w:rPr>
          <w:rFonts w:ascii="Times New Roman" w:eastAsia="仿宋"/>
          <w:sz w:val="28"/>
          <w:szCs w:val="28"/>
        </w:rPr>
        <w:fldChar w:fldCharType="separate"/>
      </w:r>
      <w:r>
        <w:rPr>
          <w:rFonts w:ascii="Times New Roman" w:eastAsia="仿宋"/>
          <w:sz w:val="28"/>
          <w:szCs w:val="28"/>
        </w:rPr>
        <w:t>31</w:t>
      </w:r>
      <w:r>
        <w:rPr>
          <w:rFonts w:ascii="Times New Roman" w:eastAsia="仿宋"/>
          <w:sz w:val="28"/>
          <w:szCs w:val="28"/>
        </w:rPr>
        <w:fldChar w:fldCharType="end"/>
      </w:r>
      <w:r>
        <w:rPr>
          <w:rFonts w:ascii="Times New Roman" w:eastAsia="仿宋"/>
          <w:sz w:val="28"/>
          <w:szCs w:val="28"/>
        </w:rPr>
        <w:fldChar w:fldCharType="end"/>
      </w:r>
    </w:p>
    <w:p w14:paraId="5C37DCE9">
      <w:pPr>
        <w:pStyle w:val="34"/>
        <w:rPr>
          <w:rFonts w:ascii="Times New Roman" w:eastAsia="仿宋"/>
          <w:smallCaps w:val="0"/>
          <w:sz w:val="28"/>
          <w:szCs w:val="28"/>
        </w:rPr>
      </w:pPr>
      <w:r>
        <w:fldChar w:fldCharType="begin"/>
      </w:r>
      <w:r>
        <w:instrText xml:space="preserve"> HYPERLINK \l "_Toc165395076" </w:instrText>
      </w:r>
      <w:r>
        <w:fldChar w:fldCharType="separate"/>
      </w:r>
      <w:r>
        <w:rPr>
          <w:rStyle w:val="47"/>
          <w:rFonts w:ascii="Times New Roman" w:eastAsia="仿宋"/>
          <w:bCs/>
          <w:sz w:val="28"/>
          <w:szCs w:val="28"/>
        </w:rPr>
        <w:t>6.3响应程序</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_Toc165395076 \h </w:instrText>
      </w:r>
      <w:r>
        <w:rPr>
          <w:rFonts w:ascii="Times New Roman" w:eastAsia="仿宋"/>
          <w:sz w:val="28"/>
          <w:szCs w:val="28"/>
        </w:rPr>
        <w:fldChar w:fldCharType="separate"/>
      </w:r>
      <w:r>
        <w:rPr>
          <w:rFonts w:ascii="Times New Roman" w:eastAsia="仿宋"/>
          <w:sz w:val="28"/>
          <w:szCs w:val="28"/>
        </w:rPr>
        <w:t>33</w:t>
      </w:r>
      <w:r>
        <w:rPr>
          <w:rFonts w:ascii="Times New Roman" w:eastAsia="仿宋"/>
          <w:sz w:val="28"/>
          <w:szCs w:val="28"/>
        </w:rPr>
        <w:fldChar w:fldCharType="end"/>
      </w:r>
      <w:r>
        <w:rPr>
          <w:rFonts w:ascii="Times New Roman" w:eastAsia="仿宋"/>
          <w:sz w:val="28"/>
          <w:szCs w:val="28"/>
        </w:rPr>
        <w:fldChar w:fldCharType="end"/>
      </w:r>
    </w:p>
    <w:p w14:paraId="28B04D1B">
      <w:pPr>
        <w:pStyle w:val="34"/>
        <w:rPr>
          <w:rFonts w:ascii="Times New Roman" w:eastAsia="仿宋"/>
          <w:smallCaps w:val="0"/>
          <w:sz w:val="28"/>
          <w:szCs w:val="28"/>
        </w:rPr>
      </w:pPr>
      <w:r>
        <w:fldChar w:fldCharType="begin"/>
      </w:r>
      <w:r>
        <w:instrText xml:space="preserve"> HYPERLINK \l "_Toc165395077" </w:instrText>
      </w:r>
      <w:r>
        <w:fldChar w:fldCharType="separate"/>
      </w:r>
      <w:r>
        <w:rPr>
          <w:rStyle w:val="47"/>
          <w:rFonts w:ascii="Times New Roman" w:eastAsia="仿宋"/>
          <w:bCs/>
          <w:sz w:val="28"/>
          <w:szCs w:val="28"/>
        </w:rPr>
        <w:t>6.4应急处置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_Toc165395077 \h </w:instrText>
      </w:r>
      <w:r>
        <w:rPr>
          <w:rFonts w:ascii="Times New Roman" w:eastAsia="仿宋"/>
          <w:sz w:val="28"/>
          <w:szCs w:val="28"/>
        </w:rPr>
        <w:fldChar w:fldCharType="separate"/>
      </w:r>
      <w:r>
        <w:rPr>
          <w:rFonts w:ascii="Times New Roman" w:eastAsia="仿宋"/>
          <w:sz w:val="28"/>
          <w:szCs w:val="28"/>
        </w:rPr>
        <w:t>37</w:t>
      </w:r>
      <w:r>
        <w:rPr>
          <w:rFonts w:ascii="Times New Roman" w:eastAsia="仿宋"/>
          <w:sz w:val="28"/>
          <w:szCs w:val="28"/>
        </w:rPr>
        <w:fldChar w:fldCharType="end"/>
      </w:r>
      <w:r>
        <w:rPr>
          <w:rFonts w:ascii="Times New Roman" w:eastAsia="仿宋"/>
          <w:sz w:val="28"/>
          <w:szCs w:val="28"/>
        </w:rPr>
        <w:fldChar w:fldCharType="end"/>
      </w:r>
    </w:p>
    <w:p w14:paraId="20856DE8">
      <w:pPr>
        <w:pStyle w:val="28"/>
        <w:rPr>
          <w:rFonts w:ascii="Times New Roman" w:eastAsia="仿宋"/>
          <w:b w:val="0"/>
          <w:caps w:val="0"/>
          <w:sz w:val="28"/>
          <w:szCs w:val="28"/>
        </w:rPr>
      </w:pPr>
      <w:r>
        <w:fldChar w:fldCharType="begin"/>
      </w:r>
      <w:r>
        <w:instrText xml:space="preserve"> HYPERLINK \l "_Toc165395078" </w:instrText>
      </w:r>
      <w:r>
        <w:fldChar w:fldCharType="separate"/>
      </w:r>
      <w:r>
        <w:rPr>
          <w:rStyle w:val="47"/>
          <w:rFonts w:ascii="Times New Roman" w:eastAsia="仿宋"/>
          <w:sz w:val="28"/>
          <w:szCs w:val="28"/>
        </w:rPr>
        <w:t>7应急终止</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_Toc165395078 \h </w:instrText>
      </w:r>
      <w:r>
        <w:rPr>
          <w:rFonts w:ascii="Times New Roman" w:eastAsia="仿宋"/>
          <w:sz w:val="28"/>
          <w:szCs w:val="28"/>
        </w:rPr>
        <w:fldChar w:fldCharType="separate"/>
      </w:r>
      <w:r>
        <w:rPr>
          <w:rFonts w:ascii="Times New Roman" w:eastAsia="仿宋"/>
          <w:sz w:val="28"/>
          <w:szCs w:val="28"/>
        </w:rPr>
        <w:t>46</w:t>
      </w:r>
      <w:r>
        <w:rPr>
          <w:rFonts w:ascii="Times New Roman" w:eastAsia="仿宋"/>
          <w:sz w:val="28"/>
          <w:szCs w:val="28"/>
        </w:rPr>
        <w:fldChar w:fldCharType="end"/>
      </w:r>
      <w:r>
        <w:rPr>
          <w:rFonts w:ascii="Times New Roman" w:eastAsia="仿宋"/>
          <w:sz w:val="28"/>
          <w:szCs w:val="28"/>
        </w:rPr>
        <w:fldChar w:fldCharType="end"/>
      </w:r>
    </w:p>
    <w:p w14:paraId="39C64CE1">
      <w:pPr>
        <w:pStyle w:val="34"/>
        <w:rPr>
          <w:rFonts w:ascii="Times New Roman" w:eastAsia="仿宋"/>
          <w:smallCaps w:val="0"/>
          <w:sz w:val="28"/>
          <w:szCs w:val="28"/>
        </w:rPr>
      </w:pPr>
      <w:r>
        <w:fldChar w:fldCharType="begin"/>
      </w:r>
      <w:r>
        <w:instrText xml:space="preserve"> HYPERLINK \l "_Toc165395079" </w:instrText>
      </w:r>
      <w:r>
        <w:fldChar w:fldCharType="separate"/>
      </w:r>
      <w:r>
        <w:rPr>
          <w:rStyle w:val="47"/>
          <w:rFonts w:ascii="Times New Roman" w:eastAsia="仿宋"/>
          <w:bCs/>
          <w:sz w:val="28"/>
          <w:szCs w:val="28"/>
        </w:rPr>
        <w:t>7.1应急终止条件</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_Toc165395079 \h </w:instrText>
      </w:r>
      <w:r>
        <w:rPr>
          <w:rFonts w:ascii="Times New Roman" w:eastAsia="仿宋"/>
          <w:sz w:val="28"/>
          <w:szCs w:val="28"/>
        </w:rPr>
        <w:fldChar w:fldCharType="separate"/>
      </w:r>
      <w:r>
        <w:rPr>
          <w:rFonts w:ascii="Times New Roman" w:eastAsia="仿宋"/>
          <w:sz w:val="28"/>
          <w:szCs w:val="28"/>
        </w:rPr>
        <w:t>46</w:t>
      </w:r>
      <w:r>
        <w:rPr>
          <w:rFonts w:ascii="Times New Roman" w:eastAsia="仿宋"/>
          <w:sz w:val="28"/>
          <w:szCs w:val="28"/>
        </w:rPr>
        <w:fldChar w:fldCharType="end"/>
      </w:r>
      <w:r>
        <w:rPr>
          <w:rFonts w:ascii="Times New Roman" w:eastAsia="仿宋"/>
          <w:sz w:val="28"/>
          <w:szCs w:val="28"/>
        </w:rPr>
        <w:fldChar w:fldCharType="end"/>
      </w:r>
    </w:p>
    <w:p w14:paraId="1A73B9E3">
      <w:pPr>
        <w:pStyle w:val="34"/>
        <w:rPr>
          <w:rFonts w:ascii="Times New Roman" w:eastAsia="仿宋"/>
          <w:smallCaps w:val="0"/>
          <w:sz w:val="28"/>
          <w:szCs w:val="28"/>
        </w:rPr>
      </w:pPr>
      <w:r>
        <w:fldChar w:fldCharType="begin"/>
      </w:r>
      <w:r>
        <w:instrText xml:space="preserve"> HYPERLINK \l "_Toc165395080" </w:instrText>
      </w:r>
      <w:r>
        <w:fldChar w:fldCharType="separate"/>
      </w:r>
      <w:r>
        <w:rPr>
          <w:rStyle w:val="47"/>
          <w:rFonts w:ascii="Times New Roman" w:eastAsia="仿宋"/>
          <w:bCs/>
          <w:sz w:val="28"/>
          <w:szCs w:val="28"/>
        </w:rPr>
        <w:t>7.2应急终止程序</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_Toc165395080 \h </w:instrText>
      </w:r>
      <w:r>
        <w:rPr>
          <w:rFonts w:ascii="Times New Roman" w:eastAsia="仿宋"/>
          <w:sz w:val="28"/>
          <w:szCs w:val="28"/>
        </w:rPr>
        <w:fldChar w:fldCharType="separate"/>
      </w:r>
      <w:r>
        <w:rPr>
          <w:rFonts w:ascii="Times New Roman" w:eastAsia="仿宋"/>
          <w:sz w:val="28"/>
          <w:szCs w:val="28"/>
        </w:rPr>
        <w:t>46</w:t>
      </w:r>
      <w:r>
        <w:rPr>
          <w:rFonts w:ascii="Times New Roman" w:eastAsia="仿宋"/>
          <w:sz w:val="28"/>
          <w:szCs w:val="28"/>
        </w:rPr>
        <w:fldChar w:fldCharType="end"/>
      </w:r>
      <w:r>
        <w:rPr>
          <w:rFonts w:ascii="Times New Roman" w:eastAsia="仿宋"/>
          <w:sz w:val="28"/>
          <w:szCs w:val="28"/>
        </w:rPr>
        <w:fldChar w:fldCharType="end"/>
      </w:r>
    </w:p>
    <w:p w14:paraId="1FA852DB">
      <w:pPr>
        <w:pStyle w:val="34"/>
        <w:rPr>
          <w:rFonts w:ascii="Times New Roman" w:eastAsia="仿宋"/>
          <w:smallCaps w:val="0"/>
          <w:sz w:val="28"/>
          <w:szCs w:val="28"/>
        </w:rPr>
      </w:pPr>
      <w:r>
        <w:fldChar w:fldCharType="begin"/>
      </w:r>
      <w:r>
        <w:instrText xml:space="preserve"> HYPERLINK \l "_Toc165395081" </w:instrText>
      </w:r>
      <w:r>
        <w:fldChar w:fldCharType="separate"/>
      </w:r>
      <w:r>
        <w:rPr>
          <w:rStyle w:val="47"/>
          <w:rFonts w:ascii="Times New Roman" w:eastAsia="仿宋"/>
          <w:bCs/>
          <w:sz w:val="28"/>
          <w:szCs w:val="28"/>
        </w:rPr>
        <w:t>7.3应急终止后的行动</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_Toc165395081 \h </w:instrText>
      </w:r>
      <w:r>
        <w:rPr>
          <w:rFonts w:ascii="Times New Roman" w:eastAsia="仿宋"/>
          <w:sz w:val="28"/>
          <w:szCs w:val="28"/>
        </w:rPr>
        <w:fldChar w:fldCharType="separate"/>
      </w:r>
      <w:r>
        <w:rPr>
          <w:rFonts w:ascii="Times New Roman" w:eastAsia="仿宋"/>
          <w:sz w:val="28"/>
          <w:szCs w:val="28"/>
        </w:rPr>
        <w:t>47</w:t>
      </w:r>
      <w:r>
        <w:rPr>
          <w:rFonts w:ascii="Times New Roman" w:eastAsia="仿宋"/>
          <w:sz w:val="28"/>
          <w:szCs w:val="28"/>
        </w:rPr>
        <w:fldChar w:fldCharType="end"/>
      </w:r>
      <w:r>
        <w:rPr>
          <w:rFonts w:ascii="Times New Roman" w:eastAsia="仿宋"/>
          <w:sz w:val="28"/>
          <w:szCs w:val="28"/>
        </w:rPr>
        <w:fldChar w:fldCharType="end"/>
      </w:r>
    </w:p>
    <w:p w14:paraId="61F6B4DE">
      <w:pPr>
        <w:pStyle w:val="34"/>
        <w:rPr>
          <w:rFonts w:ascii="Times New Roman" w:eastAsia="仿宋"/>
          <w:smallCaps w:val="0"/>
          <w:sz w:val="28"/>
          <w:szCs w:val="28"/>
        </w:rPr>
      </w:pPr>
      <w:r>
        <w:fldChar w:fldCharType="begin"/>
      </w:r>
      <w:r>
        <w:instrText xml:space="preserve"> HYPERLINK \l "_Toc165395082" </w:instrText>
      </w:r>
      <w:r>
        <w:fldChar w:fldCharType="separate"/>
      </w:r>
      <w:r>
        <w:rPr>
          <w:rStyle w:val="47"/>
          <w:rFonts w:ascii="Times New Roman" w:eastAsia="仿宋"/>
          <w:bCs/>
          <w:sz w:val="28"/>
          <w:szCs w:val="28"/>
        </w:rPr>
        <w:t>7.4应急终止后的环境管理</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_Toc165395082 \h </w:instrText>
      </w:r>
      <w:r>
        <w:rPr>
          <w:rFonts w:ascii="Times New Roman" w:eastAsia="仿宋"/>
          <w:sz w:val="28"/>
          <w:szCs w:val="28"/>
        </w:rPr>
        <w:fldChar w:fldCharType="separate"/>
      </w:r>
      <w:r>
        <w:rPr>
          <w:rFonts w:ascii="Times New Roman" w:eastAsia="仿宋"/>
          <w:sz w:val="28"/>
          <w:szCs w:val="28"/>
        </w:rPr>
        <w:t>47</w:t>
      </w:r>
      <w:r>
        <w:rPr>
          <w:rFonts w:ascii="Times New Roman" w:eastAsia="仿宋"/>
          <w:sz w:val="28"/>
          <w:szCs w:val="28"/>
        </w:rPr>
        <w:fldChar w:fldCharType="end"/>
      </w:r>
      <w:r>
        <w:rPr>
          <w:rFonts w:ascii="Times New Roman" w:eastAsia="仿宋"/>
          <w:sz w:val="28"/>
          <w:szCs w:val="28"/>
        </w:rPr>
        <w:fldChar w:fldCharType="end"/>
      </w:r>
    </w:p>
    <w:p w14:paraId="7AB8DAC9">
      <w:pPr>
        <w:pStyle w:val="28"/>
        <w:rPr>
          <w:rFonts w:ascii="Times New Roman" w:eastAsia="仿宋"/>
          <w:b w:val="0"/>
          <w:caps w:val="0"/>
          <w:sz w:val="28"/>
          <w:szCs w:val="28"/>
        </w:rPr>
      </w:pPr>
      <w:r>
        <w:fldChar w:fldCharType="begin"/>
      </w:r>
      <w:r>
        <w:instrText xml:space="preserve"> HYPERLINK \l "_Toc165395083" </w:instrText>
      </w:r>
      <w:r>
        <w:fldChar w:fldCharType="separate"/>
      </w:r>
      <w:r>
        <w:rPr>
          <w:rStyle w:val="47"/>
          <w:rFonts w:ascii="Times New Roman" w:eastAsia="仿宋"/>
          <w:sz w:val="28"/>
          <w:szCs w:val="28"/>
        </w:rPr>
        <w:t>8后期处置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_Toc165395083 \h </w:instrText>
      </w:r>
      <w:r>
        <w:rPr>
          <w:rFonts w:ascii="Times New Roman" w:eastAsia="仿宋"/>
          <w:sz w:val="28"/>
          <w:szCs w:val="28"/>
        </w:rPr>
        <w:fldChar w:fldCharType="separate"/>
      </w:r>
      <w:r>
        <w:rPr>
          <w:rFonts w:ascii="Times New Roman" w:eastAsia="仿宋"/>
          <w:sz w:val="28"/>
          <w:szCs w:val="28"/>
        </w:rPr>
        <w:t>49</w:t>
      </w:r>
      <w:r>
        <w:rPr>
          <w:rFonts w:ascii="Times New Roman" w:eastAsia="仿宋"/>
          <w:sz w:val="28"/>
          <w:szCs w:val="28"/>
        </w:rPr>
        <w:fldChar w:fldCharType="end"/>
      </w:r>
      <w:r>
        <w:rPr>
          <w:rFonts w:ascii="Times New Roman" w:eastAsia="仿宋"/>
          <w:sz w:val="28"/>
          <w:szCs w:val="28"/>
        </w:rPr>
        <w:fldChar w:fldCharType="end"/>
      </w:r>
    </w:p>
    <w:p w14:paraId="6788375C">
      <w:pPr>
        <w:pStyle w:val="34"/>
        <w:rPr>
          <w:rFonts w:ascii="Times New Roman" w:eastAsia="仿宋"/>
          <w:smallCaps w:val="0"/>
          <w:sz w:val="28"/>
          <w:szCs w:val="28"/>
        </w:rPr>
      </w:pPr>
      <w:r>
        <w:fldChar w:fldCharType="begin"/>
      </w:r>
      <w:r>
        <w:instrText xml:space="preserve"> HYPERLINK \l "_Toc165395084" </w:instrText>
      </w:r>
      <w:r>
        <w:fldChar w:fldCharType="separate"/>
      </w:r>
      <w:r>
        <w:rPr>
          <w:rStyle w:val="47"/>
          <w:rFonts w:ascii="Times New Roman" w:eastAsia="仿宋"/>
          <w:bCs/>
          <w:sz w:val="28"/>
          <w:szCs w:val="28"/>
        </w:rPr>
        <w:t>8.1现场恢复</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_Toc165395084 \h </w:instrText>
      </w:r>
      <w:r>
        <w:rPr>
          <w:rFonts w:ascii="Times New Roman" w:eastAsia="仿宋"/>
          <w:sz w:val="28"/>
          <w:szCs w:val="28"/>
        </w:rPr>
        <w:fldChar w:fldCharType="separate"/>
      </w:r>
      <w:r>
        <w:rPr>
          <w:rFonts w:ascii="Times New Roman" w:eastAsia="仿宋"/>
          <w:sz w:val="28"/>
          <w:szCs w:val="28"/>
        </w:rPr>
        <w:t>49</w:t>
      </w:r>
      <w:r>
        <w:rPr>
          <w:rFonts w:ascii="Times New Roman" w:eastAsia="仿宋"/>
          <w:sz w:val="28"/>
          <w:szCs w:val="28"/>
        </w:rPr>
        <w:fldChar w:fldCharType="end"/>
      </w:r>
      <w:r>
        <w:rPr>
          <w:rFonts w:ascii="Times New Roman" w:eastAsia="仿宋"/>
          <w:sz w:val="28"/>
          <w:szCs w:val="28"/>
        </w:rPr>
        <w:fldChar w:fldCharType="end"/>
      </w:r>
    </w:p>
    <w:p w14:paraId="0C6D2965">
      <w:pPr>
        <w:pStyle w:val="34"/>
        <w:rPr>
          <w:rFonts w:ascii="Times New Roman" w:eastAsia="仿宋"/>
          <w:smallCaps w:val="0"/>
          <w:sz w:val="28"/>
          <w:szCs w:val="28"/>
        </w:rPr>
      </w:pPr>
      <w:r>
        <w:fldChar w:fldCharType="begin"/>
      </w:r>
      <w:r>
        <w:instrText xml:space="preserve"> HYPERLINK \l "_Toc165395085" </w:instrText>
      </w:r>
      <w:r>
        <w:fldChar w:fldCharType="separate"/>
      </w:r>
      <w:r>
        <w:rPr>
          <w:rStyle w:val="47"/>
          <w:rFonts w:ascii="Times New Roman" w:eastAsia="仿宋"/>
          <w:bCs/>
          <w:sz w:val="28"/>
          <w:szCs w:val="28"/>
        </w:rPr>
        <w:t>8.2环境恢复</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_Toc165395085 \h </w:instrText>
      </w:r>
      <w:r>
        <w:rPr>
          <w:rFonts w:ascii="Times New Roman" w:eastAsia="仿宋"/>
          <w:sz w:val="28"/>
          <w:szCs w:val="28"/>
        </w:rPr>
        <w:fldChar w:fldCharType="separate"/>
      </w:r>
      <w:r>
        <w:rPr>
          <w:rFonts w:ascii="Times New Roman" w:eastAsia="仿宋"/>
          <w:sz w:val="28"/>
          <w:szCs w:val="28"/>
        </w:rPr>
        <w:t>49</w:t>
      </w:r>
      <w:r>
        <w:rPr>
          <w:rFonts w:ascii="Times New Roman" w:eastAsia="仿宋"/>
          <w:sz w:val="28"/>
          <w:szCs w:val="28"/>
        </w:rPr>
        <w:fldChar w:fldCharType="end"/>
      </w:r>
      <w:r>
        <w:rPr>
          <w:rFonts w:ascii="Times New Roman" w:eastAsia="仿宋"/>
          <w:sz w:val="28"/>
          <w:szCs w:val="28"/>
        </w:rPr>
        <w:fldChar w:fldCharType="end"/>
      </w:r>
    </w:p>
    <w:p w14:paraId="11581062">
      <w:pPr>
        <w:pStyle w:val="34"/>
        <w:rPr>
          <w:rFonts w:ascii="Times New Roman" w:eastAsia="仿宋"/>
          <w:smallCaps w:val="0"/>
          <w:sz w:val="28"/>
          <w:szCs w:val="28"/>
        </w:rPr>
      </w:pPr>
      <w:r>
        <w:fldChar w:fldCharType="begin"/>
      </w:r>
      <w:r>
        <w:instrText xml:space="preserve"> HYPERLINK \l "_Toc165395086" </w:instrText>
      </w:r>
      <w:r>
        <w:fldChar w:fldCharType="separate"/>
      </w:r>
      <w:r>
        <w:rPr>
          <w:rStyle w:val="47"/>
          <w:rFonts w:ascii="Times New Roman" w:eastAsia="仿宋"/>
          <w:bCs/>
          <w:sz w:val="28"/>
          <w:szCs w:val="28"/>
        </w:rPr>
        <w:t>8.3补充应急物资</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_Toc165395086 \h </w:instrText>
      </w:r>
      <w:r>
        <w:rPr>
          <w:rFonts w:ascii="Times New Roman" w:eastAsia="仿宋"/>
          <w:sz w:val="28"/>
          <w:szCs w:val="28"/>
        </w:rPr>
        <w:fldChar w:fldCharType="separate"/>
      </w:r>
      <w:r>
        <w:rPr>
          <w:rFonts w:ascii="Times New Roman" w:eastAsia="仿宋"/>
          <w:sz w:val="28"/>
          <w:szCs w:val="28"/>
        </w:rPr>
        <w:t>49</w:t>
      </w:r>
      <w:r>
        <w:rPr>
          <w:rFonts w:ascii="Times New Roman" w:eastAsia="仿宋"/>
          <w:sz w:val="28"/>
          <w:szCs w:val="28"/>
        </w:rPr>
        <w:fldChar w:fldCharType="end"/>
      </w:r>
      <w:r>
        <w:rPr>
          <w:rFonts w:ascii="Times New Roman" w:eastAsia="仿宋"/>
          <w:sz w:val="28"/>
          <w:szCs w:val="28"/>
        </w:rPr>
        <w:fldChar w:fldCharType="end"/>
      </w:r>
    </w:p>
    <w:p w14:paraId="2961B3DC">
      <w:pPr>
        <w:pStyle w:val="34"/>
        <w:rPr>
          <w:rFonts w:ascii="Times New Roman" w:eastAsia="仿宋"/>
          <w:smallCaps w:val="0"/>
          <w:sz w:val="28"/>
          <w:szCs w:val="28"/>
        </w:rPr>
      </w:pPr>
      <w:r>
        <w:fldChar w:fldCharType="begin"/>
      </w:r>
      <w:r>
        <w:instrText xml:space="preserve"> HYPERLINK \l "_Toc165395087" </w:instrText>
      </w:r>
      <w:r>
        <w:fldChar w:fldCharType="separate"/>
      </w:r>
      <w:r>
        <w:rPr>
          <w:rStyle w:val="47"/>
          <w:rFonts w:ascii="Times New Roman" w:eastAsia="仿宋"/>
          <w:bCs/>
          <w:sz w:val="28"/>
          <w:szCs w:val="28"/>
        </w:rPr>
        <w:t>8.4善后赔偿</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_Toc165395087 \h </w:instrText>
      </w:r>
      <w:r>
        <w:rPr>
          <w:rFonts w:ascii="Times New Roman" w:eastAsia="仿宋"/>
          <w:sz w:val="28"/>
          <w:szCs w:val="28"/>
        </w:rPr>
        <w:fldChar w:fldCharType="separate"/>
      </w:r>
      <w:r>
        <w:rPr>
          <w:rFonts w:ascii="Times New Roman" w:eastAsia="仿宋"/>
          <w:sz w:val="28"/>
          <w:szCs w:val="28"/>
        </w:rPr>
        <w:t>50</w:t>
      </w:r>
      <w:r>
        <w:rPr>
          <w:rFonts w:ascii="Times New Roman" w:eastAsia="仿宋"/>
          <w:sz w:val="28"/>
          <w:szCs w:val="28"/>
        </w:rPr>
        <w:fldChar w:fldCharType="end"/>
      </w:r>
      <w:r>
        <w:rPr>
          <w:rFonts w:ascii="Times New Roman" w:eastAsia="仿宋"/>
          <w:sz w:val="28"/>
          <w:szCs w:val="28"/>
        </w:rPr>
        <w:fldChar w:fldCharType="end"/>
      </w:r>
    </w:p>
    <w:p w14:paraId="2338390D">
      <w:pPr>
        <w:pStyle w:val="28"/>
        <w:rPr>
          <w:rFonts w:ascii="Times New Roman" w:eastAsia="仿宋"/>
          <w:b w:val="0"/>
          <w:caps w:val="0"/>
          <w:sz w:val="28"/>
          <w:szCs w:val="28"/>
        </w:rPr>
      </w:pPr>
      <w:r>
        <w:fldChar w:fldCharType="begin"/>
      </w:r>
      <w:r>
        <w:instrText xml:space="preserve"> HYPERLINK \l "_Toc165395088" </w:instrText>
      </w:r>
      <w:r>
        <w:fldChar w:fldCharType="separate"/>
      </w:r>
      <w:r>
        <w:rPr>
          <w:rStyle w:val="47"/>
          <w:rFonts w:ascii="Times New Roman" w:eastAsia="仿宋"/>
          <w:sz w:val="28"/>
          <w:szCs w:val="28"/>
        </w:rPr>
        <w:t>9保障措施</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_Toc165395088 \h </w:instrText>
      </w:r>
      <w:r>
        <w:rPr>
          <w:rFonts w:ascii="Times New Roman" w:eastAsia="仿宋"/>
          <w:sz w:val="28"/>
          <w:szCs w:val="28"/>
        </w:rPr>
        <w:fldChar w:fldCharType="separate"/>
      </w:r>
      <w:r>
        <w:rPr>
          <w:rFonts w:ascii="Times New Roman" w:eastAsia="仿宋"/>
          <w:sz w:val="28"/>
          <w:szCs w:val="28"/>
        </w:rPr>
        <w:t>51</w:t>
      </w:r>
      <w:r>
        <w:rPr>
          <w:rFonts w:ascii="Times New Roman" w:eastAsia="仿宋"/>
          <w:sz w:val="28"/>
          <w:szCs w:val="28"/>
        </w:rPr>
        <w:fldChar w:fldCharType="end"/>
      </w:r>
      <w:r>
        <w:rPr>
          <w:rFonts w:ascii="Times New Roman" w:eastAsia="仿宋"/>
          <w:sz w:val="28"/>
          <w:szCs w:val="28"/>
        </w:rPr>
        <w:fldChar w:fldCharType="end"/>
      </w:r>
    </w:p>
    <w:p w14:paraId="0342A222">
      <w:pPr>
        <w:pStyle w:val="34"/>
        <w:rPr>
          <w:rFonts w:ascii="Times New Roman" w:eastAsia="仿宋"/>
          <w:smallCaps w:val="0"/>
          <w:sz w:val="28"/>
          <w:szCs w:val="28"/>
        </w:rPr>
      </w:pPr>
      <w:r>
        <w:fldChar w:fldCharType="begin"/>
      </w:r>
      <w:r>
        <w:instrText xml:space="preserve"> HYPERLINK \l "_Toc165395089" </w:instrText>
      </w:r>
      <w:r>
        <w:fldChar w:fldCharType="separate"/>
      </w:r>
      <w:r>
        <w:rPr>
          <w:rStyle w:val="47"/>
          <w:rFonts w:ascii="Times New Roman" w:eastAsia="仿宋"/>
          <w:bCs/>
          <w:sz w:val="28"/>
          <w:szCs w:val="28"/>
        </w:rPr>
        <w:t>9.1通信与信息保障</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_Toc165395089 \h </w:instrText>
      </w:r>
      <w:r>
        <w:rPr>
          <w:rFonts w:ascii="Times New Roman" w:eastAsia="仿宋"/>
          <w:sz w:val="28"/>
          <w:szCs w:val="28"/>
        </w:rPr>
        <w:fldChar w:fldCharType="separate"/>
      </w:r>
      <w:r>
        <w:rPr>
          <w:rFonts w:ascii="Times New Roman" w:eastAsia="仿宋"/>
          <w:sz w:val="28"/>
          <w:szCs w:val="28"/>
        </w:rPr>
        <w:t>51</w:t>
      </w:r>
      <w:r>
        <w:rPr>
          <w:rFonts w:ascii="Times New Roman" w:eastAsia="仿宋"/>
          <w:sz w:val="28"/>
          <w:szCs w:val="28"/>
        </w:rPr>
        <w:fldChar w:fldCharType="end"/>
      </w:r>
      <w:r>
        <w:rPr>
          <w:rFonts w:ascii="Times New Roman" w:eastAsia="仿宋"/>
          <w:sz w:val="28"/>
          <w:szCs w:val="28"/>
        </w:rPr>
        <w:fldChar w:fldCharType="end"/>
      </w:r>
    </w:p>
    <w:p w14:paraId="6ED721FA">
      <w:pPr>
        <w:pStyle w:val="34"/>
        <w:rPr>
          <w:rFonts w:ascii="Times New Roman" w:eastAsia="仿宋"/>
          <w:smallCaps w:val="0"/>
          <w:sz w:val="28"/>
          <w:szCs w:val="28"/>
        </w:rPr>
      </w:pPr>
      <w:r>
        <w:fldChar w:fldCharType="begin"/>
      </w:r>
      <w:r>
        <w:instrText xml:space="preserve"> HYPERLINK \l "_Toc165395090" </w:instrText>
      </w:r>
      <w:r>
        <w:fldChar w:fldCharType="separate"/>
      </w:r>
      <w:r>
        <w:rPr>
          <w:rStyle w:val="47"/>
          <w:rFonts w:ascii="Times New Roman" w:eastAsia="仿宋"/>
          <w:bCs/>
          <w:sz w:val="28"/>
          <w:szCs w:val="28"/>
        </w:rPr>
        <w:t>9.2应急队伍保障</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_Toc165395090 \h </w:instrText>
      </w:r>
      <w:r>
        <w:rPr>
          <w:rFonts w:ascii="Times New Roman" w:eastAsia="仿宋"/>
          <w:sz w:val="28"/>
          <w:szCs w:val="28"/>
        </w:rPr>
        <w:fldChar w:fldCharType="separate"/>
      </w:r>
      <w:r>
        <w:rPr>
          <w:rFonts w:ascii="Times New Roman" w:eastAsia="仿宋"/>
          <w:sz w:val="28"/>
          <w:szCs w:val="28"/>
        </w:rPr>
        <w:t>51</w:t>
      </w:r>
      <w:r>
        <w:rPr>
          <w:rFonts w:ascii="Times New Roman" w:eastAsia="仿宋"/>
          <w:sz w:val="28"/>
          <w:szCs w:val="28"/>
        </w:rPr>
        <w:fldChar w:fldCharType="end"/>
      </w:r>
      <w:r>
        <w:rPr>
          <w:rFonts w:ascii="Times New Roman" w:eastAsia="仿宋"/>
          <w:sz w:val="28"/>
          <w:szCs w:val="28"/>
        </w:rPr>
        <w:fldChar w:fldCharType="end"/>
      </w:r>
    </w:p>
    <w:p w14:paraId="3584160A">
      <w:pPr>
        <w:pStyle w:val="34"/>
        <w:rPr>
          <w:rFonts w:ascii="Times New Roman" w:eastAsia="仿宋"/>
          <w:smallCaps w:val="0"/>
          <w:sz w:val="28"/>
          <w:szCs w:val="28"/>
        </w:rPr>
      </w:pPr>
      <w:r>
        <w:fldChar w:fldCharType="begin"/>
      </w:r>
      <w:r>
        <w:instrText xml:space="preserve"> HYPERLINK \l "_Toc165395091" </w:instrText>
      </w:r>
      <w:r>
        <w:fldChar w:fldCharType="separate"/>
      </w:r>
      <w:r>
        <w:rPr>
          <w:rStyle w:val="47"/>
          <w:rFonts w:ascii="Times New Roman" w:eastAsia="仿宋"/>
          <w:bCs/>
          <w:sz w:val="28"/>
          <w:szCs w:val="28"/>
        </w:rPr>
        <w:t>9.3应急物资装备保障</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_Toc165395091 \h </w:instrText>
      </w:r>
      <w:r>
        <w:rPr>
          <w:rFonts w:ascii="Times New Roman" w:eastAsia="仿宋"/>
          <w:sz w:val="28"/>
          <w:szCs w:val="28"/>
        </w:rPr>
        <w:fldChar w:fldCharType="separate"/>
      </w:r>
      <w:r>
        <w:rPr>
          <w:rFonts w:ascii="Times New Roman" w:eastAsia="仿宋"/>
          <w:sz w:val="28"/>
          <w:szCs w:val="28"/>
        </w:rPr>
        <w:t>51</w:t>
      </w:r>
      <w:r>
        <w:rPr>
          <w:rFonts w:ascii="Times New Roman" w:eastAsia="仿宋"/>
          <w:sz w:val="28"/>
          <w:szCs w:val="28"/>
        </w:rPr>
        <w:fldChar w:fldCharType="end"/>
      </w:r>
      <w:r>
        <w:rPr>
          <w:rFonts w:ascii="Times New Roman" w:eastAsia="仿宋"/>
          <w:sz w:val="28"/>
          <w:szCs w:val="28"/>
        </w:rPr>
        <w:fldChar w:fldCharType="end"/>
      </w:r>
    </w:p>
    <w:p w14:paraId="384BC944">
      <w:pPr>
        <w:pStyle w:val="34"/>
        <w:rPr>
          <w:rFonts w:ascii="Times New Roman" w:eastAsia="仿宋"/>
          <w:smallCaps w:val="0"/>
          <w:sz w:val="28"/>
          <w:szCs w:val="28"/>
        </w:rPr>
      </w:pPr>
      <w:r>
        <w:fldChar w:fldCharType="begin"/>
      </w:r>
      <w:r>
        <w:instrText xml:space="preserve"> HYPERLINK \l "_Toc165395092" </w:instrText>
      </w:r>
      <w:r>
        <w:fldChar w:fldCharType="separate"/>
      </w:r>
      <w:r>
        <w:rPr>
          <w:rStyle w:val="47"/>
          <w:rFonts w:ascii="Times New Roman" w:eastAsia="仿宋"/>
          <w:bCs/>
          <w:sz w:val="28"/>
          <w:szCs w:val="28"/>
        </w:rPr>
        <w:t>9.4经费及其他保障</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_Toc165395092 \h </w:instrText>
      </w:r>
      <w:r>
        <w:rPr>
          <w:rFonts w:ascii="Times New Roman" w:eastAsia="仿宋"/>
          <w:sz w:val="28"/>
          <w:szCs w:val="28"/>
        </w:rPr>
        <w:fldChar w:fldCharType="separate"/>
      </w:r>
      <w:r>
        <w:rPr>
          <w:rFonts w:ascii="Times New Roman" w:eastAsia="仿宋"/>
          <w:sz w:val="28"/>
          <w:szCs w:val="28"/>
        </w:rPr>
        <w:t>51</w:t>
      </w:r>
      <w:r>
        <w:rPr>
          <w:rFonts w:ascii="Times New Roman" w:eastAsia="仿宋"/>
          <w:sz w:val="28"/>
          <w:szCs w:val="28"/>
        </w:rPr>
        <w:fldChar w:fldCharType="end"/>
      </w:r>
      <w:r>
        <w:rPr>
          <w:rFonts w:ascii="Times New Roman" w:eastAsia="仿宋"/>
          <w:sz w:val="28"/>
          <w:szCs w:val="28"/>
        </w:rPr>
        <w:fldChar w:fldCharType="end"/>
      </w:r>
    </w:p>
    <w:p w14:paraId="51A28D04">
      <w:pPr>
        <w:pStyle w:val="28"/>
        <w:rPr>
          <w:rFonts w:ascii="Times New Roman" w:eastAsia="仿宋"/>
          <w:b w:val="0"/>
          <w:caps w:val="0"/>
          <w:sz w:val="28"/>
          <w:szCs w:val="28"/>
        </w:rPr>
      </w:pPr>
      <w:r>
        <w:fldChar w:fldCharType="begin"/>
      </w:r>
      <w:r>
        <w:instrText xml:space="preserve"> HYPERLINK \l "_Toc165395093" </w:instrText>
      </w:r>
      <w:r>
        <w:fldChar w:fldCharType="separate"/>
      </w:r>
      <w:r>
        <w:rPr>
          <w:rStyle w:val="47"/>
          <w:rFonts w:ascii="Times New Roman" w:eastAsia="仿宋"/>
          <w:sz w:val="28"/>
          <w:szCs w:val="28"/>
        </w:rPr>
        <w:t>10应急培训与演练</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_Toc165395093 \h </w:instrText>
      </w:r>
      <w:r>
        <w:rPr>
          <w:rFonts w:ascii="Times New Roman" w:eastAsia="仿宋"/>
          <w:sz w:val="28"/>
          <w:szCs w:val="28"/>
        </w:rPr>
        <w:fldChar w:fldCharType="separate"/>
      </w:r>
      <w:r>
        <w:rPr>
          <w:rFonts w:ascii="Times New Roman" w:eastAsia="仿宋"/>
          <w:sz w:val="28"/>
          <w:szCs w:val="28"/>
        </w:rPr>
        <w:t>53</w:t>
      </w:r>
      <w:r>
        <w:rPr>
          <w:rFonts w:ascii="Times New Roman" w:eastAsia="仿宋"/>
          <w:sz w:val="28"/>
          <w:szCs w:val="28"/>
        </w:rPr>
        <w:fldChar w:fldCharType="end"/>
      </w:r>
      <w:r>
        <w:rPr>
          <w:rFonts w:ascii="Times New Roman" w:eastAsia="仿宋"/>
          <w:sz w:val="28"/>
          <w:szCs w:val="28"/>
        </w:rPr>
        <w:fldChar w:fldCharType="end"/>
      </w:r>
    </w:p>
    <w:p w14:paraId="61A068B5">
      <w:pPr>
        <w:pStyle w:val="34"/>
        <w:rPr>
          <w:rFonts w:ascii="Times New Roman" w:eastAsia="仿宋"/>
          <w:smallCaps w:val="0"/>
          <w:sz w:val="28"/>
          <w:szCs w:val="28"/>
        </w:rPr>
      </w:pPr>
      <w:r>
        <w:fldChar w:fldCharType="begin"/>
      </w:r>
      <w:r>
        <w:instrText xml:space="preserve"> HYPERLINK \l "_Toc165395094" </w:instrText>
      </w:r>
      <w:r>
        <w:fldChar w:fldCharType="separate"/>
      </w:r>
      <w:r>
        <w:rPr>
          <w:rStyle w:val="47"/>
          <w:rFonts w:ascii="Times New Roman" w:eastAsia="仿宋"/>
          <w:bCs/>
          <w:sz w:val="28"/>
          <w:szCs w:val="28"/>
        </w:rPr>
        <w:t>10.1应急培训</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_Toc165395094 \h </w:instrText>
      </w:r>
      <w:r>
        <w:rPr>
          <w:rFonts w:ascii="Times New Roman" w:eastAsia="仿宋"/>
          <w:sz w:val="28"/>
          <w:szCs w:val="28"/>
        </w:rPr>
        <w:fldChar w:fldCharType="separate"/>
      </w:r>
      <w:r>
        <w:rPr>
          <w:rFonts w:ascii="Times New Roman" w:eastAsia="仿宋"/>
          <w:sz w:val="28"/>
          <w:szCs w:val="28"/>
        </w:rPr>
        <w:t>53</w:t>
      </w:r>
      <w:r>
        <w:rPr>
          <w:rFonts w:ascii="Times New Roman" w:eastAsia="仿宋"/>
          <w:sz w:val="28"/>
          <w:szCs w:val="28"/>
        </w:rPr>
        <w:fldChar w:fldCharType="end"/>
      </w:r>
      <w:r>
        <w:rPr>
          <w:rFonts w:ascii="Times New Roman" w:eastAsia="仿宋"/>
          <w:sz w:val="28"/>
          <w:szCs w:val="28"/>
        </w:rPr>
        <w:fldChar w:fldCharType="end"/>
      </w:r>
    </w:p>
    <w:p w14:paraId="4CB54EFE">
      <w:pPr>
        <w:pStyle w:val="34"/>
        <w:rPr>
          <w:rFonts w:ascii="Times New Roman" w:eastAsia="仿宋"/>
          <w:smallCaps w:val="0"/>
          <w:sz w:val="28"/>
          <w:szCs w:val="28"/>
        </w:rPr>
      </w:pPr>
      <w:r>
        <w:fldChar w:fldCharType="begin"/>
      </w:r>
      <w:r>
        <w:instrText xml:space="preserve"> HYPERLINK \l "_Toc165395095" </w:instrText>
      </w:r>
      <w:r>
        <w:fldChar w:fldCharType="separate"/>
      </w:r>
      <w:r>
        <w:rPr>
          <w:rStyle w:val="47"/>
          <w:rFonts w:ascii="Times New Roman" w:eastAsia="仿宋"/>
          <w:bCs/>
          <w:sz w:val="28"/>
          <w:szCs w:val="28"/>
        </w:rPr>
        <w:t>10.2演练</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_Toc165395095 \h </w:instrText>
      </w:r>
      <w:r>
        <w:rPr>
          <w:rFonts w:ascii="Times New Roman" w:eastAsia="仿宋"/>
          <w:sz w:val="28"/>
          <w:szCs w:val="28"/>
        </w:rPr>
        <w:fldChar w:fldCharType="separate"/>
      </w:r>
      <w:r>
        <w:rPr>
          <w:rFonts w:ascii="Times New Roman" w:eastAsia="仿宋"/>
          <w:sz w:val="28"/>
          <w:szCs w:val="28"/>
        </w:rPr>
        <w:t>53</w:t>
      </w:r>
      <w:r>
        <w:rPr>
          <w:rFonts w:ascii="Times New Roman" w:eastAsia="仿宋"/>
          <w:sz w:val="28"/>
          <w:szCs w:val="28"/>
        </w:rPr>
        <w:fldChar w:fldCharType="end"/>
      </w:r>
      <w:r>
        <w:rPr>
          <w:rFonts w:ascii="Times New Roman" w:eastAsia="仿宋"/>
          <w:sz w:val="28"/>
          <w:szCs w:val="28"/>
        </w:rPr>
        <w:fldChar w:fldCharType="end"/>
      </w:r>
    </w:p>
    <w:p w14:paraId="378F301D">
      <w:pPr>
        <w:pStyle w:val="28"/>
        <w:rPr>
          <w:rFonts w:ascii="Times New Roman" w:eastAsia="仿宋"/>
          <w:b w:val="0"/>
          <w:caps w:val="0"/>
          <w:sz w:val="28"/>
          <w:szCs w:val="28"/>
        </w:rPr>
      </w:pPr>
      <w:r>
        <w:fldChar w:fldCharType="begin"/>
      </w:r>
      <w:r>
        <w:instrText xml:space="preserve"> HYPERLINK \l "_Toc165395096" </w:instrText>
      </w:r>
      <w:r>
        <w:fldChar w:fldCharType="separate"/>
      </w:r>
      <w:r>
        <w:rPr>
          <w:rStyle w:val="47"/>
          <w:rFonts w:ascii="Times New Roman" w:eastAsia="仿宋"/>
          <w:sz w:val="28"/>
          <w:szCs w:val="28"/>
        </w:rPr>
        <w:t>11奖惩</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_Toc165395096 \h </w:instrText>
      </w:r>
      <w:r>
        <w:rPr>
          <w:rFonts w:ascii="Times New Roman" w:eastAsia="仿宋"/>
          <w:sz w:val="28"/>
          <w:szCs w:val="28"/>
        </w:rPr>
        <w:fldChar w:fldCharType="separate"/>
      </w:r>
      <w:r>
        <w:rPr>
          <w:rFonts w:ascii="Times New Roman" w:eastAsia="仿宋"/>
          <w:sz w:val="28"/>
          <w:szCs w:val="28"/>
        </w:rPr>
        <w:t>55</w:t>
      </w:r>
      <w:r>
        <w:rPr>
          <w:rFonts w:ascii="Times New Roman" w:eastAsia="仿宋"/>
          <w:sz w:val="28"/>
          <w:szCs w:val="28"/>
        </w:rPr>
        <w:fldChar w:fldCharType="end"/>
      </w:r>
      <w:r>
        <w:rPr>
          <w:rFonts w:ascii="Times New Roman" w:eastAsia="仿宋"/>
          <w:sz w:val="28"/>
          <w:szCs w:val="28"/>
        </w:rPr>
        <w:fldChar w:fldCharType="end"/>
      </w:r>
    </w:p>
    <w:p w14:paraId="7320CDC3">
      <w:pPr>
        <w:pStyle w:val="28"/>
        <w:rPr>
          <w:rFonts w:ascii="Times New Roman" w:eastAsia="仿宋"/>
          <w:b w:val="0"/>
          <w:caps w:val="0"/>
          <w:sz w:val="28"/>
          <w:szCs w:val="28"/>
        </w:rPr>
      </w:pPr>
      <w:r>
        <w:fldChar w:fldCharType="begin"/>
      </w:r>
      <w:r>
        <w:instrText xml:space="preserve"> HYPERLINK \l "_Toc165395097" </w:instrText>
      </w:r>
      <w:r>
        <w:fldChar w:fldCharType="separate"/>
      </w:r>
      <w:r>
        <w:rPr>
          <w:rStyle w:val="47"/>
          <w:rFonts w:ascii="Times New Roman" w:eastAsia="仿宋"/>
          <w:sz w:val="28"/>
          <w:szCs w:val="28"/>
        </w:rPr>
        <w:t>12预案的评审、发布和更新</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_Toc165395097 \h </w:instrText>
      </w:r>
      <w:r>
        <w:rPr>
          <w:rFonts w:ascii="Times New Roman" w:eastAsia="仿宋"/>
          <w:sz w:val="28"/>
          <w:szCs w:val="28"/>
        </w:rPr>
        <w:fldChar w:fldCharType="separate"/>
      </w:r>
      <w:r>
        <w:rPr>
          <w:rFonts w:ascii="Times New Roman" w:eastAsia="仿宋"/>
          <w:sz w:val="28"/>
          <w:szCs w:val="28"/>
        </w:rPr>
        <w:t>56</w:t>
      </w:r>
      <w:r>
        <w:rPr>
          <w:rFonts w:ascii="Times New Roman" w:eastAsia="仿宋"/>
          <w:sz w:val="28"/>
          <w:szCs w:val="28"/>
        </w:rPr>
        <w:fldChar w:fldCharType="end"/>
      </w:r>
      <w:r>
        <w:rPr>
          <w:rFonts w:ascii="Times New Roman" w:eastAsia="仿宋"/>
          <w:sz w:val="28"/>
          <w:szCs w:val="28"/>
        </w:rPr>
        <w:fldChar w:fldCharType="end"/>
      </w:r>
    </w:p>
    <w:p w14:paraId="54154B3A">
      <w:pPr>
        <w:pStyle w:val="34"/>
        <w:rPr>
          <w:rFonts w:ascii="Times New Roman" w:eastAsia="仿宋"/>
          <w:smallCaps w:val="0"/>
          <w:sz w:val="28"/>
          <w:szCs w:val="28"/>
        </w:rPr>
      </w:pPr>
      <w:r>
        <w:fldChar w:fldCharType="begin"/>
      </w:r>
      <w:r>
        <w:instrText xml:space="preserve"> HYPERLINK \l "_Toc165395098" </w:instrText>
      </w:r>
      <w:r>
        <w:fldChar w:fldCharType="separate"/>
      </w:r>
      <w:r>
        <w:rPr>
          <w:rStyle w:val="47"/>
          <w:rFonts w:ascii="Times New Roman" w:eastAsia="仿宋"/>
          <w:bCs/>
          <w:sz w:val="28"/>
          <w:szCs w:val="28"/>
        </w:rPr>
        <w:t>12.1预案的评审</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_Toc165395098 \h </w:instrText>
      </w:r>
      <w:r>
        <w:rPr>
          <w:rFonts w:ascii="Times New Roman" w:eastAsia="仿宋"/>
          <w:sz w:val="28"/>
          <w:szCs w:val="28"/>
        </w:rPr>
        <w:fldChar w:fldCharType="separate"/>
      </w:r>
      <w:r>
        <w:rPr>
          <w:rFonts w:ascii="Times New Roman" w:eastAsia="仿宋"/>
          <w:sz w:val="28"/>
          <w:szCs w:val="28"/>
        </w:rPr>
        <w:t>56</w:t>
      </w:r>
      <w:r>
        <w:rPr>
          <w:rFonts w:ascii="Times New Roman" w:eastAsia="仿宋"/>
          <w:sz w:val="28"/>
          <w:szCs w:val="28"/>
        </w:rPr>
        <w:fldChar w:fldCharType="end"/>
      </w:r>
      <w:r>
        <w:rPr>
          <w:rFonts w:ascii="Times New Roman" w:eastAsia="仿宋"/>
          <w:sz w:val="28"/>
          <w:szCs w:val="28"/>
        </w:rPr>
        <w:fldChar w:fldCharType="end"/>
      </w:r>
    </w:p>
    <w:p w14:paraId="18D5DB66">
      <w:pPr>
        <w:pStyle w:val="34"/>
        <w:rPr>
          <w:rFonts w:ascii="Times New Roman" w:eastAsia="仿宋"/>
          <w:smallCaps w:val="0"/>
          <w:sz w:val="28"/>
          <w:szCs w:val="28"/>
        </w:rPr>
      </w:pPr>
      <w:r>
        <w:fldChar w:fldCharType="begin"/>
      </w:r>
      <w:r>
        <w:instrText xml:space="preserve"> HYPERLINK \l "_Toc165395099" </w:instrText>
      </w:r>
      <w:r>
        <w:fldChar w:fldCharType="separate"/>
      </w:r>
      <w:r>
        <w:rPr>
          <w:rStyle w:val="47"/>
          <w:rFonts w:ascii="Times New Roman" w:eastAsia="仿宋"/>
          <w:bCs/>
          <w:sz w:val="28"/>
          <w:szCs w:val="28"/>
        </w:rPr>
        <w:t>12.2预案的发布及更新</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_Toc165395099 \h </w:instrText>
      </w:r>
      <w:r>
        <w:rPr>
          <w:rFonts w:ascii="Times New Roman" w:eastAsia="仿宋"/>
          <w:sz w:val="28"/>
          <w:szCs w:val="28"/>
        </w:rPr>
        <w:fldChar w:fldCharType="separate"/>
      </w:r>
      <w:r>
        <w:rPr>
          <w:rFonts w:ascii="Times New Roman" w:eastAsia="仿宋"/>
          <w:sz w:val="28"/>
          <w:szCs w:val="28"/>
        </w:rPr>
        <w:t>56</w:t>
      </w:r>
      <w:r>
        <w:rPr>
          <w:rFonts w:ascii="Times New Roman" w:eastAsia="仿宋"/>
          <w:sz w:val="28"/>
          <w:szCs w:val="28"/>
        </w:rPr>
        <w:fldChar w:fldCharType="end"/>
      </w:r>
      <w:r>
        <w:rPr>
          <w:rFonts w:ascii="Times New Roman" w:eastAsia="仿宋"/>
          <w:sz w:val="28"/>
          <w:szCs w:val="28"/>
        </w:rPr>
        <w:fldChar w:fldCharType="end"/>
      </w:r>
    </w:p>
    <w:p w14:paraId="3201B4C7">
      <w:pPr>
        <w:pStyle w:val="34"/>
        <w:rPr>
          <w:rFonts w:ascii="Times New Roman" w:eastAsia="仿宋"/>
          <w:smallCaps w:val="0"/>
          <w:sz w:val="28"/>
          <w:szCs w:val="28"/>
        </w:rPr>
      </w:pPr>
      <w:r>
        <w:fldChar w:fldCharType="begin"/>
      </w:r>
      <w:r>
        <w:instrText xml:space="preserve"> HYPERLINK \l "_Toc165395100" </w:instrText>
      </w:r>
      <w:r>
        <w:fldChar w:fldCharType="separate"/>
      </w:r>
      <w:r>
        <w:rPr>
          <w:rStyle w:val="47"/>
          <w:rFonts w:ascii="Times New Roman" w:eastAsia="仿宋"/>
          <w:bCs/>
          <w:sz w:val="28"/>
          <w:szCs w:val="28"/>
        </w:rPr>
        <w:t>12.3预案实施和生效日期</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_Toc165395100 \h </w:instrText>
      </w:r>
      <w:r>
        <w:rPr>
          <w:rFonts w:ascii="Times New Roman" w:eastAsia="仿宋"/>
          <w:sz w:val="28"/>
          <w:szCs w:val="28"/>
        </w:rPr>
        <w:fldChar w:fldCharType="separate"/>
      </w:r>
      <w:r>
        <w:rPr>
          <w:rFonts w:ascii="Times New Roman" w:eastAsia="仿宋"/>
          <w:sz w:val="28"/>
          <w:szCs w:val="28"/>
        </w:rPr>
        <w:t>57</w:t>
      </w:r>
      <w:r>
        <w:rPr>
          <w:rFonts w:ascii="Times New Roman" w:eastAsia="仿宋"/>
          <w:sz w:val="28"/>
          <w:szCs w:val="28"/>
        </w:rPr>
        <w:fldChar w:fldCharType="end"/>
      </w:r>
      <w:r>
        <w:rPr>
          <w:rFonts w:ascii="Times New Roman" w:eastAsia="仿宋"/>
          <w:sz w:val="28"/>
          <w:szCs w:val="28"/>
        </w:rPr>
        <w:fldChar w:fldCharType="end"/>
      </w:r>
    </w:p>
    <w:p w14:paraId="1D5098E9">
      <w:pPr>
        <w:pStyle w:val="28"/>
        <w:rPr>
          <w:rFonts w:ascii="Times New Roman" w:eastAsia="仿宋"/>
          <w:b w:val="0"/>
          <w:caps w:val="0"/>
          <w:sz w:val="28"/>
          <w:szCs w:val="28"/>
        </w:rPr>
      </w:pPr>
      <w:r>
        <w:fldChar w:fldCharType="begin"/>
      </w:r>
      <w:r>
        <w:instrText xml:space="preserve"> HYPERLINK \l "_Toc165395101" </w:instrText>
      </w:r>
      <w:r>
        <w:fldChar w:fldCharType="separate"/>
      </w:r>
      <w:r>
        <w:rPr>
          <w:rStyle w:val="47"/>
          <w:rFonts w:ascii="Times New Roman" w:eastAsia="仿宋"/>
          <w:sz w:val="28"/>
          <w:szCs w:val="28"/>
        </w:rPr>
        <w:t>13附图附件</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_Toc165395101 \h </w:instrText>
      </w:r>
      <w:r>
        <w:rPr>
          <w:rFonts w:ascii="Times New Roman" w:eastAsia="仿宋"/>
          <w:sz w:val="28"/>
          <w:szCs w:val="28"/>
        </w:rPr>
        <w:fldChar w:fldCharType="separate"/>
      </w:r>
      <w:r>
        <w:rPr>
          <w:rFonts w:ascii="Times New Roman" w:eastAsia="仿宋"/>
          <w:sz w:val="28"/>
          <w:szCs w:val="28"/>
        </w:rPr>
        <w:t>58</w:t>
      </w:r>
      <w:r>
        <w:rPr>
          <w:rFonts w:ascii="Times New Roman" w:eastAsia="仿宋"/>
          <w:sz w:val="28"/>
          <w:szCs w:val="28"/>
        </w:rPr>
        <w:fldChar w:fldCharType="end"/>
      </w:r>
      <w:r>
        <w:rPr>
          <w:rFonts w:ascii="Times New Roman" w:eastAsia="仿宋"/>
          <w:sz w:val="28"/>
          <w:szCs w:val="28"/>
        </w:rPr>
        <w:fldChar w:fldCharType="end"/>
      </w:r>
    </w:p>
    <w:p w14:paraId="5FCA7BC4">
      <w:pPr>
        <w:widowControl/>
        <w:jc w:val="left"/>
        <w:rPr>
          <w:rFonts w:eastAsia="仿宋_GB2312"/>
          <w:sz w:val="28"/>
        </w:rPr>
        <w:sectPr>
          <w:headerReference r:id="rId3" w:type="default"/>
          <w:footerReference r:id="rId4" w:type="default"/>
          <w:pgSz w:w="11907" w:h="16839"/>
          <w:pgMar w:top="1440" w:right="1800" w:bottom="1440" w:left="1800" w:header="720" w:footer="720" w:gutter="0"/>
          <w:pgNumType w:fmt="upperRoman" w:start="1"/>
          <w:cols w:space="720" w:num="1"/>
          <w:docGrid w:linePitch="286" w:charSpace="0"/>
        </w:sectPr>
      </w:pPr>
      <w:r>
        <w:rPr>
          <w:rFonts w:eastAsia="仿宋"/>
          <w:sz w:val="28"/>
          <w:szCs w:val="28"/>
        </w:rPr>
        <w:fldChar w:fldCharType="end"/>
      </w:r>
    </w:p>
    <w:p w14:paraId="0671020B">
      <w:pPr>
        <w:widowControl/>
        <w:jc w:val="left"/>
        <w:rPr>
          <w:rFonts w:eastAsia="仿宋_GB2312"/>
          <w:sz w:val="24"/>
          <w:szCs w:val="24"/>
        </w:rPr>
      </w:pPr>
    </w:p>
    <w:p w14:paraId="2D70BF07">
      <w:pPr>
        <w:spacing w:line="360" w:lineRule="auto"/>
        <w:jc w:val="center"/>
        <w:rPr>
          <w:rFonts w:eastAsia="仿宋"/>
          <w:b/>
          <w:sz w:val="32"/>
          <w:szCs w:val="32"/>
        </w:rPr>
      </w:pPr>
      <w:r>
        <w:rPr>
          <w:rFonts w:eastAsia="仿宋"/>
          <w:b/>
          <w:sz w:val="32"/>
          <w:szCs w:val="32"/>
        </w:rPr>
        <w:t>发布令</w:t>
      </w:r>
    </w:p>
    <w:p w14:paraId="1203F74F">
      <w:pPr>
        <w:spacing w:line="360" w:lineRule="auto"/>
        <w:rPr>
          <w:rFonts w:eastAsia="仿宋"/>
          <w:sz w:val="28"/>
          <w:szCs w:val="28"/>
        </w:rPr>
      </w:pPr>
      <w:r>
        <w:rPr>
          <w:rFonts w:eastAsia="仿宋"/>
          <w:sz w:val="28"/>
          <w:szCs w:val="28"/>
        </w:rPr>
        <w:t>公司全体同仁：</w:t>
      </w:r>
    </w:p>
    <w:p w14:paraId="3B6DB30F">
      <w:pPr>
        <w:spacing w:line="360" w:lineRule="auto"/>
        <w:ind w:firstLine="560" w:firstLineChars="200"/>
        <w:rPr>
          <w:rFonts w:eastAsia="仿宋"/>
          <w:sz w:val="28"/>
          <w:szCs w:val="28"/>
        </w:rPr>
      </w:pPr>
      <w:r>
        <w:rPr>
          <w:rFonts w:eastAsia="仿宋"/>
          <w:sz w:val="28"/>
          <w:szCs w:val="28"/>
        </w:rPr>
        <w:t>为贯彻以人为本，预防为主的方针，提高公司应对突发事件和险情的处置能力，提升公司环境应急管理水平，保证员工生命财产安全，保护生态环境和资源，依据《中华人民共和国环境保护法》、《中华人民共和国水污染防治法》、《中华人民共和国大气污染防治法》、《中华人民共和国固体废物污染环境防治法》、《中华人民共和国突发事件应对法》、《企业事业单位突发环境事件应急预案管理办法（试行）》、《国家突发公共事件总体应急预案》、《国家突发环境事件应急预案》、《突发环境事件应急管理办法》、《天津市突发事件总体应急预案》、《天津市突发环境事件应急预案》、《危险化学品安全管理条例》、《国家危险废物名录》等法律、法规，公司制定了突发环境事件应急预案（2024年修订）。</w:t>
      </w:r>
    </w:p>
    <w:p w14:paraId="33EA5E83">
      <w:pPr>
        <w:spacing w:line="360" w:lineRule="auto"/>
        <w:ind w:firstLine="560" w:firstLineChars="200"/>
        <w:rPr>
          <w:rFonts w:eastAsia="仿宋"/>
          <w:sz w:val="28"/>
          <w:szCs w:val="28"/>
        </w:rPr>
      </w:pPr>
      <w:r>
        <w:rPr>
          <w:rFonts w:eastAsia="仿宋"/>
          <w:sz w:val="28"/>
          <w:szCs w:val="28"/>
        </w:rPr>
        <w:t>公司突发环境事件应急预案是公司应急管理工作纲领性文件，明确了公司应急机构及职责，建立了应急指挥系统及应急响应程序，是指导应急管理工作的指南，各部门要认真贯彻和学习，确保公司应急管理工作得到有效落实。</w:t>
      </w:r>
    </w:p>
    <w:p w14:paraId="19A15E6B">
      <w:pPr>
        <w:pStyle w:val="22"/>
        <w:rPr>
          <w:rFonts w:hint="eastAsia"/>
        </w:rPr>
      </w:pPr>
    </w:p>
    <w:p w14:paraId="1F9D58D1">
      <w:pPr>
        <w:pStyle w:val="22"/>
        <w:rPr>
          <w:rFonts w:hint="eastAsia"/>
        </w:rPr>
      </w:pPr>
    </w:p>
    <w:p w14:paraId="1A272E12">
      <w:pPr>
        <w:pStyle w:val="22"/>
        <w:rPr>
          <w:rFonts w:hint="eastAsia"/>
        </w:rPr>
      </w:pPr>
      <w:r>
        <w:t>批准人：</w:t>
      </w:r>
    </w:p>
    <w:p w14:paraId="18D7A85F">
      <w:pPr>
        <w:pStyle w:val="22"/>
        <w:rPr>
          <w:rFonts w:hint="eastAsia"/>
        </w:rPr>
        <w:sectPr>
          <w:headerReference r:id="rId5" w:type="default"/>
          <w:footerReference r:id="rId6" w:type="default"/>
          <w:pgSz w:w="11907" w:h="16839"/>
          <w:pgMar w:top="1440" w:right="1800" w:bottom="1440" w:left="1800" w:header="720" w:footer="720" w:gutter="0"/>
          <w:pgNumType w:fmt="lowerRoman" w:start="1"/>
          <w:cols w:space="720" w:num="1"/>
          <w:docGrid w:linePitch="286" w:charSpace="0"/>
        </w:sectPr>
      </w:pPr>
      <w:r>
        <w:t>年月日</w:t>
      </w:r>
    </w:p>
    <w:p w14:paraId="020A291D">
      <w:pPr>
        <w:pStyle w:val="2"/>
      </w:pPr>
    </w:p>
    <w:p w14:paraId="126DBF89">
      <w:pPr>
        <w:spacing w:before="120" w:beforeLines="50" w:after="120" w:afterLines="50" w:line="360" w:lineRule="auto"/>
        <w:ind w:right="-334" w:rightChars="-159"/>
        <w:jc w:val="center"/>
        <w:rPr>
          <w:rFonts w:eastAsia="仿宋_GB2312"/>
          <w:sz w:val="28"/>
          <w:szCs w:val="28"/>
        </w:rPr>
        <w:sectPr>
          <w:pgSz w:w="11907" w:h="16839"/>
          <w:pgMar w:top="1440" w:right="1800" w:bottom="1440" w:left="1800" w:header="720" w:footer="720" w:gutter="0"/>
          <w:pgNumType w:fmt="lowerRoman" w:start="1"/>
          <w:cols w:space="720" w:num="1"/>
          <w:docGrid w:linePitch="286" w:charSpace="0"/>
        </w:sectPr>
      </w:pPr>
    </w:p>
    <w:p w14:paraId="4F2F7A29">
      <w:pPr>
        <w:pStyle w:val="2"/>
      </w:pPr>
      <w:bookmarkStart w:id="5" w:name="_Toc165395056"/>
      <w:r>
        <w:t>1总</w:t>
      </w:r>
      <w:bookmarkEnd w:id="0"/>
      <w:bookmarkEnd w:id="1"/>
      <w:r>
        <w:t>则</w:t>
      </w:r>
      <w:bookmarkEnd w:id="5"/>
    </w:p>
    <w:p w14:paraId="2528AB97">
      <w:pPr>
        <w:spacing w:line="360" w:lineRule="auto"/>
        <w:outlineLvl w:val="1"/>
        <w:rPr>
          <w:rFonts w:eastAsia="黑体"/>
          <w:bCs/>
          <w:sz w:val="28"/>
          <w:szCs w:val="32"/>
        </w:rPr>
      </w:pPr>
      <w:bookmarkStart w:id="6" w:name="_Toc189475666"/>
      <w:bookmarkStart w:id="7" w:name="_Toc165395057"/>
      <w:bookmarkStart w:id="8" w:name="_Toc296521833"/>
      <w:r>
        <w:rPr>
          <w:rFonts w:eastAsia="黑体"/>
          <w:bCs/>
          <w:sz w:val="28"/>
          <w:szCs w:val="32"/>
        </w:rPr>
        <w:t>1.1编制</w:t>
      </w:r>
      <w:bookmarkEnd w:id="2"/>
      <w:bookmarkEnd w:id="6"/>
      <w:r>
        <w:rPr>
          <w:rFonts w:eastAsia="黑体"/>
          <w:bCs/>
          <w:sz w:val="28"/>
          <w:szCs w:val="32"/>
        </w:rPr>
        <w:t>目的</w:t>
      </w:r>
      <w:bookmarkEnd w:id="7"/>
      <w:bookmarkEnd w:id="8"/>
    </w:p>
    <w:p w14:paraId="5D58D474">
      <w:pPr>
        <w:pStyle w:val="61"/>
        <w:ind w:firstLine="560"/>
        <w:rPr>
          <w:kern w:val="0"/>
          <w:szCs w:val="28"/>
        </w:rPr>
      </w:pPr>
      <w:bookmarkStart w:id="9" w:name="_Toc296521834"/>
      <w:r>
        <w:rPr>
          <w:kern w:val="0"/>
          <w:szCs w:val="28"/>
        </w:rPr>
        <w:t>为有效应对突发环境事件，建立健全本</w:t>
      </w:r>
      <w:r>
        <w:rPr>
          <w:rFonts w:hint="eastAsia"/>
          <w:kern w:val="0"/>
          <w:szCs w:val="28"/>
        </w:rPr>
        <w:t>单位</w:t>
      </w:r>
      <w:r>
        <w:rPr>
          <w:kern w:val="0"/>
          <w:szCs w:val="28"/>
        </w:rPr>
        <w:t>环境污染事件应急机制，提高企业员工应对突发环境事件的能力，通过本预案的实施，对可能发生的隐患进行有效管理和控制，有效地防止突发性环境事件的发生，并能在发生事故后迅速、准确、有条不紊的开展应急处置，规范事发后的应对工作，提高事件应对能力，避免或减轻事件影响，加强企业与政府应对工作衔接，把损失和危害减少到最低程度。</w:t>
      </w:r>
    </w:p>
    <w:p w14:paraId="16B67E6A">
      <w:pPr>
        <w:spacing w:line="360" w:lineRule="auto"/>
        <w:outlineLvl w:val="1"/>
        <w:rPr>
          <w:rFonts w:eastAsia="黑体"/>
          <w:bCs/>
          <w:sz w:val="28"/>
          <w:szCs w:val="32"/>
        </w:rPr>
      </w:pPr>
      <w:bookmarkStart w:id="10" w:name="_Toc165395058"/>
      <w:r>
        <w:rPr>
          <w:rFonts w:eastAsia="黑体"/>
          <w:bCs/>
          <w:sz w:val="28"/>
          <w:szCs w:val="32"/>
        </w:rPr>
        <w:t>1.2编制依据</w:t>
      </w:r>
      <w:bookmarkEnd w:id="9"/>
      <w:bookmarkEnd w:id="10"/>
    </w:p>
    <w:p w14:paraId="07D79A22">
      <w:pPr>
        <w:spacing w:line="360" w:lineRule="auto"/>
        <w:outlineLvl w:val="2"/>
        <w:rPr>
          <w:rFonts w:eastAsia="仿宋_GB2312"/>
          <w:b/>
          <w:bCs/>
          <w:sz w:val="28"/>
          <w:szCs w:val="32"/>
        </w:rPr>
      </w:pPr>
      <w:bookmarkStart w:id="11" w:name="_Toc55920262"/>
      <w:bookmarkStart w:id="12" w:name="_Toc61514788"/>
      <w:bookmarkStart w:id="13" w:name="_Toc296521835"/>
      <w:r>
        <w:rPr>
          <w:rFonts w:eastAsia="仿宋_GB2312"/>
          <w:b/>
          <w:bCs/>
          <w:sz w:val="28"/>
          <w:szCs w:val="32"/>
        </w:rPr>
        <w:t>1.2.1法律</w:t>
      </w:r>
      <w:bookmarkEnd w:id="11"/>
      <w:bookmarkEnd w:id="12"/>
    </w:p>
    <w:p w14:paraId="2A525697">
      <w:pPr>
        <w:pStyle w:val="61"/>
        <w:ind w:firstLine="560"/>
        <w:rPr>
          <w:kern w:val="0"/>
          <w:szCs w:val="28"/>
        </w:rPr>
      </w:pPr>
      <w:r>
        <w:rPr>
          <w:kern w:val="0"/>
          <w:szCs w:val="28"/>
          <w:lang w:val="zh-CN"/>
        </w:rPr>
        <w:t>（</w:t>
      </w:r>
      <w:r>
        <w:rPr>
          <w:kern w:val="0"/>
          <w:szCs w:val="28"/>
        </w:rPr>
        <w:t>1</w:t>
      </w:r>
      <w:r>
        <w:rPr>
          <w:kern w:val="0"/>
          <w:szCs w:val="28"/>
          <w:lang w:val="zh-CN"/>
        </w:rPr>
        <w:t>）《中华人民共和国环境保护法》（2015年1月1日施行）；</w:t>
      </w:r>
    </w:p>
    <w:p w14:paraId="1071D76A">
      <w:pPr>
        <w:pStyle w:val="61"/>
        <w:ind w:firstLine="560"/>
        <w:rPr>
          <w:kern w:val="0"/>
          <w:szCs w:val="28"/>
        </w:rPr>
      </w:pPr>
      <w:r>
        <w:rPr>
          <w:kern w:val="0"/>
          <w:szCs w:val="28"/>
        </w:rPr>
        <w:t>（2）《中华人民共和国突发事件应对法》（20</w:t>
      </w:r>
      <w:r>
        <w:rPr>
          <w:rFonts w:hint="eastAsia"/>
          <w:kern w:val="0"/>
          <w:szCs w:val="28"/>
        </w:rPr>
        <w:t>24</w:t>
      </w:r>
      <w:r>
        <w:rPr>
          <w:kern w:val="0"/>
          <w:szCs w:val="28"/>
        </w:rPr>
        <w:t>年</w:t>
      </w:r>
      <w:r>
        <w:rPr>
          <w:rFonts w:hint="eastAsia"/>
          <w:kern w:val="0"/>
          <w:szCs w:val="28"/>
        </w:rPr>
        <w:t>6</w:t>
      </w:r>
      <w:r>
        <w:rPr>
          <w:kern w:val="0"/>
          <w:szCs w:val="28"/>
        </w:rPr>
        <w:t>月</w:t>
      </w:r>
      <w:r>
        <w:rPr>
          <w:rFonts w:hint="eastAsia"/>
          <w:kern w:val="0"/>
          <w:szCs w:val="28"/>
        </w:rPr>
        <w:t>28</w:t>
      </w:r>
      <w:r>
        <w:rPr>
          <w:kern w:val="0"/>
          <w:szCs w:val="28"/>
        </w:rPr>
        <w:t>日</w:t>
      </w:r>
      <w:r>
        <w:rPr>
          <w:rFonts w:hint="eastAsia"/>
          <w:kern w:val="0"/>
          <w:szCs w:val="28"/>
        </w:rPr>
        <w:t>修订</w:t>
      </w:r>
      <w:r>
        <w:rPr>
          <w:kern w:val="0"/>
          <w:szCs w:val="28"/>
        </w:rPr>
        <w:t>）；</w:t>
      </w:r>
    </w:p>
    <w:p w14:paraId="6F2460A1">
      <w:pPr>
        <w:pStyle w:val="61"/>
        <w:ind w:firstLine="560"/>
        <w:rPr>
          <w:kern w:val="0"/>
          <w:szCs w:val="28"/>
        </w:rPr>
      </w:pPr>
      <w:r>
        <w:rPr>
          <w:kern w:val="0"/>
          <w:szCs w:val="28"/>
        </w:rPr>
        <w:t>（3）《中华人民共和国安全生产法》（2021年9月1日施行）；</w:t>
      </w:r>
    </w:p>
    <w:p w14:paraId="57819730">
      <w:pPr>
        <w:pStyle w:val="61"/>
        <w:ind w:firstLine="560"/>
        <w:rPr>
          <w:kern w:val="0"/>
          <w:szCs w:val="28"/>
        </w:rPr>
      </w:pPr>
      <w:r>
        <w:rPr>
          <w:kern w:val="0"/>
          <w:szCs w:val="28"/>
        </w:rPr>
        <w:t>（4）《中华人民共和国水污染防治法》</w:t>
      </w:r>
      <w:r>
        <w:rPr>
          <w:kern w:val="0"/>
          <w:szCs w:val="28"/>
          <w:lang w:val="zh-CN"/>
        </w:rPr>
        <w:t>（201</w:t>
      </w:r>
      <w:r>
        <w:rPr>
          <w:kern w:val="0"/>
          <w:szCs w:val="28"/>
        </w:rPr>
        <w:t>7年修正</w:t>
      </w:r>
      <w:r>
        <w:rPr>
          <w:kern w:val="0"/>
          <w:szCs w:val="28"/>
          <w:lang w:val="zh-CN"/>
        </w:rPr>
        <w:t>）</w:t>
      </w:r>
      <w:r>
        <w:rPr>
          <w:kern w:val="0"/>
          <w:szCs w:val="28"/>
        </w:rPr>
        <w:t>；</w:t>
      </w:r>
    </w:p>
    <w:p w14:paraId="5807B959">
      <w:pPr>
        <w:pStyle w:val="61"/>
        <w:ind w:firstLine="560"/>
        <w:rPr>
          <w:kern w:val="0"/>
          <w:szCs w:val="28"/>
        </w:rPr>
      </w:pPr>
      <w:r>
        <w:rPr>
          <w:kern w:val="0"/>
          <w:szCs w:val="28"/>
        </w:rPr>
        <w:t>（5）《中华人民共和国大气污染防治法》（2018年修正）；</w:t>
      </w:r>
    </w:p>
    <w:p w14:paraId="766905D8">
      <w:pPr>
        <w:pStyle w:val="61"/>
        <w:ind w:firstLine="560"/>
        <w:rPr>
          <w:kern w:val="0"/>
          <w:szCs w:val="28"/>
        </w:rPr>
      </w:pPr>
      <w:r>
        <w:rPr>
          <w:kern w:val="0"/>
          <w:szCs w:val="28"/>
          <w:lang w:val="zh-CN"/>
        </w:rPr>
        <w:t>（</w:t>
      </w:r>
      <w:r>
        <w:rPr>
          <w:kern w:val="0"/>
          <w:szCs w:val="28"/>
        </w:rPr>
        <w:t>6</w:t>
      </w:r>
      <w:r>
        <w:rPr>
          <w:kern w:val="0"/>
          <w:szCs w:val="28"/>
          <w:lang w:val="zh-CN"/>
        </w:rPr>
        <w:t>）《中华人民共和国固体废物污染环境防治法》（2020年9月1日施行）；</w:t>
      </w:r>
    </w:p>
    <w:p w14:paraId="46FDD5FC">
      <w:pPr>
        <w:pStyle w:val="61"/>
        <w:ind w:firstLine="560"/>
        <w:rPr>
          <w:kern w:val="0"/>
          <w:szCs w:val="28"/>
        </w:rPr>
      </w:pPr>
      <w:r>
        <w:rPr>
          <w:kern w:val="0"/>
          <w:szCs w:val="28"/>
          <w:lang w:val="zh-CN"/>
        </w:rPr>
        <w:t>（</w:t>
      </w:r>
      <w:r>
        <w:rPr>
          <w:kern w:val="0"/>
          <w:szCs w:val="28"/>
        </w:rPr>
        <w:t>7</w:t>
      </w:r>
      <w:r>
        <w:rPr>
          <w:kern w:val="0"/>
          <w:szCs w:val="28"/>
          <w:lang w:val="zh-CN"/>
        </w:rPr>
        <w:t>）《中华人民共和国土壤污染防治法》（2019年1月1日施行）</w:t>
      </w:r>
      <w:r>
        <w:rPr>
          <w:kern w:val="0"/>
          <w:szCs w:val="28"/>
        </w:rPr>
        <w:t>。</w:t>
      </w:r>
    </w:p>
    <w:p w14:paraId="2DE2D96C">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2</w:t>
      </w:r>
      <w:r>
        <w:rPr>
          <w:rFonts w:eastAsia="仿宋_GB2312"/>
          <w:b/>
          <w:bCs/>
          <w:sz w:val="28"/>
          <w:szCs w:val="32"/>
        </w:rPr>
        <w:t>行政法规、政府部门规章及行政性文件</w:t>
      </w:r>
    </w:p>
    <w:p w14:paraId="0335BCB1">
      <w:pPr>
        <w:pStyle w:val="61"/>
        <w:ind w:firstLine="560"/>
        <w:rPr>
          <w:kern w:val="0"/>
          <w:szCs w:val="28"/>
          <w:lang w:val="zh-CN"/>
        </w:rPr>
      </w:pPr>
      <w:r>
        <w:rPr>
          <w:rFonts w:hint="eastAsia"/>
          <w:kern w:val="0"/>
          <w:szCs w:val="28"/>
          <w:lang w:val="zh-CN"/>
        </w:rPr>
        <w:t>（1）《突发环境事件应急管理办法》（2015年6月5日施行）；</w:t>
      </w:r>
    </w:p>
    <w:p w14:paraId="2EF99EE4">
      <w:pPr>
        <w:pStyle w:val="61"/>
        <w:ind w:firstLine="560"/>
        <w:rPr>
          <w:kern w:val="0"/>
          <w:szCs w:val="28"/>
          <w:lang w:val="zh-CN"/>
        </w:rPr>
      </w:pPr>
      <w:r>
        <w:rPr>
          <w:rFonts w:hint="eastAsia"/>
          <w:kern w:val="0"/>
          <w:szCs w:val="28"/>
          <w:lang w:val="zh-CN"/>
        </w:rPr>
        <w:t>（2）《突发环境事件信息报告办法》（2011年5月1日施行）；</w:t>
      </w:r>
    </w:p>
    <w:p w14:paraId="311B1B39">
      <w:pPr>
        <w:pStyle w:val="61"/>
        <w:ind w:firstLine="560"/>
        <w:rPr>
          <w:kern w:val="0"/>
          <w:szCs w:val="28"/>
          <w:lang w:val="zh-CN"/>
        </w:rPr>
      </w:pPr>
      <w:r>
        <w:rPr>
          <w:rFonts w:hint="eastAsia"/>
          <w:kern w:val="0"/>
          <w:szCs w:val="28"/>
          <w:lang w:val="zh-CN"/>
        </w:rPr>
        <w:t>（3）《突发环境事件调查处理办法》（2015年3月1日施行）</w:t>
      </w:r>
    </w:p>
    <w:p w14:paraId="2FBED7E5">
      <w:pPr>
        <w:pStyle w:val="61"/>
        <w:ind w:firstLine="560"/>
        <w:rPr>
          <w:kern w:val="0"/>
          <w:szCs w:val="28"/>
          <w:lang w:val="zh-CN"/>
        </w:rPr>
      </w:pPr>
      <w:r>
        <w:rPr>
          <w:rFonts w:hint="eastAsia"/>
          <w:kern w:val="0"/>
          <w:szCs w:val="28"/>
          <w:lang w:val="zh-CN"/>
        </w:rPr>
        <w:t>（4）《突发事件应急预案管理办法》（</w:t>
      </w:r>
      <w:r>
        <w:rPr>
          <w:rFonts w:hint="eastAsia"/>
          <w:kern w:val="0"/>
          <w:szCs w:val="28"/>
        </w:rPr>
        <w:t>国办发[2024]5号</w:t>
      </w:r>
      <w:r>
        <w:rPr>
          <w:rFonts w:hint="eastAsia"/>
          <w:kern w:val="0"/>
          <w:szCs w:val="28"/>
          <w:lang w:val="zh-CN"/>
        </w:rPr>
        <w:t>）；</w:t>
      </w:r>
    </w:p>
    <w:p w14:paraId="173C6F28">
      <w:pPr>
        <w:pStyle w:val="61"/>
        <w:ind w:firstLine="560"/>
        <w:rPr>
          <w:kern w:val="0"/>
          <w:szCs w:val="28"/>
          <w:lang w:val="zh-CN"/>
        </w:rPr>
      </w:pPr>
      <w:r>
        <w:rPr>
          <w:rFonts w:hint="eastAsia"/>
          <w:kern w:val="0"/>
          <w:szCs w:val="28"/>
          <w:lang w:val="zh-CN"/>
        </w:rPr>
        <w:t>（5）《国务院关于加强环境保护重点工作的意见》（国发[2011]35号）；</w:t>
      </w:r>
    </w:p>
    <w:p w14:paraId="7A1FABBF">
      <w:pPr>
        <w:pStyle w:val="61"/>
        <w:ind w:firstLine="560"/>
        <w:rPr>
          <w:kern w:val="0"/>
          <w:szCs w:val="28"/>
          <w:lang w:val="zh-CN"/>
        </w:rPr>
      </w:pPr>
      <w:r>
        <w:rPr>
          <w:rFonts w:hint="eastAsia"/>
          <w:kern w:val="0"/>
          <w:szCs w:val="28"/>
          <w:lang w:val="zh-CN"/>
        </w:rPr>
        <w:t>（6）《关于印发〈企业事业单位突发环境事件应急预案备案管理办法（试行）〉的通知》（环发[2015]4号）；</w:t>
      </w:r>
    </w:p>
    <w:p w14:paraId="09699A9C">
      <w:pPr>
        <w:pStyle w:val="61"/>
        <w:ind w:firstLine="560"/>
        <w:rPr>
          <w:kern w:val="0"/>
          <w:szCs w:val="28"/>
          <w:lang w:val="zh-CN"/>
        </w:rPr>
      </w:pPr>
      <w:r>
        <w:rPr>
          <w:rFonts w:hint="eastAsia"/>
          <w:kern w:val="0"/>
          <w:szCs w:val="28"/>
          <w:lang w:val="zh-CN"/>
        </w:rPr>
        <w:t>（7）《关于进一步加强环境风险评价管理防范环境风险的通知》（环发[2012]77号）；</w:t>
      </w:r>
    </w:p>
    <w:p w14:paraId="108977C8">
      <w:pPr>
        <w:pStyle w:val="61"/>
        <w:ind w:firstLine="560"/>
        <w:rPr>
          <w:kern w:val="0"/>
          <w:szCs w:val="28"/>
          <w:lang w:val="zh-CN"/>
        </w:rPr>
      </w:pPr>
      <w:r>
        <w:rPr>
          <w:rFonts w:hint="eastAsia"/>
          <w:kern w:val="0"/>
          <w:szCs w:val="28"/>
          <w:lang w:val="zh-CN"/>
        </w:rPr>
        <w:t>（</w:t>
      </w:r>
      <w:r>
        <w:rPr>
          <w:rFonts w:hint="eastAsia"/>
          <w:kern w:val="0"/>
          <w:szCs w:val="28"/>
        </w:rPr>
        <w:t>8</w:t>
      </w:r>
      <w:r>
        <w:rPr>
          <w:rFonts w:hint="eastAsia"/>
          <w:kern w:val="0"/>
          <w:szCs w:val="28"/>
          <w:lang w:val="zh-CN"/>
        </w:rPr>
        <w:t>）《企业突发环境事件隐患排查和治理工作指南（试行）》（环境保护部公告2016年第74号）；</w:t>
      </w:r>
    </w:p>
    <w:p w14:paraId="67EF9E2B">
      <w:pPr>
        <w:pStyle w:val="61"/>
        <w:ind w:firstLine="560"/>
        <w:rPr>
          <w:kern w:val="0"/>
          <w:szCs w:val="28"/>
          <w:lang w:val="zh-CN"/>
        </w:rPr>
      </w:pPr>
      <w:r>
        <w:rPr>
          <w:rFonts w:hint="eastAsia"/>
          <w:kern w:val="0"/>
          <w:szCs w:val="28"/>
          <w:lang w:val="zh-CN"/>
        </w:rPr>
        <w:t>（</w:t>
      </w:r>
      <w:r>
        <w:rPr>
          <w:rFonts w:hint="eastAsia"/>
          <w:kern w:val="0"/>
          <w:szCs w:val="28"/>
        </w:rPr>
        <w:t>9</w:t>
      </w:r>
      <w:r>
        <w:rPr>
          <w:rFonts w:hint="eastAsia"/>
          <w:kern w:val="0"/>
          <w:szCs w:val="28"/>
          <w:lang w:val="zh-CN"/>
        </w:rPr>
        <w:t>）《企业事业单位突发环境事件应急预案评审工作指南（试行）》（环办应急[2018]8号）；</w:t>
      </w:r>
    </w:p>
    <w:p w14:paraId="09815BB5">
      <w:pPr>
        <w:pStyle w:val="61"/>
        <w:ind w:firstLine="560"/>
        <w:rPr>
          <w:kern w:val="0"/>
          <w:szCs w:val="28"/>
          <w:lang w:val="zh-CN"/>
        </w:rPr>
      </w:pPr>
      <w:r>
        <w:rPr>
          <w:rFonts w:hint="eastAsia"/>
          <w:kern w:val="0"/>
          <w:szCs w:val="28"/>
          <w:lang w:val="zh-CN"/>
        </w:rPr>
        <w:t>（</w:t>
      </w:r>
      <w:r>
        <w:rPr>
          <w:rFonts w:hint="eastAsia"/>
          <w:kern w:val="0"/>
          <w:szCs w:val="28"/>
        </w:rPr>
        <w:t>10</w:t>
      </w:r>
      <w:r>
        <w:rPr>
          <w:rFonts w:hint="eastAsia"/>
          <w:kern w:val="0"/>
          <w:szCs w:val="28"/>
          <w:lang w:val="zh-CN"/>
        </w:rPr>
        <w:t>）《危险化学品目录》（</w:t>
      </w:r>
      <w:r>
        <w:rPr>
          <w:rFonts w:hint="eastAsia"/>
          <w:kern w:val="0"/>
          <w:szCs w:val="28"/>
        </w:rPr>
        <w:t>2022调整版</w:t>
      </w:r>
      <w:r>
        <w:rPr>
          <w:rFonts w:hint="eastAsia"/>
          <w:kern w:val="0"/>
          <w:szCs w:val="28"/>
          <w:lang w:val="zh-CN"/>
        </w:rPr>
        <w:t>）；</w:t>
      </w:r>
    </w:p>
    <w:p w14:paraId="22603B9E">
      <w:pPr>
        <w:pStyle w:val="61"/>
        <w:ind w:firstLine="560"/>
        <w:rPr>
          <w:kern w:val="0"/>
          <w:szCs w:val="28"/>
          <w:lang w:val="zh-CN"/>
        </w:rPr>
      </w:pPr>
      <w:r>
        <w:rPr>
          <w:rFonts w:hint="eastAsia"/>
          <w:kern w:val="0"/>
          <w:szCs w:val="28"/>
          <w:lang w:val="zh-CN"/>
        </w:rPr>
        <w:t>（</w:t>
      </w:r>
      <w:r>
        <w:rPr>
          <w:rFonts w:hint="eastAsia"/>
          <w:kern w:val="0"/>
          <w:szCs w:val="28"/>
        </w:rPr>
        <w:t>11</w:t>
      </w:r>
      <w:r>
        <w:rPr>
          <w:rFonts w:hint="eastAsia"/>
          <w:kern w:val="0"/>
          <w:szCs w:val="28"/>
          <w:lang w:val="zh-CN"/>
        </w:rPr>
        <w:t>）《国家危险废物名录（2021年版）》</w:t>
      </w:r>
      <w:r>
        <w:rPr>
          <w:kern w:val="0"/>
          <w:szCs w:val="28"/>
          <w:lang w:val="zh-CN"/>
        </w:rPr>
        <w:t>。</w:t>
      </w:r>
    </w:p>
    <w:p w14:paraId="34C56AF5">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3地方</w:t>
      </w:r>
      <w:r>
        <w:rPr>
          <w:rFonts w:eastAsia="仿宋_GB2312"/>
          <w:b/>
          <w:bCs/>
          <w:sz w:val="28"/>
          <w:szCs w:val="32"/>
        </w:rPr>
        <w:t>行政性文件</w:t>
      </w:r>
    </w:p>
    <w:p w14:paraId="167182A8">
      <w:pPr>
        <w:pStyle w:val="61"/>
        <w:ind w:firstLine="560"/>
        <w:rPr>
          <w:kern w:val="0"/>
          <w:szCs w:val="28"/>
          <w:lang w:val="zh-CN"/>
        </w:rPr>
      </w:pPr>
      <w:r>
        <w:rPr>
          <w:rFonts w:hint="eastAsia"/>
          <w:kern w:val="0"/>
          <w:szCs w:val="28"/>
          <w:lang w:val="zh-CN"/>
        </w:rPr>
        <w:t>（1）《天津市生态环境保护条例》（2019年3月1日起施行）；</w:t>
      </w:r>
    </w:p>
    <w:p w14:paraId="7C0E64EA">
      <w:pPr>
        <w:pStyle w:val="61"/>
        <w:ind w:firstLine="560"/>
        <w:rPr>
          <w:kern w:val="0"/>
          <w:szCs w:val="28"/>
          <w:lang w:val="zh-CN"/>
        </w:rPr>
      </w:pPr>
      <w:r>
        <w:rPr>
          <w:rFonts w:hint="eastAsia"/>
          <w:kern w:val="0"/>
          <w:szCs w:val="28"/>
          <w:lang w:val="zh-CN"/>
        </w:rPr>
        <w:t>（2）《天津市大气污染防治条例》（2020年9月25日天津市第十七届人民代表大会常务委员会第二十三次会议《关于修改〈天津市供电用电条例〉等七部地方性法规的决定》）；</w:t>
      </w:r>
    </w:p>
    <w:p w14:paraId="16189EFD">
      <w:pPr>
        <w:pStyle w:val="61"/>
        <w:ind w:firstLine="560"/>
        <w:rPr>
          <w:kern w:val="0"/>
          <w:szCs w:val="28"/>
          <w:lang w:val="zh-CN"/>
        </w:rPr>
      </w:pPr>
      <w:r>
        <w:rPr>
          <w:rFonts w:hint="eastAsia"/>
          <w:kern w:val="0"/>
          <w:szCs w:val="28"/>
          <w:lang w:val="zh-CN"/>
        </w:rPr>
        <w:t>（3）《天津市水污染防治条例》（2020年9月25日天津市第十七届人民代表大会常务委员会第二十三次会议《关于修改〈天津市供电用电条例〉等七部地方性法规的决定》第三次修正）；</w:t>
      </w:r>
    </w:p>
    <w:p w14:paraId="56C85F44">
      <w:pPr>
        <w:pStyle w:val="61"/>
        <w:ind w:firstLine="560"/>
        <w:rPr>
          <w:kern w:val="0"/>
          <w:szCs w:val="28"/>
          <w:lang w:val="zh-CN"/>
        </w:rPr>
      </w:pPr>
      <w:r>
        <w:rPr>
          <w:rFonts w:hint="eastAsia"/>
          <w:kern w:val="0"/>
          <w:szCs w:val="28"/>
          <w:lang w:val="zh-CN"/>
        </w:rPr>
        <w:t>（4）《市环保局关于做好企业事业单位突发环境事件应急预案备案管理工作的通知》（津环保应[2015]40号）；</w:t>
      </w:r>
    </w:p>
    <w:p w14:paraId="1235DBB5">
      <w:pPr>
        <w:pStyle w:val="61"/>
        <w:ind w:firstLine="560"/>
        <w:rPr>
          <w:kern w:val="0"/>
          <w:szCs w:val="28"/>
          <w:lang w:val="zh-CN"/>
        </w:rPr>
      </w:pPr>
      <w:r>
        <w:rPr>
          <w:rFonts w:hint="eastAsia"/>
          <w:kern w:val="0"/>
          <w:szCs w:val="28"/>
          <w:lang w:val="zh-CN"/>
        </w:rPr>
        <w:t>（</w:t>
      </w:r>
      <w:r>
        <w:rPr>
          <w:rFonts w:hint="eastAsia"/>
          <w:kern w:val="0"/>
          <w:szCs w:val="28"/>
        </w:rPr>
        <w:t>5</w:t>
      </w:r>
      <w:r>
        <w:rPr>
          <w:rFonts w:hint="eastAsia"/>
          <w:kern w:val="0"/>
          <w:szCs w:val="28"/>
          <w:lang w:val="zh-CN"/>
        </w:rPr>
        <w:t>）《关于印发&lt;天津市突发环境事件应急预案编制导则&gt;（工业园区版、企业版）的通知》（津环保监[2010]229号）；</w:t>
      </w:r>
    </w:p>
    <w:p w14:paraId="367EC4CF">
      <w:pPr>
        <w:pStyle w:val="61"/>
        <w:ind w:firstLine="560"/>
        <w:rPr>
          <w:kern w:val="0"/>
          <w:szCs w:val="28"/>
          <w:lang w:val="zh-CN"/>
        </w:rPr>
      </w:pPr>
      <w:r>
        <w:rPr>
          <w:rFonts w:hint="eastAsia"/>
          <w:kern w:val="0"/>
          <w:szCs w:val="28"/>
          <w:lang w:val="zh-CN"/>
        </w:rPr>
        <w:t>（</w:t>
      </w:r>
      <w:r>
        <w:rPr>
          <w:rFonts w:hint="eastAsia"/>
          <w:kern w:val="0"/>
          <w:szCs w:val="28"/>
        </w:rPr>
        <w:t>6</w:t>
      </w:r>
      <w:r>
        <w:rPr>
          <w:rFonts w:hint="eastAsia"/>
          <w:kern w:val="0"/>
          <w:szCs w:val="28"/>
          <w:lang w:val="zh-CN"/>
        </w:rPr>
        <w:t>）关于印发《天津市环保局突发环境事件应急预案》的通知（2014年5月31日）；</w:t>
      </w:r>
    </w:p>
    <w:p w14:paraId="1ED25727">
      <w:pPr>
        <w:pStyle w:val="61"/>
        <w:ind w:firstLine="560"/>
        <w:rPr>
          <w:kern w:val="0"/>
          <w:szCs w:val="28"/>
          <w:lang w:val="zh-CN"/>
        </w:rPr>
      </w:pPr>
      <w:r>
        <w:rPr>
          <w:rFonts w:hint="eastAsia"/>
          <w:kern w:val="0"/>
          <w:szCs w:val="28"/>
          <w:lang w:val="zh-CN"/>
        </w:rPr>
        <w:t>（</w:t>
      </w:r>
      <w:r>
        <w:rPr>
          <w:rFonts w:hint="eastAsia"/>
          <w:kern w:val="0"/>
          <w:szCs w:val="28"/>
        </w:rPr>
        <w:t>7</w:t>
      </w:r>
      <w:r>
        <w:rPr>
          <w:rFonts w:hint="eastAsia"/>
          <w:kern w:val="0"/>
          <w:szCs w:val="28"/>
          <w:lang w:val="zh-CN"/>
        </w:rPr>
        <w:t>）《天津市突发事件应急预案管理办法》（2014年6月17日发布并实施）</w:t>
      </w:r>
    </w:p>
    <w:p w14:paraId="642008DB">
      <w:pPr>
        <w:pStyle w:val="61"/>
        <w:ind w:firstLine="560"/>
        <w:rPr>
          <w:kern w:val="0"/>
          <w:szCs w:val="28"/>
          <w:lang w:val="zh-CN"/>
        </w:rPr>
      </w:pPr>
      <w:r>
        <w:rPr>
          <w:rFonts w:hint="eastAsia"/>
          <w:kern w:val="0"/>
          <w:szCs w:val="28"/>
          <w:lang w:val="zh-CN"/>
        </w:rPr>
        <w:t>（</w:t>
      </w:r>
      <w:r>
        <w:rPr>
          <w:rFonts w:hint="eastAsia"/>
          <w:kern w:val="0"/>
          <w:szCs w:val="28"/>
        </w:rPr>
        <w:t>8</w:t>
      </w:r>
      <w:r>
        <w:rPr>
          <w:rFonts w:hint="eastAsia"/>
          <w:kern w:val="0"/>
          <w:szCs w:val="28"/>
          <w:lang w:val="zh-CN"/>
        </w:rPr>
        <w:t>）《天津市人民政府关于印发&lt;天津市突发事件总体应急预案&gt;的通知》（津政规〔2021〕1号）；</w:t>
      </w:r>
    </w:p>
    <w:p w14:paraId="55E6F356">
      <w:pPr>
        <w:pStyle w:val="61"/>
        <w:ind w:firstLine="560"/>
        <w:rPr>
          <w:kern w:val="0"/>
          <w:szCs w:val="28"/>
          <w:lang w:val="zh-CN"/>
        </w:rPr>
      </w:pPr>
      <w:r>
        <w:rPr>
          <w:rFonts w:hint="eastAsia"/>
          <w:kern w:val="0"/>
          <w:szCs w:val="28"/>
          <w:lang w:val="zh-CN"/>
        </w:rPr>
        <w:t>（</w:t>
      </w:r>
      <w:r>
        <w:rPr>
          <w:rFonts w:hint="eastAsia"/>
          <w:kern w:val="0"/>
          <w:szCs w:val="28"/>
        </w:rPr>
        <w:t>9</w:t>
      </w:r>
      <w:r>
        <w:rPr>
          <w:rFonts w:hint="eastAsia"/>
          <w:kern w:val="0"/>
          <w:szCs w:val="28"/>
          <w:lang w:val="zh-CN"/>
        </w:rPr>
        <w:t>）《天津市人民政府办公厅关于印发&lt;天津市森林火灾应急预案等14个专项应急预案&gt;的通知》（津政办规〔2022〕2号）；</w:t>
      </w:r>
    </w:p>
    <w:p w14:paraId="2D08AF89">
      <w:pPr>
        <w:pStyle w:val="61"/>
        <w:ind w:firstLine="560"/>
        <w:rPr>
          <w:kern w:val="0"/>
          <w:szCs w:val="28"/>
          <w:lang w:val="zh-CN"/>
        </w:rPr>
      </w:pPr>
      <w:r>
        <w:rPr>
          <w:rFonts w:hint="eastAsia"/>
          <w:kern w:val="0"/>
          <w:szCs w:val="28"/>
          <w:lang w:val="zh-CN"/>
        </w:rPr>
        <w:t>（10）天津市津南区人民政府办公室关于印发津南区突发环境事件应急预案的通知（《津南区突发环境事件</w:t>
      </w:r>
      <w:r>
        <w:rPr>
          <w:rFonts w:hint="eastAsia"/>
          <w:kern w:val="0"/>
          <w:szCs w:val="28"/>
        </w:rPr>
        <w:t>总体</w:t>
      </w:r>
      <w:r>
        <w:rPr>
          <w:rFonts w:hint="eastAsia"/>
          <w:kern w:val="0"/>
          <w:szCs w:val="28"/>
          <w:lang w:val="zh-CN"/>
        </w:rPr>
        <w:t>应急预案》）（津南政办规〔202</w:t>
      </w:r>
      <w:r>
        <w:rPr>
          <w:rFonts w:hint="eastAsia"/>
          <w:kern w:val="0"/>
          <w:szCs w:val="28"/>
        </w:rPr>
        <w:t>1</w:t>
      </w:r>
      <w:r>
        <w:rPr>
          <w:rFonts w:hint="eastAsia"/>
          <w:kern w:val="0"/>
          <w:szCs w:val="28"/>
          <w:lang w:val="zh-CN"/>
        </w:rPr>
        <w:t>〕</w:t>
      </w:r>
      <w:r>
        <w:rPr>
          <w:rFonts w:hint="eastAsia"/>
          <w:kern w:val="0"/>
          <w:szCs w:val="28"/>
        </w:rPr>
        <w:t>2</w:t>
      </w:r>
      <w:r>
        <w:rPr>
          <w:rFonts w:hint="eastAsia"/>
          <w:kern w:val="0"/>
          <w:szCs w:val="28"/>
          <w:lang w:val="zh-CN"/>
        </w:rPr>
        <w:t>号）。</w:t>
      </w:r>
    </w:p>
    <w:p w14:paraId="552A92F7">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4标准、技术规范</w:t>
      </w:r>
    </w:p>
    <w:p w14:paraId="3BB174F9">
      <w:pPr>
        <w:pStyle w:val="61"/>
        <w:ind w:firstLine="560"/>
        <w:rPr>
          <w:kern w:val="0"/>
          <w:szCs w:val="28"/>
          <w:lang w:val="zh-CN"/>
        </w:rPr>
      </w:pPr>
      <w:r>
        <w:rPr>
          <w:rFonts w:hint="eastAsia"/>
          <w:kern w:val="0"/>
          <w:szCs w:val="28"/>
          <w:lang w:val="zh-CN"/>
        </w:rPr>
        <w:t>（1）《环境应急资源调查指南（试行）》（环办应急[2019]17号）；</w:t>
      </w:r>
    </w:p>
    <w:p w14:paraId="02020521">
      <w:pPr>
        <w:pStyle w:val="61"/>
        <w:ind w:firstLine="560"/>
        <w:rPr>
          <w:kern w:val="0"/>
          <w:szCs w:val="28"/>
          <w:lang w:val="zh-CN"/>
        </w:rPr>
      </w:pPr>
      <w:r>
        <w:rPr>
          <w:rFonts w:hint="eastAsia"/>
          <w:kern w:val="0"/>
          <w:szCs w:val="28"/>
          <w:lang w:val="zh-CN"/>
        </w:rPr>
        <w:t>（2）《企业突发环境事件风险评估指南（试行）》（2014年4月生效）（环办[2014]34号）；</w:t>
      </w:r>
    </w:p>
    <w:p w14:paraId="2A35A806">
      <w:pPr>
        <w:pStyle w:val="61"/>
        <w:ind w:firstLine="560"/>
        <w:rPr>
          <w:kern w:val="0"/>
          <w:szCs w:val="28"/>
          <w:lang w:val="zh-CN"/>
        </w:rPr>
      </w:pPr>
      <w:r>
        <w:rPr>
          <w:rFonts w:hint="eastAsia"/>
          <w:kern w:val="0"/>
          <w:szCs w:val="28"/>
          <w:lang w:val="zh-CN"/>
        </w:rPr>
        <w:t>（3）《企业事业单位突发环境事件应急预案评审工作指南》（环办应急[2018]8号）；</w:t>
      </w:r>
    </w:p>
    <w:p w14:paraId="0C214C3B">
      <w:pPr>
        <w:pStyle w:val="61"/>
        <w:ind w:firstLine="560"/>
        <w:rPr>
          <w:kern w:val="0"/>
          <w:szCs w:val="28"/>
          <w:lang w:val="zh-CN"/>
        </w:rPr>
      </w:pPr>
      <w:r>
        <w:rPr>
          <w:rFonts w:hint="eastAsia"/>
          <w:kern w:val="0"/>
          <w:szCs w:val="28"/>
          <w:lang w:val="zh-CN"/>
        </w:rPr>
        <w:t>（4）《建设项目环境风险评价技术导则》（HJ169-2018）；</w:t>
      </w:r>
    </w:p>
    <w:p w14:paraId="771923E8">
      <w:pPr>
        <w:pStyle w:val="61"/>
        <w:ind w:firstLine="560"/>
        <w:rPr>
          <w:kern w:val="0"/>
          <w:szCs w:val="28"/>
          <w:lang w:val="zh-CN"/>
        </w:rPr>
      </w:pPr>
      <w:r>
        <w:rPr>
          <w:rFonts w:hint="eastAsia"/>
          <w:kern w:val="0"/>
          <w:szCs w:val="28"/>
          <w:lang w:val="zh-CN"/>
        </w:rPr>
        <w:t>（5）《企业突发环境事件风险分级方法》（HJ941-2018）；</w:t>
      </w:r>
    </w:p>
    <w:p w14:paraId="7C4D6A89">
      <w:pPr>
        <w:pStyle w:val="61"/>
        <w:ind w:firstLine="560"/>
        <w:rPr>
          <w:kern w:val="0"/>
          <w:szCs w:val="28"/>
          <w:lang w:val="zh-CN"/>
        </w:rPr>
      </w:pPr>
      <w:r>
        <w:rPr>
          <w:rFonts w:hint="eastAsia"/>
          <w:kern w:val="0"/>
          <w:szCs w:val="28"/>
          <w:lang w:val="zh-CN"/>
        </w:rPr>
        <w:t>（6）《突发环境事件应急监测技术规范》（HJ589-2021）。</w:t>
      </w:r>
    </w:p>
    <w:p w14:paraId="023212B8">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5其他文件</w:t>
      </w:r>
    </w:p>
    <w:p w14:paraId="58EF51DC">
      <w:pPr>
        <w:pStyle w:val="61"/>
        <w:ind w:firstLine="560"/>
        <w:rPr>
          <w:kern w:val="0"/>
          <w:szCs w:val="28"/>
          <w:highlight w:val="yellow"/>
          <w:lang w:val="zh-CN"/>
        </w:rPr>
      </w:pPr>
      <w:bookmarkStart w:id="14" w:name="_Toc165395059"/>
      <w:r>
        <w:rPr>
          <w:rFonts w:hint="eastAsia"/>
          <w:kern w:val="0"/>
          <w:szCs w:val="28"/>
          <w:highlight w:val="none"/>
          <w:lang w:val="zh-CN"/>
        </w:rPr>
        <w:t>（</w:t>
      </w:r>
      <w:r>
        <w:rPr>
          <w:rFonts w:hint="eastAsia"/>
          <w:kern w:val="0"/>
          <w:szCs w:val="28"/>
          <w:highlight w:val="none"/>
        </w:rPr>
        <w:t>1</w:t>
      </w:r>
      <w:r>
        <w:rPr>
          <w:rFonts w:hint="eastAsia"/>
          <w:kern w:val="0"/>
          <w:szCs w:val="28"/>
          <w:highlight w:val="none"/>
          <w:lang w:val="zh-CN"/>
        </w:rPr>
        <w:t>）《关于中国石化销售股份有限公司天津石油分公司津南水利加油站</w:t>
      </w:r>
      <w:r>
        <w:rPr>
          <w:rFonts w:hint="eastAsia"/>
          <w:kern w:val="0"/>
          <w:szCs w:val="28"/>
          <w:highlight w:val="none"/>
          <w:lang w:val="en-US" w:eastAsia="zh-CN"/>
        </w:rPr>
        <w:t>改建工程项目建议书的批复</w:t>
      </w:r>
      <w:r>
        <w:rPr>
          <w:rFonts w:hint="eastAsia"/>
          <w:kern w:val="0"/>
          <w:szCs w:val="28"/>
          <w:highlight w:val="none"/>
          <w:lang w:val="zh-CN"/>
        </w:rPr>
        <w:t>》，（</w:t>
      </w:r>
      <w:r>
        <w:rPr>
          <w:rFonts w:hint="eastAsia"/>
          <w:kern w:val="0"/>
          <w:szCs w:val="28"/>
          <w:highlight w:val="none"/>
          <w:lang w:val="en-US" w:eastAsia="zh-CN"/>
        </w:rPr>
        <w:t>津南发改投资【2011】088号</w:t>
      </w:r>
      <w:r>
        <w:rPr>
          <w:rFonts w:hint="eastAsia"/>
          <w:kern w:val="0"/>
          <w:szCs w:val="28"/>
          <w:highlight w:val="none"/>
          <w:lang w:val="zh-CN"/>
        </w:rPr>
        <w:t>）；</w:t>
      </w:r>
    </w:p>
    <w:p w14:paraId="4A84ACA0">
      <w:pPr>
        <w:pStyle w:val="61"/>
        <w:ind w:firstLine="560"/>
        <w:rPr>
          <w:kern w:val="0"/>
          <w:szCs w:val="28"/>
          <w:highlight w:val="none"/>
          <w:lang w:val="zh-CN"/>
        </w:rPr>
      </w:pPr>
      <w:r>
        <w:rPr>
          <w:rFonts w:hint="eastAsia"/>
          <w:kern w:val="0"/>
          <w:szCs w:val="28"/>
          <w:highlight w:val="none"/>
          <w:lang w:val="zh-CN"/>
        </w:rPr>
        <w:t>（</w:t>
      </w:r>
      <w:r>
        <w:rPr>
          <w:rFonts w:hint="eastAsia"/>
          <w:kern w:val="0"/>
          <w:szCs w:val="28"/>
          <w:highlight w:val="none"/>
        </w:rPr>
        <w:t>2</w:t>
      </w:r>
      <w:r>
        <w:rPr>
          <w:rFonts w:hint="eastAsia"/>
          <w:kern w:val="0"/>
          <w:szCs w:val="28"/>
          <w:highlight w:val="none"/>
          <w:lang w:val="zh-CN"/>
        </w:rPr>
        <w:t>）《中国石化销售股份有限公司天津石油分公司津南水利加油站突发环境事件应急预案》2021年</w:t>
      </w:r>
      <w:r>
        <w:rPr>
          <w:rFonts w:hint="eastAsia"/>
          <w:kern w:val="0"/>
          <w:szCs w:val="28"/>
          <w:highlight w:val="none"/>
        </w:rPr>
        <w:t>12</w:t>
      </w:r>
      <w:r>
        <w:rPr>
          <w:rFonts w:hint="eastAsia"/>
          <w:kern w:val="0"/>
          <w:szCs w:val="28"/>
          <w:highlight w:val="none"/>
          <w:lang w:val="zh-CN"/>
        </w:rPr>
        <w:t>月</w:t>
      </w:r>
      <w:r>
        <w:rPr>
          <w:rFonts w:hint="eastAsia"/>
          <w:kern w:val="0"/>
          <w:szCs w:val="28"/>
          <w:highlight w:val="none"/>
        </w:rPr>
        <w:t>1</w:t>
      </w:r>
      <w:r>
        <w:rPr>
          <w:rFonts w:hint="eastAsia"/>
          <w:kern w:val="0"/>
          <w:szCs w:val="28"/>
          <w:highlight w:val="none"/>
          <w:lang w:val="en-US" w:eastAsia="zh-CN"/>
        </w:rPr>
        <w:t>0</w:t>
      </w:r>
      <w:r>
        <w:rPr>
          <w:rFonts w:hint="eastAsia"/>
          <w:kern w:val="0"/>
          <w:szCs w:val="28"/>
          <w:highlight w:val="none"/>
          <w:lang w:val="zh-CN"/>
        </w:rPr>
        <w:t>日经天津市</w:t>
      </w:r>
      <w:r>
        <w:rPr>
          <w:rFonts w:hint="eastAsia"/>
          <w:kern w:val="0"/>
          <w:szCs w:val="28"/>
          <w:highlight w:val="none"/>
          <w:lang w:val="en-US" w:eastAsia="zh-CN"/>
        </w:rPr>
        <w:t>津南</w:t>
      </w:r>
      <w:r>
        <w:rPr>
          <w:rFonts w:hint="eastAsia"/>
          <w:kern w:val="0"/>
          <w:szCs w:val="28"/>
          <w:highlight w:val="none"/>
          <w:lang w:val="zh-CN"/>
        </w:rPr>
        <w:t>区生态环境局备案，备案编号：120</w:t>
      </w:r>
      <w:r>
        <w:rPr>
          <w:rFonts w:hint="eastAsia"/>
          <w:kern w:val="0"/>
          <w:szCs w:val="28"/>
          <w:highlight w:val="none"/>
        </w:rPr>
        <w:t>11</w:t>
      </w:r>
      <w:r>
        <w:rPr>
          <w:rFonts w:hint="eastAsia"/>
          <w:kern w:val="0"/>
          <w:szCs w:val="28"/>
          <w:highlight w:val="none"/>
          <w:lang w:val="en-US" w:eastAsia="zh-CN"/>
        </w:rPr>
        <w:t>2</w:t>
      </w:r>
      <w:r>
        <w:rPr>
          <w:rFonts w:hint="eastAsia"/>
          <w:kern w:val="0"/>
          <w:szCs w:val="28"/>
          <w:highlight w:val="none"/>
          <w:lang w:val="zh-CN"/>
        </w:rPr>
        <w:t>-2021-</w:t>
      </w:r>
      <w:r>
        <w:rPr>
          <w:rFonts w:hint="eastAsia"/>
          <w:kern w:val="0"/>
          <w:szCs w:val="28"/>
          <w:highlight w:val="none"/>
        </w:rPr>
        <w:t>1</w:t>
      </w:r>
      <w:r>
        <w:rPr>
          <w:rFonts w:hint="eastAsia"/>
          <w:kern w:val="0"/>
          <w:szCs w:val="28"/>
          <w:highlight w:val="none"/>
          <w:lang w:val="en-US" w:eastAsia="zh-CN"/>
        </w:rPr>
        <w:t>27</w:t>
      </w:r>
      <w:r>
        <w:rPr>
          <w:rFonts w:hint="eastAsia"/>
          <w:kern w:val="0"/>
          <w:szCs w:val="28"/>
          <w:highlight w:val="none"/>
          <w:lang w:val="zh-CN"/>
        </w:rPr>
        <w:t>-L</w:t>
      </w:r>
      <w:r>
        <w:rPr>
          <w:kern w:val="0"/>
          <w:szCs w:val="28"/>
          <w:highlight w:val="none"/>
          <w:lang w:val="zh-CN"/>
        </w:rPr>
        <w:t>；</w:t>
      </w:r>
    </w:p>
    <w:p w14:paraId="2803D5DE">
      <w:pPr>
        <w:pStyle w:val="61"/>
        <w:ind w:firstLine="560"/>
        <w:rPr>
          <w:kern w:val="0"/>
          <w:szCs w:val="28"/>
          <w:highlight w:val="none"/>
          <w:lang w:val="zh-CN"/>
        </w:rPr>
      </w:pPr>
      <w:r>
        <w:rPr>
          <w:rFonts w:hint="eastAsia"/>
          <w:kern w:val="0"/>
          <w:szCs w:val="28"/>
          <w:highlight w:val="none"/>
          <w:lang w:val="zh-CN"/>
        </w:rPr>
        <w:t>（</w:t>
      </w:r>
      <w:r>
        <w:rPr>
          <w:rFonts w:hint="eastAsia"/>
          <w:kern w:val="0"/>
          <w:szCs w:val="28"/>
          <w:highlight w:val="none"/>
        </w:rPr>
        <w:t>3</w:t>
      </w:r>
      <w:r>
        <w:rPr>
          <w:rFonts w:hint="eastAsia"/>
          <w:kern w:val="0"/>
          <w:szCs w:val="28"/>
          <w:highlight w:val="none"/>
          <w:lang w:val="zh-CN"/>
        </w:rPr>
        <w:t>）企业其他相关技术资料。</w:t>
      </w:r>
    </w:p>
    <w:p w14:paraId="0AB2D31A">
      <w:pPr>
        <w:spacing w:line="360" w:lineRule="auto"/>
        <w:outlineLvl w:val="1"/>
        <w:rPr>
          <w:rFonts w:eastAsia="黑体"/>
          <w:bCs/>
          <w:sz w:val="28"/>
          <w:szCs w:val="32"/>
        </w:rPr>
      </w:pPr>
      <w:r>
        <w:rPr>
          <w:rFonts w:eastAsia="黑体"/>
          <w:bCs/>
          <w:sz w:val="28"/>
          <w:szCs w:val="32"/>
        </w:rPr>
        <w:t>1.3适用范围</w:t>
      </w:r>
      <w:bookmarkEnd w:id="13"/>
      <w:bookmarkEnd w:id="14"/>
    </w:p>
    <w:p w14:paraId="23516298">
      <w:pPr>
        <w:pStyle w:val="61"/>
        <w:ind w:firstLine="560"/>
        <w:rPr>
          <w:kern w:val="0"/>
          <w:szCs w:val="28"/>
          <w:lang w:val="zh-CN"/>
        </w:rPr>
      </w:pPr>
      <w:r>
        <w:rPr>
          <w:kern w:val="0"/>
          <w:szCs w:val="28"/>
          <w:lang w:val="zh-CN"/>
        </w:rPr>
        <w:t>适用主体：本预案适用于</w:t>
      </w:r>
      <w:r>
        <w:rPr>
          <w:rFonts w:hint="eastAsia"/>
          <w:kern w:val="0"/>
          <w:szCs w:val="28"/>
          <w:lang w:val="zh-CN"/>
        </w:rPr>
        <w:t>中国石化销售股份有限公司天津石油分公司津</w:t>
      </w:r>
      <w:r>
        <w:rPr>
          <w:rFonts w:hint="eastAsia"/>
          <w:kern w:val="0"/>
          <w:szCs w:val="28"/>
          <w:highlight w:val="none"/>
          <w:lang w:val="zh-CN"/>
        </w:rPr>
        <w:t>南水利加油站</w:t>
      </w:r>
      <w:r>
        <w:rPr>
          <w:kern w:val="0"/>
          <w:szCs w:val="28"/>
          <w:highlight w:val="none"/>
          <w:lang w:val="zh-CN"/>
        </w:rPr>
        <w:t>职权</w:t>
      </w:r>
      <w:r>
        <w:rPr>
          <w:kern w:val="0"/>
          <w:szCs w:val="28"/>
          <w:lang w:val="zh-CN"/>
        </w:rPr>
        <w:t>范围内发生的各类突发环境事件，或周边区域发生的可能危及本</w:t>
      </w:r>
      <w:r>
        <w:rPr>
          <w:rFonts w:hint="eastAsia"/>
          <w:kern w:val="0"/>
          <w:szCs w:val="28"/>
          <w:lang w:val="zh-CN"/>
        </w:rPr>
        <w:t>站</w:t>
      </w:r>
      <w:r>
        <w:rPr>
          <w:kern w:val="0"/>
          <w:szCs w:val="28"/>
          <w:lang w:val="zh-CN"/>
        </w:rPr>
        <w:t>或请求支援的环境突发事件的应对工作。本预案不包含辐射应急预案及重污染天气应急预案。事件类别：事故废水排放、化学品泄漏、燃烧或爆炸次生环境事件等；工作内容：包括预警、处置、监测等。</w:t>
      </w:r>
    </w:p>
    <w:p w14:paraId="62E052E8">
      <w:pPr>
        <w:spacing w:line="360" w:lineRule="auto"/>
        <w:outlineLvl w:val="1"/>
        <w:rPr>
          <w:rFonts w:eastAsia="黑体"/>
          <w:bCs/>
          <w:sz w:val="28"/>
          <w:szCs w:val="32"/>
        </w:rPr>
      </w:pPr>
      <w:bookmarkStart w:id="15" w:name="_Toc165395060"/>
      <w:r>
        <w:rPr>
          <w:rFonts w:eastAsia="黑体"/>
          <w:bCs/>
          <w:sz w:val="28"/>
          <w:szCs w:val="32"/>
        </w:rPr>
        <w:t>1.4工作原则</w:t>
      </w:r>
      <w:bookmarkEnd w:id="15"/>
    </w:p>
    <w:p w14:paraId="2E4BC258">
      <w:pPr>
        <w:pStyle w:val="61"/>
        <w:ind w:firstLine="560"/>
        <w:rPr>
          <w:kern w:val="0"/>
          <w:szCs w:val="28"/>
          <w:lang w:val="zh-CN"/>
        </w:rPr>
      </w:pPr>
      <w:r>
        <w:rPr>
          <w:kern w:val="0"/>
          <w:szCs w:val="28"/>
          <w:lang w:val="zh-CN"/>
        </w:rPr>
        <w:t>（1）坚持以人为本，环境优先。加强对环境事故危险源的监测、监控并实施监督管理，建立环境事故风险防范体系，积极预防、及时控制、消除隐患，提高突发性环境污染事故防范和处理能力，尽可能地避免或减少突发环境污染事故的发生、防止危害扩大。</w:t>
      </w:r>
    </w:p>
    <w:p w14:paraId="62DC39BB">
      <w:pPr>
        <w:pStyle w:val="61"/>
        <w:ind w:firstLine="560"/>
        <w:rPr>
          <w:kern w:val="0"/>
          <w:szCs w:val="28"/>
          <w:lang w:val="zh-CN"/>
        </w:rPr>
      </w:pPr>
      <w:r>
        <w:rPr>
          <w:kern w:val="0"/>
          <w:szCs w:val="28"/>
          <w:lang w:val="zh-CN"/>
        </w:rPr>
        <w:t>（2）坚持统一领导，分类管理，分级响应。接受政府环保部门的指导，加强各部门之间协同与合作，提高快速反应能力，科学应对。</w:t>
      </w:r>
    </w:p>
    <w:p w14:paraId="6C7C579A">
      <w:pPr>
        <w:pStyle w:val="61"/>
        <w:ind w:firstLine="560"/>
        <w:rPr>
          <w:kern w:val="0"/>
          <w:szCs w:val="28"/>
          <w:lang w:val="zh-CN"/>
        </w:rPr>
      </w:pPr>
      <w:r>
        <w:rPr>
          <w:kern w:val="0"/>
          <w:szCs w:val="28"/>
          <w:lang w:val="zh-CN"/>
        </w:rPr>
        <w:t>（3）坚持平战结合，专兼结合，充分利用现有资源。积极做好应对突发性环境污染事故的思想准备、物资准备、技术准备、工作准备，加强培训演练，应急系统做到常备不懈，在应急时快速有效。</w:t>
      </w:r>
    </w:p>
    <w:p w14:paraId="2EAA5448">
      <w:pPr>
        <w:spacing w:line="360" w:lineRule="auto"/>
        <w:outlineLvl w:val="1"/>
        <w:rPr>
          <w:rFonts w:eastAsia="黑体"/>
          <w:bCs/>
          <w:sz w:val="28"/>
          <w:szCs w:val="32"/>
        </w:rPr>
      </w:pPr>
      <w:bookmarkStart w:id="16" w:name="_Toc165395061"/>
      <w:r>
        <w:rPr>
          <w:rFonts w:eastAsia="黑体"/>
          <w:bCs/>
          <w:sz w:val="28"/>
          <w:szCs w:val="32"/>
        </w:rPr>
        <w:t>1.5预案衔接</w:t>
      </w:r>
      <w:bookmarkEnd w:id="16"/>
    </w:p>
    <w:p w14:paraId="6D0E5293">
      <w:pPr>
        <w:spacing w:line="360" w:lineRule="auto"/>
        <w:outlineLvl w:val="2"/>
        <w:rPr>
          <w:rFonts w:eastAsia="仿宋_GB2312"/>
          <w:b/>
          <w:bCs/>
          <w:sz w:val="28"/>
          <w:szCs w:val="32"/>
        </w:rPr>
      </w:pPr>
      <w:bookmarkStart w:id="17" w:name="_Toc61514795"/>
      <w:bookmarkStart w:id="18" w:name="_Toc55920269"/>
      <w:r>
        <w:rPr>
          <w:rFonts w:eastAsia="仿宋_GB2312"/>
          <w:b/>
          <w:bCs/>
          <w:sz w:val="28"/>
          <w:szCs w:val="32"/>
        </w:rPr>
        <w:t>1.5.1内部衔接</w:t>
      </w:r>
      <w:bookmarkEnd w:id="17"/>
      <w:bookmarkEnd w:id="18"/>
    </w:p>
    <w:p w14:paraId="3541A702">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企业内部的预案体系包括《突发环境事件应急预案》和《安全生产事故综合应急预案》。突发环境事件应急预案旨在有针对性地提出各类事件情景下的污染防控措施，安全生产事故综合应急预案旨在提出防范和控制安全事故风险的措施。当发生安全事故如火灾时启动生产事故应急预案，火灾引起次生环境污染时，要启动突发环境事件应急预案来处理。即安全事故发生时可能导致环境污染时，启动突发环境事件应急预案，预案之间互相关联，相互衔接。</w:t>
      </w:r>
    </w:p>
    <w:p w14:paraId="294EFB16">
      <w:pPr>
        <w:spacing w:line="360" w:lineRule="auto"/>
        <w:outlineLvl w:val="2"/>
        <w:rPr>
          <w:rFonts w:eastAsia="仿宋_GB2312"/>
          <w:bCs/>
          <w:color w:val="000000"/>
          <w:kern w:val="28"/>
          <w:sz w:val="28"/>
          <w:szCs w:val="28"/>
        </w:rPr>
      </w:pPr>
      <w:bookmarkStart w:id="19" w:name="_Toc55920270"/>
      <w:bookmarkStart w:id="20" w:name="_Toc61514796"/>
      <w:r>
        <w:rPr>
          <w:rFonts w:eastAsia="仿宋_GB2312"/>
          <w:b/>
          <w:bCs/>
          <w:sz w:val="28"/>
          <w:szCs w:val="32"/>
        </w:rPr>
        <w:t>1.5.2外部衔接</w:t>
      </w:r>
      <w:bookmarkEnd w:id="19"/>
      <w:bookmarkEnd w:id="20"/>
    </w:p>
    <w:p w14:paraId="1A2E8347">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本</w:t>
      </w:r>
      <w:r>
        <w:rPr>
          <w:rFonts w:hint="eastAsia" w:eastAsia="仿宋_GB2312"/>
          <w:bCs/>
          <w:color w:val="000000"/>
          <w:kern w:val="28"/>
          <w:sz w:val="28"/>
          <w:szCs w:val="28"/>
        </w:rPr>
        <w:t>加油站</w:t>
      </w:r>
      <w:r>
        <w:rPr>
          <w:rFonts w:eastAsia="仿宋_GB2312"/>
          <w:bCs/>
          <w:color w:val="000000"/>
          <w:kern w:val="28"/>
          <w:sz w:val="28"/>
          <w:szCs w:val="28"/>
        </w:rPr>
        <w:t>位于天津市</w:t>
      </w:r>
      <w:r>
        <w:rPr>
          <w:rFonts w:hint="eastAsia" w:eastAsia="仿宋_GB2312"/>
          <w:bCs/>
          <w:color w:val="000000"/>
          <w:kern w:val="28"/>
          <w:sz w:val="28"/>
          <w:szCs w:val="28"/>
        </w:rPr>
        <w:t>津南</w:t>
      </w:r>
      <w:r>
        <w:rPr>
          <w:rFonts w:eastAsia="仿宋_GB2312"/>
          <w:bCs/>
          <w:color w:val="000000"/>
          <w:kern w:val="28"/>
          <w:sz w:val="28"/>
          <w:szCs w:val="28"/>
        </w:rPr>
        <w:t>区，因此天津市</w:t>
      </w:r>
      <w:r>
        <w:rPr>
          <w:rFonts w:hint="eastAsia" w:eastAsia="仿宋_GB2312"/>
          <w:bCs/>
          <w:color w:val="000000"/>
          <w:kern w:val="28"/>
          <w:sz w:val="28"/>
          <w:szCs w:val="28"/>
        </w:rPr>
        <w:t>津南</w:t>
      </w:r>
      <w:r>
        <w:rPr>
          <w:rFonts w:eastAsia="仿宋_GB2312"/>
          <w:bCs/>
          <w:color w:val="000000"/>
          <w:kern w:val="28"/>
          <w:sz w:val="28"/>
          <w:szCs w:val="28"/>
        </w:rPr>
        <w:t>区突发环境事件应急预案是本</w:t>
      </w:r>
      <w:r>
        <w:rPr>
          <w:rFonts w:hint="eastAsia" w:eastAsia="仿宋_GB2312"/>
          <w:bCs/>
          <w:color w:val="000000"/>
          <w:kern w:val="28"/>
          <w:sz w:val="28"/>
          <w:szCs w:val="28"/>
        </w:rPr>
        <w:t>站</w:t>
      </w:r>
      <w:r>
        <w:rPr>
          <w:rFonts w:eastAsia="仿宋_GB2312"/>
          <w:bCs/>
          <w:color w:val="000000"/>
          <w:kern w:val="28"/>
          <w:sz w:val="28"/>
          <w:szCs w:val="28"/>
        </w:rPr>
        <w:t>应急预案的上级文件，对本</w:t>
      </w:r>
      <w:r>
        <w:rPr>
          <w:rFonts w:hint="eastAsia" w:eastAsia="仿宋_GB2312"/>
          <w:bCs/>
          <w:color w:val="000000"/>
          <w:kern w:val="28"/>
          <w:sz w:val="28"/>
          <w:szCs w:val="28"/>
        </w:rPr>
        <w:t>站</w:t>
      </w:r>
      <w:r>
        <w:rPr>
          <w:rFonts w:eastAsia="仿宋_GB2312"/>
          <w:bCs/>
          <w:color w:val="000000"/>
          <w:kern w:val="28"/>
          <w:sz w:val="28"/>
          <w:szCs w:val="28"/>
        </w:rPr>
        <w:t>应急预案具有直接的领导和指导作用。</w:t>
      </w:r>
    </w:p>
    <w:p w14:paraId="008EEB5A">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当</w:t>
      </w:r>
      <w:r>
        <w:rPr>
          <w:rFonts w:hint="eastAsia" w:eastAsia="仿宋_GB2312"/>
          <w:bCs/>
          <w:color w:val="000000"/>
          <w:kern w:val="28"/>
          <w:sz w:val="28"/>
          <w:szCs w:val="28"/>
        </w:rPr>
        <w:t>加油站</w:t>
      </w:r>
      <w:r>
        <w:rPr>
          <w:rFonts w:eastAsia="仿宋_GB2312"/>
          <w:bCs/>
          <w:color w:val="000000"/>
          <w:kern w:val="28"/>
          <w:sz w:val="28"/>
          <w:szCs w:val="28"/>
        </w:rPr>
        <w:t>发生突发环境应急事件，且超出</w:t>
      </w:r>
      <w:r>
        <w:rPr>
          <w:rFonts w:hint="eastAsia" w:eastAsia="仿宋_GB2312"/>
          <w:bCs/>
          <w:color w:val="000000"/>
          <w:kern w:val="28"/>
          <w:sz w:val="28"/>
          <w:szCs w:val="28"/>
        </w:rPr>
        <w:t>站内</w:t>
      </w:r>
      <w:r>
        <w:rPr>
          <w:rFonts w:eastAsia="仿宋_GB2312"/>
          <w:bCs/>
          <w:color w:val="000000"/>
          <w:kern w:val="28"/>
          <w:sz w:val="28"/>
          <w:szCs w:val="28"/>
        </w:rPr>
        <w:t>处理能力范围或达到需要外部协调指挥时，立即向</w:t>
      </w:r>
      <w:r>
        <w:rPr>
          <w:rFonts w:hint="eastAsia" w:eastAsia="仿宋_GB2312"/>
          <w:bCs/>
          <w:color w:val="000000"/>
          <w:kern w:val="28"/>
          <w:sz w:val="28"/>
          <w:szCs w:val="28"/>
        </w:rPr>
        <w:t>津南</w:t>
      </w:r>
      <w:r>
        <w:rPr>
          <w:rFonts w:eastAsia="仿宋_GB2312"/>
          <w:bCs/>
          <w:color w:val="000000"/>
          <w:kern w:val="28"/>
          <w:sz w:val="28"/>
          <w:szCs w:val="28"/>
        </w:rPr>
        <w:t>区生态环境局报告，请求支援；本预案明确一级响应时由本</w:t>
      </w:r>
      <w:r>
        <w:rPr>
          <w:rFonts w:hint="eastAsia" w:eastAsia="仿宋_GB2312"/>
          <w:bCs/>
          <w:color w:val="000000"/>
          <w:kern w:val="28"/>
          <w:sz w:val="28"/>
          <w:szCs w:val="28"/>
        </w:rPr>
        <w:t>站</w:t>
      </w:r>
      <w:r>
        <w:rPr>
          <w:rFonts w:eastAsia="仿宋_GB2312"/>
          <w:bCs/>
          <w:color w:val="000000"/>
          <w:kern w:val="28"/>
          <w:sz w:val="28"/>
          <w:szCs w:val="28"/>
        </w:rPr>
        <w:t>的应急指挥部负责临时指挥，先行开展应急救援工作；上级单位成立现场应急指挥部时，指挥权交给上级单位，</w:t>
      </w:r>
      <w:r>
        <w:rPr>
          <w:rFonts w:hint="eastAsia" w:eastAsia="仿宋_GB2312"/>
          <w:bCs/>
          <w:color w:val="000000"/>
          <w:kern w:val="28"/>
          <w:sz w:val="28"/>
          <w:szCs w:val="28"/>
        </w:rPr>
        <w:t>加油站</w:t>
      </w:r>
      <w:r>
        <w:rPr>
          <w:rFonts w:eastAsia="仿宋_GB2312"/>
          <w:bCs/>
          <w:color w:val="000000"/>
          <w:kern w:val="28"/>
          <w:sz w:val="28"/>
          <w:szCs w:val="28"/>
        </w:rPr>
        <w:t>应急预案作为上级应急预案的一个子部分，按照上级预案规定的要求实施，服从指挥，处理环境应急事件。本预案与天津市</w:t>
      </w:r>
      <w:r>
        <w:rPr>
          <w:rFonts w:hint="eastAsia" w:eastAsia="仿宋_GB2312"/>
          <w:bCs/>
          <w:color w:val="000000"/>
          <w:kern w:val="28"/>
          <w:sz w:val="28"/>
          <w:szCs w:val="28"/>
        </w:rPr>
        <w:t>津南</w:t>
      </w:r>
      <w:r>
        <w:rPr>
          <w:rFonts w:eastAsia="仿宋_GB2312"/>
          <w:bCs/>
          <w:color w:val="000000"/>
          <w:kern w:val="28"/>
          <w:sz w:val="28"/>
          <w:szCs w:val="28"/>
        </w:rPr>
        <w:t>区突发环境事件应急预案、天津市突发环境事件应急预案相互衔接和联动企业在建立健全应急预案体系时，应与《天津市</w:t>
      </w:r>
      <w:r>
        <w:rPr>
          <w:rFonts w:hint="eastAsia" w:eastAsia="仿宋_GB2312"/>
          <w:bCs/>
          <w:color w:val="000000"/>
          <w:kern w:val="28"/>
          <w:sz w:val="28"/>
          <w:szCs w:val="28"/>
        </w:rPr>
        <w:t>津南</w:t>
      </w:r>
      <w:r>
        <w:rPr>
          <w:rFonts w:eastAsia="仿宋_GB2312"/>
          <w:bCs/>
          <w:color w:val="000000"/>
          <w:kern w:val="28"/>
          <w:sz w:val="28"/>
          <w:szCs w:val="28"/>
        </w:rPr>
        <w:t>区突发环境事件应急预案》等进行有效的衔接。</w:t>
      </w:r>
    </w:p>
    <w:p w14:paraId="4A936B5D">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《天津市</w:t>
      </w:r>
      <w:r>
        <w:rPr>
          <w:rFonts w:hint="eastAsia" w:eastAsia="仿宋_GB2312"/>
          <w:bCs/>
          <w:color w:val="000000"/>
          <w:kern w:val="28"/>
          <w:sz w:val="28"/>
          <w:szCs w:val="28"/>
        </w:rPr>
        <w:t>津南</w:t>
      </w:r>
      <w:r>
        <w:rPr>
          <w:rFonts w:eastAsia="仿宋_GB2312"/>
          <w:bCs/>
          <w:color w:val="000000"/>
          <w:kern w:val="28"/>
          <w:sz w:val="28"/>
          <w:szCs w:val="28"/>
        </w:rPr>
        <w:t>区突发环境事件应急预案》适用于本行政区域内各类突发事件的应对工作。组织机构方面，天津市</w:t>
      </w:r>
      <w:r>
        <w:rPr>
          <w:rFonts w:hint="eastAsia" w:eastAsia="仿宋_GB2312"/>
          <w:bCs/>
          <w:color w:val="000000"/>
          <w:kern w:val="28"/>
          <w:sz w:val="28"/>
          <w:szCs w:val="28"/>
        </w:rPr>
        <w:t>津南</w:t>
      </w:r>
      <w:r>
        <w:rPr>
          <w:rFonts w:eastAsia="仿宋_GB2312"/>
          <w:bCs/>
          <w:color w:val="000000"/>
          <w:kern w:val="28"/>
          <w:sz w:val="28"/>
          <w:szCs w:val="28"/>
        </w:rPr>
        <w:t>区环境应急指挥部负责全区突发环境事件监测预警、预防与应急准备、应急处置的组织、协调、指导和督促等工作，有效协调调度相关职能部门采取应急措施。</w:t>
      </w:r>
    </w:p>
    <w:p w14:paraId="204DC4A3">
      <w:pPr>
        <w:adjustRightInd w:val="0"/>
        <w:snapToGrid w:val="0"/>
        <w:spacing w:line="360" w:lineRule="auto"/>
        <w:jc w:val="center"/>
        <w:rPr>
          <w:sz w:val="28"/>
          <w:szCs w:val="28"/>
        </w:rPr>
      </w:pPr>
      <w:r>
        <w:drawing>
          <wp:inline distT="0" distB="0" distL="0" distR="0">
            <wp:extent cx="5760085" cy="5859145"/>
            <wp:effectExtent l="0" t="0" r="0" b="8255"/>
            <wp:docPr id="61278070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80709" name="图片 1" descr="图示&#10;&#10;描述已自动生成"/>
                    <pic:cNvPicPr>
                      <a:picLocks noChangeAspect="1"/>
                    </pic:cNvPicPr>
                  </pic:nvPicPr>
                  <pic:blipFill>
                    <a:blip r:embed="rId12"/>
                    <a:stretch>
                      <a:fillRect/>
                    </a:stretch>
                  </pic:blipFill>
                  <pic:spPr>
                    <a:xfrm>
                      <a:off x="0" y="0"/>
                      <a:ext cx="5760085" cy="5859145"/>
                    </a:xfrm>
                    <a:prstGeom prst="rect">
                      <a:avLst/>
                    </a:prstGeom>
                  </pic:spPr>
                </pic:pic>
              </a:graphicData>
            </a:graphic>
          </wp:inline>
        </w:drawing>
      </w:r>
    </w:p>
    <w:p w14:paraId="59E1D16C">
      <w:pPr>
        <w:spacing w:line="360" w:lineRule="auto"/>
        <w:jc w:val="center"/>
        <w:rPr>
          <w:rFonts w:eastAsia="仿宋_GB2312"/>
          <w:sz w:val="28"/>
          <w:szCs w:val="28"/>
        </w:rPr>
      </w:pPr>
      <w:r>
        <w:rPr>
          <w:rFonts w:eastAsia="仿宋_GB2312"/>
          <w:sz w:val="28"/>
          <w:szCs w:val="28"/>
        </w:rPr>
        <w:t>图1.5-1应急预案</w:t>
      </w:r>
      <w:r>
        <w:rPr>
          <w:rFonts w:hint="eastAsia" w:eastAsia="仿宋_GB2312"/>
          <w:sz w:val="28"/>
          <w:szCs w:val="28"/>
        </w:rPr>
        <w:t>衔接关系图</w:t>
      </w:r>
    </w:p>
    <w:p w14:paraId="50AE5BDB">
      <w:pPr>
        <w:pStyle w:val="30"/>
        <w:adjustRightInd w:val="0"/>
        <w:snapToGrid w:val="0"/>
        <w:ind w:firstLine="560" w:firstLineChars="200"/>
        <w:jc w:val="both"/>
        <w:outlineLvl w:val="9"/>
        <w:rPr>
          <w:rFonts w:ascii="Times New Roman" w:hAnsi="Times New Roman" w:eastAsia="仿宋_GB2312"/>
          <w:b w:val="0"/>
          <w:sz w:val="28"/>
          <w:szCs w:val="28"/>
        </w:rPr>
      </w:pPr>
    </w:p>
    <w:p w14:paraId="3FFDB50C">
      <w:pPr>
        <w:pStyle w:val="22"/>
        <w:rPr>
          <w:rFonts w:hint="eastAsia"/>
        </w:rPr>
      </w:pPr>
    </w:p>
    <w:p w14:paraId="0028D293">
      <w:pPr>
        <w:pStyle w:val="22"/>
        <w:rPr>
          <w:rFonts w:hint="eastAsia"/>
        </w:rPr>
        <w:sectPr>
          <w:headerReference r:id="rId7" w:type="default"/>
          <w:footerReference r:id="rId8" w:type="default"/>
          <w:pgSz w:w="11907" w:h="16839"/>
          <w:pgMar w:top="1418" w:right="1418" w:bottom="1418" w:left="1418" w:header="720" w:footer="720" w:gutter="0"/>
          <w:pgNumType w:start="1"/>
          <w:cols w:space="720" w:num="1"/>
          <w:docGrid w:linePitch="286" w:charSpace="0"/>
        </w:sectPr>
      </w:pPr>
    </w:p>
    <w:p w14:paraId="202EA992">
      <w:pPr>
        <w:pStyle w:val="2"/>
      </w:pPr>
      <w:bookmarkStart w:id="21" w:name="_Toc296521838"/>
      <w:bookmarkStart w:id="22" w:name="_Toc165395062"/>
      <w:r>
        <w:t>2基本情况</w:t>
      </w:r>
      <w:bookmarkEnd w:id="21"/>
      <w:bookmarkEnd w:id="22"/>
    </w:p>
    <w:p w14:paraId="216C8188">
      <w:pPr>
        <w:spacing w:line="360" w:lineRule="auto"/>
        <w:outlineLvl w:val="1"/>
        <w:rPr>
          <w:rFonts w:eastAsia="黑体"/>
          <w:bCs/>
          <w:sz w:val="28"/>
          <w:szCs w:val="32"/>
          <w:highlight w:val="none"/>
        </w:rPr>
      </w:pPr>
      <w:bookmarkStart w:id="23" w:name="_Toc165395063"/>
      <w:bookmarkStart w:id="24" w:name="_Toc296521839"/>
      <w:bookmarkStart w:id="25" w:name="_Toc296521840"/>
      <w:bookmarkStart w:id="26" w:name="_Toc165395064"/>
      <w:r>
        <w:rPr>
          <w:rFonts w:eastAsia="黑体"/>
          <w:bCs/>
          <w:sz w:val="28"/>
          <w:szCs w:val="32"/>
          <w:highlight w:val="none"/>
        </w:rPr>
        <w:t>2.1单位基本情况</w:t>
      </w:r>
      <w:bookmarkEnd w:id="23"/>
      <w:bookmarkEnd w:id="24"/>
    </w:p>
    <w:p w14:paraId="78BC5D57">
      <w:pPr>
        <w:pStyle w:val="55"/>
        <w:ind w:right="114" w:firstLine="560"/>
        <w:rPr>
          <w:rFonts w:eastAsia="仿宋_GB2312"/>
          <w:sz w:val="28"/>
          <w:szCs w:val="28"/>
          <w:highlight w:val="none"/>
        </w:rPr>
      </w:pPr>
      <w:r>
        <w:rPr>
          <w:rFonts w:eastAsia="仿宋_GB2312"/>
          <w:sz w:val="28"/>
          <w:szCs w:val="28"/>
        </w:rPr>
        <w:t>中国石化销售股份有限公司天津石油分公司</w:t>
      </w:r>
      <w:r>
        <w:rPr>
          <w:rFonts w:hint="eastAsia" w:eastAsia="仿宋_GB2312"/>
          <w:sz w:val="28"/>
          <w:szCs w:val="28"/>
        </w:rPr>
        <w:t>津南</w:t>
      </w:r>
      <w:r>
        <w:rPr>
          <w:rFonts w:hint="eastAsia" w:eastAsia="仿宋_GB2312"/>
          <w:sz w:val="28"/>
          <w:szCs w:val="28"/>
          <w:lang w:eastAsia="zh-CN"/>
        </w:rPr>
        <w:t>水利</w:t>
      </w:r>
      <w:r>
        <w:rPr>
          <w:rFonts w:eastAsia="仿宋_GB2312"/>
          <w:sz w:val="28"/>
          <w:szCs w:val="28"/>
        </w:rPr>
        <w:t>加油站隶属于中国石化销售股份有限公司天津石油分公司。</w:t>
      </w:r>
      <w:r>
        <w:rPr>
          <w:rFonts w:hint="eastAsia" w:eastAsia="仿宋_GB2312"/>
          <w:sz w:val="28"/>
          <w:szCs w:val="28"/>
          <w:lang w:eastAsia="zh-CN"/>
        </w:rPr>
        <w:t>水利</w:t>
      </w:r>
      <w:r>
        <w:rPr>
          <w:rFonts w:eastAsia="仿宋_GB2312"/>
          <w:sz w:val="28"/>
          <w:szCs w:val="28"/>
        </w:rPr>
        <w:t>加油站位于</w:t>
      </w:r>
      <w:r>
        <w:rPr>
          <w:rFonts w:hint="eastAsia" w:eastAsia="仿宋_GB2312"/>
          <w:sz w:val="28"/>
          <w:szCs w:val="28"/>
          <w:highlight w:val="none"/>
        </w:rPr>
        <w:t>天津市津南区</w:t>
      </w:r>
      <w:r>
        <w:rPr>
          <w:rFonts w:hint="eastAsia" w:eastAsia="仿宋_GB2312"/>
          <w:sz w:val="28"/>
          <w:szCs w:val="28"/>
          <w:highlight w:val="none"/>
          <w:lang w:val="en-US" w:eastAsia="zh-CN"/>
        </w:rPr>
        <w:t>北闸口镇正营村口</w:t>
      </w:r>
      <w:r>
        <w:rPr>
          <w:rFonts w:eastAsia="仿宋_GB2312"/>
          <w:sz w:val="28"/>
          <w:szCs w:val="28"/>
          <w:highlight w:val="none"/>
        </w:rPr>
        <w:t>（中心经纬度</w:t>
      </w:r>
      <w:r>
        <w:rPr>
          <w:rFonts w:eastAsia="仿宋_GB2312"/>
          <w:color w:val="000000" w:themeColor="text1"/>
          <w:sz w:val="28"/>
          <w:szCs w:val="28"/>
          <w:highlight w:val="none"/>
          <w14:textFill>
            <w14:solidFill>
              <w14:schemeClr w14:val="tx1"/>
            </w14:solidFill>
          </w14:textFill>
        </w:rPr>
        <w:t>E117.</w:t>
      </w:r>
      <w:r>
        <w:rPr>
          <w:rFonts w:hint="eastAsia" w:eastAsia="仿宋_GB2312"/>
          <w:color w:val="000000" w:themeColor="text1"/>
          <w:sz w:val="28"/>
          <w:szCs w:val="28"/>
          <w:highlight w:val="none"/>
          <w:lang w:val="en-US" w:eastAsia="zh-CN"/>
          <w14:textFill>
            <w14:solidFill>
              <w14:schemeClr w14:val="tx1"/>
            </w14:solidFill>
          </w14:textFill>
        </w:rPr>
        <w:t>401954</w:t>
      </w:r>
      <w:r>
        <w:rPr>
          <w:rFonts w:eastAsia="仿宋_GB2312"/>
          <w:color w:val="000000" w:themeColor="text1"/>
          <w:sz w:val="28"/>
          <w:szCs w:val="28"/>
          <w:highlight w:val="none"/>
          <w14:textFill>
            <w14:solidFill>
              <w14:schemeClr w14:val="tx1"/>
            </w14:solidFill>
          </w14:textFill>
        </w:rPr>
        <w:t>°，N3</w:t>
      </w:r>
      <w:r>
        <w:rPr>
          <w:rFonts w:hint="eastAsia" w:eastAsia="仿宋_GB2312"/>
          <w:color w:val="000000" w:themeColor="text1"/>
          <w:sz w:val="28"/>
          <w:szCs w:val="28"/>
          <w:highlight w:val="none"/>
          <w:lang w:val="en-US" w:eastAsia="zh-CN"/>
          <w14:textFill>
            <w14:solidFill>
              <w14:schemeClr w14:val="tx1"/>
            </w14:solidFill>
          </w14:textFill>
        </w:rPr>
        <w:t>8.941973</w:t>
      </w:r>
      <w:r>
        <w:rPr>
          <w:rFonts w:eastAsia="仿宋_GB2312"/>
          <w:color w:val="000000" w:themeColor="text1"/>
          <w:sz w:val="28"/>
          <w:szCs w:val="28"/>
          <w:highlight w:val="none"/>
          <w14:textFill>
            <w14:solidFill>
              <w14:schemeClr w14:val="tx1"/>
            </w14:solidFill>
          </w14:textFill>
        </w:rPr>
        <w:t>°</w:t>
      </w:r>
      <w:r>
        <w:rPr>
          <w:rFonts w:eastAsia="仿宋_GB2312"/>
          <w:sz w:val="28"/>
          <w:szCs w:val="28"/>
          <w:highlight w:val="none"/>
        </w:rPr>
        <w:t>），占地面积约为</w:t>
      </w:r>
      <w:r>
        <w:rPr>
          <w:rFonts w:hint="eastAsia" w:eastAsia="仿宋_GB2312"/>
          <w:sz w:val="28"/>
          <w:szCs w:val="28"/>
          <w:highlight w:val="none"/>
          <w:lang w:val="en-US" w:eastAsia="zh-CN"/>
        </w:rPr>
        <w:t>2780.4</w:t>
      </w:r>
      <w:r>
        <w:rPr>
          <w:rFonts w:eastAsia="仿宋_GB2312"/>
          <w:sz w:val="28"/>
          <w:szCs w:val="28"/>
          <w:highlight w:val="none"/>
        </w:rPr>
        <w:t>m</w:t>
      </w:r>
      <w:r>
        <w:rPr>
          <w:rFonts w:eastAsia="仿宋_GB2312"/>
          <w:sz w:val="28"/>
          <w:szCs w:val="28"/>
          <w:highlight w:val="none"/>
          <w:vertAlign w:val="superscript"/>
        </w:rPr>
        <w:t>2</w:t>
      </w:r>
      <w:r>
        <w:rPr>
          <w:rFonts w:eastAsia="仿宋_GB2312"/>
          <w:sz w:val="28"/>
          <w:szCs w:val="28"/>
          <w:highlight w:val="none"/>
        </w:rPr>
        <w:t>，站房建筑面积为</w:t>
      </w:r>
      <w:r>
        <w:rPr>
          <w:rFonts w:hint="eastAsia" w:eastAsia="仿宋_GB2312"/>
          <w:sz w:val="28"/>
          <w:szCs w:val="28"/>
          <w:highlight w:val="none"/>
          <w:lang w:val="en-US" w:eastAsia="zh-CN"/>
        </w:rPr>
        <w:t>151</w:t>
      </w:r>
      <w:r>
        <w:rPr>
          <w:rFonts w:eastAsia="仿宋_GB2312"/>
          <w:sz w:val="28"/>
          <w:szCs w:val="28"/>
          <w:highlight w:val="none"/>
        </w:rPr>
        <w:t>m</w:t>
      </w:r>
      <w:r>
        <w:rPr>
          <w:rFonts w:eastAsia="仿宋_GB2312"/>
          <w:sz w:val="28"/>
          <w:szCs w:val="28"/>
          <w:highlight w:val="none"/>
          <w:vertAlign w:val="superscript"/>
        </w:rPr>
        <w:t>2</w:t>
      </w:r>
      <w:r>
        <w:rPr>
          <w:rFonts w:eastAsia="仿宋_GB2312"/>
          <w:sz w:val="28"/>
          <w:szCs w:val="28"/>
          <w:highlight w:val="none"/>
        </w:rPr>
        <w:t>，罩棚建筑面积为</w:t>
      </w:r>
      <w:r>
        <w:rPr>
          <w:rFonts w:hint="eastAsia" w:eastAsia="仿宋_GB2312"/>
          <w:sz w:val="28"/>
          <w:szCs w:val="28"/>
          <w:highlight w:val="none"/>
          <w:lang w:val="en-US" w:eastAsia="zh-CN"/>
        </w:rPr>
        <w:t>864</w:t>
      </w:r>
      <w:r>
        <w:rPr>
          <w:rFonts w:eastAsia="仿宋_GB2312"/>
          <w:sz w:val="28"/>
          <w:szCs w:val="28"/>
          <w:highlight w:val="none"/>
        </w:rPr>
        <w:t>m</w:t>
      </w:r>
      <w:r>
        <w:rPr>
          <w:rFonts w:eastAsia="仿宋_GB2312"/>
          <w:sz w:val="28"/>
          <w:szCs w:val="28"/>
          <w:highlight w:val="none"/>
          <w:vertAlign w:val="superscript"/>
        </w:rPr>
        <w:t>2</w:t>
      </w:r>
      <w:r>
        <w:rPr>
          <w:rFonts w:eastAsia="仿宋_GB2312"/>
          <w:sz w:val="28"/>
          <w:szCs w:val="28"/>
          <w:highlight w:val="none"/>
        </w:rPr>
        <w:t>。该站为</w:t>
      </w:r>
      <w:r>
        <w:rPr>
          <w:rFonts w:hint="eastAsia" w:eastAsia="仿宋_GB2312"/>
          <w:sz w:val="28"/>
          <w:szCs w:val="28"/>
          <w:highlight w:val="none"/>
          <w:lang w:val="en-US" w:eastAsia="zh-CN"/>
        </w:rPr>
        <w:t>三</w:t>
      </w:r>
      <w:r>
        <w:rPr>
          <w:rFonts w:eastAsia="仿宋_GB2312"/>
          <w:sz w:val="28"/>
          <w:szCs w:val="28"/>
          <w:highlight w:val="none"/>
        </w:rPr>
        <w:t>级加油站。</w:t>
      </w:r>
    </w:p>
    <w:p w14:paraId="128C5280">
      <w:pPr>
        <w:pStyle w:val="55"/>
        <w:ind w:right="114" w:firstLine="560"/>
        <w:rPr>
          <w:rFonts w:eastAsia="仿宋_GB2312"/>
          <w:color w:val="000000" w:themeColor="text1"/>
          <w:sz w:val="28"/>
          <w:szCs w:val="28"/>
          <w:highlight w:val="none"/>
          <w14:textFill>
            <w14:solidFill>
              <w14:schemeClr w14:val="tx1"/>
            </w14:solidFill>
          </w14:textFill>
        </w:rPr>
      </w:pPr>
      <w:bookmarkStart w:id="27" w:name="_Hlk181802124"/>
      <w:r>
        <w:rPr>
          <w:rFonts w:hint="eastAsia" w:ascii="仿宋" w:hAnsi="仿宋" w:eastAsia="仿宋" w:cs="仿宋"/>
          <w:b w:val="0"/>
          <w:bCs w:val="0"/>
          <w:sz w:val="28"/>
          <w:szCs w:val="28"/>
          <w:highlight w:val="none"/>
          <w:lang w:val="en-US" w:eastAsia="zh-CN"/>
        </w:rPr>
        <w:t>该加油站内设4座地埋式 内衬 双层储罐，其中30m</w:t>
      </w:r>
      <w:r>
        <w:rPr>
          <w:rFonts w:hint="eastAsia" w:ascii="仿宋" w:hAnsi="仿宋" w:eastAsia="仿宋" w:cs="仿宋"/>
          <w:b w:val="0"/>
          <w:bCs w:val="0"/>
          <w:sz w:val="28"/>
          <w:szCs w:val="28"/>
          <w:highlight w:val="none"/>
          <w:vertAlign w:val="superscript"/>
          <w:lang w:val="en-US" w:eastAsia="zh-CN"/>
        </w:rPr>
        <w:t xml:space="preserve">3 </w:t>
      </w:r>
      <w:r>
        <w:rPr>
          <w:rFonts w:hint="eastAsia" w:ascii="仿宋" w:hAnsi="仿宋" w:eastAsia="仿宋" w:cs="仿宋"/>
          <w:b w:val="0"/>
          <w:bCs w:val="0"/>
          <w:sz w:val="28"/>
          <w:szCs w:val="28"/>
          <w:highlight w:val="none"/>
          <w:lang w:val="en-US" w:eastAsia="zh-CN"/>
        </w:rPr>
        <w:t>地埋式 内衬 双层汽油储罐3座，30m</w:t>
      </w:r>
      <w:r>
        <w:rPr>
          <w:rFonts w:hint="eastAsia" w:ascii="仿宋" w:hAnsi="仿宋" w:eastAsia="仿宋" w:cs="仿宋"/>
          <w:b w:val="0"/>
          <w:bCs w:val="0"/>
          <w:sz w:val="28"/>
          <w:szCs w:val="28"/>
          <w:highlight w:val="none"/>
          <w:vertAlign w:val="superscript"/>
          <w:lang w:val="en-US" w:eastAsia="zh-CN"/>
        </w:rPr>
        <w:t>3</w:t>
      </w:r>
      <w:r>
        <w:rPr>
          <w:rFonts w:hint="eastAsia" w:ascii="仿宋" w:hAnsi="仿宋" w:eastAsia="仿宋" w:cs="仿宋"/>
          <w:b w:val="0"/>
          <w:bCs w:val="0"/>
          <w:sz w:val="28"/>
          <w:szCs w:val="28"/>
          <w:highlight w:val="none"/>
          <w:lang w:val="en-US" w:eastAsia="zh-CN"/>
        </w:rPr>
        <w:t>地埋式 内衬 双层柴油储罐1座，折合油罐总容积 105m</w:t>
      </w:r>
      <w:r>
        <w:rPr>
          <w:rFonts w:hint="eastAsia" w:ascii="仿宋" w:hAnsi="仿宋" w:eastAsia="仿宋" w:cs="仿宋"/>
          <w:b w:val="0"/>
          <w:bCs w:val="0"/>
          <w:sz w:val="28"/>
          <w:szCs w:val="28"/>
          <w:highlight w:val="none"/>
          <w:vertAlign w:val="superscript"/>
          <w:lang w:val="en-US" w:eastAsia="zh-CN"/>
        </w:rPr>
        <w:t>3</w:t>
      </w:r>
      <w:r>
        <w:rPr>
          <w:rFonts w:hint="eastAsia" w:ascii="仿宋" w:hAnsi="仿宋" w:eastAsia="仿宋" w:cs="仿宋"/>
          <w:b w:val="0"/>
          <w:bCs w:val="0"/>
          <w:sz w:val="28"/>
          <w:szCs w:val="28"/>
          <w:highlight w:val="none"/>
          <w:lang w:val="en-US" w:eastAsia="zh-CN"/>
        </w:rPr>
        <w:t>。（其中柴油容积折半计算），设有加油岛4座，汽油加油枪12支，柴油加油枪2支</w:t>
      </w:r>
      <w:r>
        <w:rPr>
          <w:rFonts w:hint="eastAsia" w:eastAsia="仿宋_GB2312"/>
          <w:color w:val="000000" w:themeColor="text1"/>
          <w:sz w:val="28"/>
          <w:szCs w:val="28"/>
          <w:highlight w:val="none"/>
          <w14:textFill>
            <w14:solidFill>
              <w14:schemeClr w14:val="tx1"/>
            </w14:solidFill>
          </w14:textFill>
        </w:rPr>
        <w:t>；</w:t>
      </w:r>
      <w:r>
        <w:rPr>
          <w:rFonts w:eastAsia="仿宋_GB2312"/>
          <w:color w:val="000000" w:themeColor="text1"/>
          <w:sz w:val="28"/>
          <w:szCs w:val="28"/>
          <w:highlight w:val="none"/>
          <w14:textFill>
            <w14:solidFill>
              <w14:schemeClr w14:val="tx1"/>
            </w14:solidFill>
          </w14:textFill>
        </w:rPr>
        <w:t>加油站经营模式为储存、零售车用乙醇汽油、柴油。</w:t>
      </w:r>
    </w:p>
    <w:bookmarkEnd w:id="27"/>
    <w:p w14:paraId="72028DC1">
      <w:pPr>
        <w:pStyle w:val="55"/>
        <w:ind w:right="114" w:firstLine="560"/>
        <w:rPr>
          <w:rFonts w:eastAsia="仿宋_GB2312"/>
          <w:color w:val="000000" w:themeColor="text1"/>
          <w:sz w:val="28"/>
          <w:szCs w:val="28"/>
          <w14:textFill>
            <w14:solidFill>
              <w14:schemeClr w14:val="tx1"/>
            </w14:solidFill>
          </w14:textFill>
        </w:rPr>
      </w:pPr>
      <w:r>
        <w:rPr>
          <w:rFonts w:hint="eastAsia" w:eastAsia="仿宋_GB2312"/>
          <w:sz w:val="28"/>
          <w:szCs w:val="28"/>
          <w:highlight w:val="none"/>
        </w:rPr>
        <w:t>该加油站</w:t>
      </w:r>
      <w:r>
        <w:rPr>
          <w:rFonts w:eastAsia="仿宋_GB2312"/>
          <w:sz w:val="28"/>
          <w:szCs w:val="28"/>
          <w:highlight w:val="none"/>
        </w:rPr>
        <w:t>劳动定员</w:t>
      </w:r>
      <w:r>
        <w:rPr>
          <w:rFonts w:hint="eastAsia" w:eastAsia="仿宋_GB2312"/>
          <w:sz w:val="28"/>
          <w:szCs w:val="28"/>
          <w:highlight w:val="none"/>
          <w:lang w:val="en-US" w:eastAsia="zh-CN"/>
        </w:rPr>
        <w:t>5</w:t>
      </w:r>
      <w:r>
        <w:rPr>
          <w:rFonts w:eastAsia="仿宋_GB2312"/>
          <w:sz w:val="28"/>
          <w:szCs w:val="28"/>
          <w:highlight w:val="none"/>
        </w:rPr>
        <w:t>人，现场每天工作时间为</w:t>
      </w:r>
      <w:r>
        <w:rPr>
          <w:rFonts w:hint="eastAsia" w:eastAsia="仿宋_GB2312"/>
          <w:sz w:val="28"/>
          <w:szCs w:val="28"/>
          <w:highlight w:val="none"/>
        </w:rPr>
        <w:t>24小时</w:t>
      </w:r>
      <w:r>
        <w:rPr>
          <w:rFonts w:eastAsia="仿宋_GB2312"/>
          <w:sz w:val="28"/>
          <w:szCs w:val="28"/>
          <w:highlight w:val="none"/>
        </w:rPr>
        <w:t>，每天两</w:t>
      </w:r>
      <w:r>
        <w:rPr>
          <w:rFonts w:eastAsia="仿宋_GB2312"/>
          <w:sz w:val="28"/>
          <w:szCs w:val="28"/>
        </w:rPr>
        <w:t>班，年工作365天该加油站自运营以来未发生过环境事故及其它事故。</w:t>
      </w:r>
    </w:p>
    <w:p w14:paraId="10D02EF7">
      <w:pPr>
        <w:autoSpaceDE w:val="0"/>
        <w:autoSpaceDN w:val="0"/>
        <w:snapToGrid w:val="0"/>
        <w:spacing w:line="360" w:lineRule="auto"/>
        <w:ind w:firstLine="561"/>
        <w:jc w:val="left"/>
        <w:rPr>
          <w:rFonts w:eastAsia="仿宋_GB2312"/>
          <w:color w:val="000000"/>
          <w:kern w:val="0"/>
          <w:sz w:val="28"/>
          <w:szCs w:val="28"/>
        </w:rPr>
      </w:pPr>
      <w:r>
        <w:rPr>
          <w:rFonts w:eastAsia="仿宋_GB2312"/>
          <w:kern w:val="0"/>
          <w:sz w:val="28"/>
          <w:szCs w:val="28"/>
        </w:rPr>
        <w:t>企业的具体信息见下表所示</w:t>
      </w:r>
      <w:r>
        <w:rPr>
          <w:rFonts w:eastAsia="仿宋_GB2312"/>
          <w:color w:val="000000"/>
          <w:kern w:val="0"/>
          <w:sz w:val="28"/>
          <w:szCs w:val="28"/>
        </w:rPr>
        <w:t>。</w:t>
      </w:r>
    </w:p>
    <w:p w14:paraId="0060BE30">
      <w:pPr>
        <w:spacing w:line="300" w:lineRule="auto"/>
        <w:jc w:val="center"/>
        <w:rPr>
          <w:rFonts w:eastAsia="仿宋"/>
          <w:sz w:val="28"/>
          <w:szCs w:val="28"/>
          <w:highlight w:val="none"/>
        </w:rPr>
      </w:pPr>
      <w:r>
        <w:rPr>
          <w:rFonts w:eastAsia="仿宋"/>
          <w:sz w:val="28"/>
          <w:szCs w:val="28"/>
          <w:highlight w:val="none"/>
        </w:rPr>
        <w:t>表2.1-1企业基本信息表</w:t>
      </w:r>
    </w:p>
    <w:tbl>
      <w:tblPr>
        <w:tblStyle w:val="2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4"/>
        <w:gridCol w:w="6763"/>
      </w:tblGrid>
      <w:tr w14:paraId="2CBF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2EF224DB">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公司名称</w:t>
            </w:r>
          </w:p>
        </w:tc>
        <w:tc>
          <w:tcPr>
            <w:tcW w:w="6041" w:type="dxa"/>
            <w:shd w:val="clear" w:color="auto" w:fill="auto"/>
            <w:vAlign w:val="center"/>
          </w:tcPr>
          <w:p w14:paraId="21EABD48">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中国石化销售股份有限公司天津石油分公司</w:t>
            </w:r>
            <w:r>
              <w:rPr>
                <w:rFonts w:hint="eastAsia" w:ascii="Calibri" w:hAnsi="Calibri" w:eastAsia="仿宋"/>
                <w:color w:val="000000"/>
                <w:kern w:val="0"/>
                <w:sz w:val="24"/>
                <w:szCs w:val="24"/>
              </w:rPr>
              <w:t>津南</w:t>
            </w:r>
            <w:r>
              <w:rPr>
                <w:rFonts w:hint="eastAsia" w:ascii="Calibri" w:hAnsi="Calibri" w:eastAsia="仿宋"/>
                <w:color w:val="000000"/>
                <w:kern w:val="0"/>
                <w:sz w:val="24"/>
                <w:szCs w:val="24"/>
                <w:lang w:eastAsia="zh-CN"/>
              </w:rPr>
              <w:t>水利</w:t>
            </w:r>
            <w:r>
              <w:rPr>
                <w:rFonts w:ascii="Calibri" w:hAnsi="Calibri" w:eastAsia="仿宋"/>
                <w:color w:val="000000"/>
                <w:kern w:val="0"/>
                <w:sz w:val="24"/>
                <w:szCs w:val="24"/>
              </w:rPr>
              <w:t>加油站</w:t>
            </w:r>
          </w:p>
        </w:tc>
      </w:tr>
      <w:tr w14:paraId="1606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2A571BA1">
            <w:pPr>
              <w:autoSpaceDE w:val="0"/>
              <w:autoSpaceDN w:val="0"/>
              <w:adjustRightInd w:val="0"/>
              <w:jc w:val="center"/>
              <w:rPr>
                <w:rFonts w:ascii="Calibri" w:hAnsi="Calibri" w:eastAsia="仿宋"/>
                <w:color w:val="000000"/>
                <w:kern w:val="0"/>
                <w:sz w:val="24"/>
                <w:szCs w:val="24"/>
              </w:rPr>
            </w:pPr>
            <w:bookmarkStart w:id="28" w:name="_Hlk524812289"/>
            <w:r>
              <w:rPr>
                <w:rFonts w:ascii="Calibri" w:hAnsi="Calibri" w:eastAsia="仿宋"/>
                <w:color w:val="000000"/>
                <w:kern w:val="0"/>
                <w:sz w:val="24"/>
                <w:szCs w:val="24"/>
              </w:rPr>
              <w:t>详细地址</w:t>
            </w:r>
          </w:p>
        </w:tc>
        <w:tc>
          <w:tcPr>
            <w:tcW w:w="6041" w:type="dxa"/>
            <w:shd w:val="clear" w:color="auto" w:fill="auto"/>
            <w:vAlign w:val="center"/>
          </w:tcPr>
          <w:p w14:paraId="22237048">
            <w:pPr>
              <w:autoSpaceDE w:val="0"/>
              <w:autoSpaceDN w:val="0"/>
              <w:adjustRightInd w:val="0"/>
              <w:jc w:val="center"/>
              <w:rPr>
                <w:rFonts w:ascii="Calibri" w:hAnsi="Calibri" w:eastAsia="仿宋"/>
                <w:color w:val="000000"/>
                <w:kern w:val="0"/>
                <w:sz w:val="24"/>
                <w:szCs w:val="24"/>
              </w:rPr>
            </w:pPr>
            <w:r>
              <w:rPr>
                <w:rFonts w:hint="eastAsia" w:ascii="Calibri" w:hAnsi="Calibri" w:eastAsia="仿宋"/>
                <w:color w:val="000000"/>
                <w:kern w:val="0"/>
                <w:sz w:val="24"/>
                <w:szCs w:val="24"/>
              </w:rPr>
              <w:t>天津市津南区</w:t>
            </w:r>
            <w:r>
              <w:rPr>
                <w:rFonts w:hint="eastAsia" w:ascii="Calibri" w:hAnsi="Calibri" w:eastAsia="仿宋"/>
                <w:color w:val="000000"/>
                <w:kern w:val="0"/>
                <w:sz w:val="24"/>
                <w:szCs w:val="24"/>
                <w:lang w:val="en-US" w:eastAsia="zh-CN"/>
              </w:rPr>
              <w:t>北闸口镇正营村口</w:t>
            </w:r>
          </w:p>
        </w:tc>
      </w:tr>
      <w:bookmarkEnd w:id="28"/>
      <w:tr w14:paraId="2466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65AFDE87">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企业法定代表人</w:t>
            </w:r>
          </w:p>
        </w:tc>
        <w:tc>
          <w:tcPr>
            <w:tcW w:w="6041" w:type="dxa"/>
            <w:shd w:val="clear" w:color="auto" w:fill="auto"/>
            <w:vAlign w:val="center"/>
          </w:tcPr>
          <w:p w14:paraId="3601F75E">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施浩</w:t>
            </w:r>
          </w:p>
        </w:tc>
      </w:tr>
      <w:tr w14:paraId="314D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32586AD2">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所属行业类别</w:t>
            </w:r>
          </w:p>
        </w:tc>
        <w:tc>
          <w:tcPr>
            <w:tcW w:w="6041" w:type="dxa"/>
            <w:shd w:val="clear" w:color="auto" w:fill="auto"/>
            <w:vAlign w:val="center"/>
          </w:tcPr>
          <w:p w14:paraId="44079A6B">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机动车燃油零售F5265</w:t>
            </w:r>
          </w:p>
        </w:tc>
      </w:tr>
      <w:tr w14:paraId="19EF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4C9DB5BF">
            <w:pPr>
              <w:jc w:val="left"/>
              <w:rPr>
                <w:rFonts w:ascii="Calibri" w:hAnsi="Calibri" w:eastAsia="仿宋"/>
                <w:kern w:val="0"/>
                <w:sz w:val="24"/>
                <w:szCs w:val="24"/>
              </w:rPr>
            </w:pPr>
            <w:r>
              <w:rPr>
                <w:rFonts w:ascii="Calibri" w:hAnsi="Calibri" w:eastAsia="仿宋"/>
                <w:kern w:val="0"/>
                <w:sz w:val="24"/>
                <w:szCs w:val="24"/>
              </w:rPr>
              <w:t>统一社会信用代码</w:t>
            </w:r>
          </w:p>
        </w:tc>
        <w:tc>
          <w:tcPr>
            <w:tcW w:w="6041" w:type="dxa"/>
            <w:shd w:val="clear" w:color="auto" w:fill="auto"/>
            <w:vAlign w:val="center"/>
          </w:tcPr>
          <w:p w14:paraId="11B45F33">
            <w:pPr>
              <w:autoSpaceDE w:val="0"/>
              <w:autoSpaceDN w:val="0"/>
              <w:adjustRightInd w:val="0"/>
              <w:jc w:val="center"/>
              <w:rPr>
                <w:rFonts w:hint="default" w:ascii="Calibri" w:hAnsi="Calibri" w:eastAsia="宋体"/>
                <w:color w:val="000000"/>
                <w:kern w:val="0"/>
                <w:sz w:val="24"/>
                <w:szCs w:val="24"/>
                <w:lang w:val="en-US" w:eastAsia="zh-CN"/>
              </w:rPr>
            </w:pPr>
            <w:r>
              <w:rPr>
                <w:rFonts w:ascii="Calibri" w:hAnsi="Calibri" w:eastAsia="Times New Roman"/>
                <w:spacing w:val="-1"/>
                <w:sz w:val="24"/>
                <w:szCs w:val="24"/>
              </w:rPr>
              <w:t>911201</w:t>
            </w:r>
            <w:r>
              <w:rPr>
                <w:rFonts w:hint="eastAsia" w:ascii="Calibri" w:hAnsi="Calibri" w:eastAsia="宋体"/>
                <w:spacing w:val="-1"/>
                <w:sz w:val="24"/>
                <w:szCs w:val="24"/>
                <w:lang w:val="en-US" w:eastAsia="zh-CN"/>
              </w:rPr>
              <w:t>12794978405C</w:t>
            </w:r>
          </w:p>
        </w:tc>
      </w:tr>
      <w:tr w14:paraId="2648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6015F8BA">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经纬度</w:t>
            </w:r>
          </w:p>
        </w:tc>
        <w:tc>
          <w:tcPr>
            <w:tcW w:w="6041" w:type="dxa"/>
            <w:shd w:val="clear" w:color="auto" w:fill="auto"/>
            <w:vAlign w:val="center"/>
          </w:tcPr>
          <w:p w14:paraId="65DB3E75">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E117.</w:t>
            </w:r>
            <w:r>
              <w:rPr>
                <w:rFonts w:hint="eastAsia" w:ascii="Calibri" w:hAnsi="Calibri" w:eastAsia="仿宋"/>
                <w:color w:val="000000"/>
                <w:kern w:val="0"/>
                <w:sz w:val="24"/>
                <w:szCs w:val="24"/>
                <w:lang w:val="en-US" w:eastAsia="zh-CN"/>
              </w:rPr>
              <w:t>401954</w:t>
            </w:r>
            <w:r>
              <w:rPr>
                <w:rFonts w:ascii="Calibri" w:hAnsi="Calibri" w:eastAsia="仿宋"/>
                <w:color w:val="000000"/>
                <w:kern w:val="0"/>
                <w:sz w:val="24"/>
                <w:szCs w:val="24"/>
              </w:rPr>
              <w:t>°，N3</w:t>
            </w:r>
            <w:r>
              <w:rPr>
                <w:rFonts w:hint="eastAsia" w:ascii="Calibri" w:hAnsi="Calibri" w:eastAsia="仿宋"/>
                <w:color w:val="000000"/>
                <w:kern w:val="0"/>
                <w:sz w:val="24"/>
                <w:szCs w:val="24"/>
                <w:lang w:val="en-US" w:eastAsia="zh-CN"/>
              </w:rPr>
              <w:t>8.941973</w:t>
            </w:r>
            <w:r>
              <w:rPr>
                <w:rFonts w:ascii="Calibri" w:hAnsi="Calibri" w:eastAsia="仿宋"/>
                <w:color w:val="000000"/>
                <w:kern w:val="0"/>
                <w:sz w:val="24"/>
                <w:szCs w:val="24"/>
              </w:rPr>
              <w:t>°</w:t>
            </w:r>
          </w:p>
        </w:tc>
      </w:tr>
      <w:tr w14:paraId="2F52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256C7E65">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联系电话</w:t>
            </w:r>
          </w:p>
        </w:tc>
        <w:tc>
          <w:tcPr>
            <w:tcW w:w="6041" w:type="dxa"/>
            <w:shd w:val="clear" w:color="auto" w:fill="auto"/>
            <w:vAlign w:val="center"/>
          </w:tcPr>
          <w:p w14:paraId="41F5BFD7">
            <w:pPr>
              <w:autoSpaceDE w:val="0"/>
              <w:autoSpaceDN w:val="0"/>
              <w:adjustRightInd w:val="0"/>
              <w:jc w:val="center"/>
              <w:rPr>
                <w:rFonts w:ascii="Calibri" w:hAnsi="Calibri" w:eastAsia="仿宋"/>
                <w:color w:val="000000"/>
                <w:kern w:val="0"/>
                <w:sz w:val="24"/>
                <w:szCs w:val="24"/>
              </w:rPr>
            </w:pPr>
            <w:r>
              <w:rPr>
                <w:rFonts w:hint="eastAsia" w:ascii="Calibri" w:hAnsi="Calibri" w:eastAsia="仿宋"/>
                <w:color w:val="000000"/>
                <w:kern w:val="0"/>
                <w:sz w:val="24"/>
                <w:szCs w:val="24"/>
                <w:lang w:val="en-US" w:eastAsia="zh-CN"/>
              </w:rPr>
              <w:t>许莉莉 13821941311</w:t>
            </w:r>
          </w:p>
        </w:tc>
      </w:tr>
      <w:tr w14:paraId="4880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6F555EDE">
            <w:pPr>
              <w:autoSpaceDE w:val="0"/>
              <w:autoSpaceDN w:val="0"/>
              <w:adjustRightInd w:val="0"/>
              <w:jc w:val="center"/>
              <w:rPr>
                <w:rFonts w:ascii="Calibri" w:hAnsi="Calibri" w:eastAsia="仿宋"/>
                <w:color w:val="000000"/>
                <w:kern w:val="0"/>
                <w:sz w:val="24"/>
                <w:szCs w:val="24"/>
              </w:rPr>
            </w:pPr>
            <w:r>
              <w:rPr>
                <w:rFonts w:ascii="Calibri" w:hAnsi="Calibri" w:eastAsia="仿宋"/>
                <w:color w:val="000000"/>
                <w:kern w:val="0"/>
                <w:sz w:val="24"/>
                <w:szCs w:val="24"/>
              </w:rPr>
              <w:t>企业规模</w:t>
            </w:r>
          </w:p>
        </w:tc>
        <w:tc>
          <w:tcPr>
            <w:tcW w:w="6041" w:type="dxa"/>
            <w:shd w:val="clear" w:color="auto" w:fill="auto"/>
            <w:vAlign w:val="center"/>
          </w:tcPr>
          <w:p w14:paraId="31BB38BE">
            <w:pPr>
              <w:autoSpaceDE w:val="0"/>
              <w:autoSpaceDN w:val="0"/>
              <w:adjustRightInd w:val="0"/>
              <w:jc w:val="center"/>
              <w:rPr>
                <w:rFonts w:ascii="Calibri" w:hAnsi="Calibri" w:eastAsia="仿宋"/>
                <w:color w:val="000000"/>
                <w:kern w:val="0"/>
                <w:sz w:val="24"/>
                <w:szCs w:val="24"/>
              </w:rPr>
            </w:pPr>
            <w:r>
              <w:rPr>
                <w:rFonts w:hint="eastAsia" w:ascii="Calibri" w:hAnsi="Calibri" w:eastAsia="仿宋"/>
                <w:color w:val="000000"/>
                <w:kern w:val="0"/>
                <w:sz w:val="24"/>
                <w:szCs w:val="24"/>
              </w:rPr>
              <w:t>30m</w:t>
            </w:r>
            <w:r>
              <w:rPr>
                <w:rFonts w:ascii="Calibri" w:hAnsi="Calibri" w:eastAsia="仿宋" w:cs="Calibri"/>
                <w:color w:val="000000"/>
                <w:kern w:val="0"/>
                <w:sz w:val="24"/>
                <w:szCs w:val="24"/>
              </w:rPr>
              <w:t>³</w:t>
            </w:r>
            <w:r>
              <w:rPr>
                <w:rFonts w:hint="eastAsia" w:ascii="仿宋" w:hAnsi="仿宋" w:eastAsia="仿宋" w:cs="仿宋"/>
                <w:color w:val="000000"/>
                <w:kern w:val="0"/>
                <w:sz w:val="24"/>
                <w:szCs w:val="24"/>
              </w:rPr>
              <w:t>双层卧式乙醇汽油储罐</w:t>
            </w:r>
            <w:r>
              <w:rPr>
                <w:rFonts w:hint="eastAsia" w:ascii="Calibri" w:hAnsi="Calibri" w:eastAsia="仿宋"/>
                <w:color w:val="000000"/>
                <w:kern w:val="0"/>
                <w:sz w:val="24"/>
                <w:szCs w:val="24"/>
              </w:rPr>
              <w:t>3座、30m</w:t>
            </w:r>
            <w:r>
              <w:rPr>
                <w:rFonts w:ascii="Calibri" w:hAnsi="Calibri" w:eastAsia="仿宋" w:cs="Calibri"/>
                <w:color w:val="000000"/>
                <w:kern w:val="0"/>
                <w:sz w:val="24"/>
                <w:szCs w:val="24"/>
              </w:rPr>
              <w:t>³</w:t>
            </w:r>
            <w:r>
              <w:rPr>
                <w:rFonts w:hint="eastAsia" w:ascii="仿宋" w:hAnsi="仿宋" w:eastAsia="仿宋" w:cs="仿宋"/>
                <w:color w:val="000000"/>
                <w:kern w:val="0"/>
                <w:sz w:val="24"/>
                <w:szCs w:val="24"/>
              </w:rPr>
              <w:t>和</w:t>
            </w:r>
            <w:r>
              <w:rPr>
                <w:rFonts w:hint="eastAsia" w:ascii="Calibri" w:hAnsi="Calibri" w:eastAsia="仿宋"/>
                <w:color w:val="000000"/>
                <w:kern w:val="0"/>
                <w:sz w:val="24"/>
                <w:szCs w:val="24"/>
              </w:rPr>
              <w:t>50m</w:t>
            </w:r>
            <w:r>
              <w:rPr>
                <w:rFonts w:hint="eastAsia" w:ascii="Calibri" w:hAnsi="Calibri" w:eastAsia="仿宋"/>
                <w:color w:val="000000"/>
                <w:kern w:val="0"/>
                <w:sz w:val="24"/>
                <w:szCs w:val="24"/>
                <w:vertAlign w:val="superscript"/>
              </w:rPr>
              <w:t>3</w:t>
            </w:r>
            <w:r>
              <w:rPr>
                <w:rFonts w:hint="eastAsia" w:ascii="Calibri" w:hAnsi="Calibri" w:eastAsia="仿宋"/>
                <w:color w:val="000000"/>
                <w:kern w:val="0"/>
                <w:sz w:val="24"/>
                <w:szCs w:val="24"/>
              </w:rPr>
              <w:t>双层卧式柴油储罐各1座，折合油罐总容积130m</w:t>
            </w:r>
            <w:r>
              <w:rPr>
                <w:rFonts w:ascii="Calibri" w:hAnsi="Calibri" w:eastAsia="仿宋" w:cs="Calibri"/>
                <w:color w:val="000000"/>
                <w:kern w:val="0"/>
                <w:sz w:val="24"/>
                <w:szCs w:val="24"/>
              </w:rPr>
              <w:t>³</w:t>
            </w:r>
          </w:p>
        </w:tc>
      </w:tr>
      <w:tr w14:paraId="0A9C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170ED2D7">
            <w:pPr>
              <w:autoSpaceDE w:val="0"/>
              <w:autoSpaceDN w:val="0"/>
              <w:adjustRightInd w:val="0"/>
              <w:jc w:val="center"/>
              <w:rPr>
                <w:rFonts w:ascii="Calibri" w:hAnsi="Calibri" w:eastAsia="仿宋"/>
                <w:color w:val="000000"/>
                <w:kern w:val="0"/>
                <w:sz w:val="24"/>
                <w:szCs w:val="24"/>
              </w:rPr>
            </w:pPr>
            <w:r>
              <w:rPr>
                <w:rFonts w:hint="eastAsia" w:ascii="Calibri" w:hAnsi="Calibri" w:eastAsia="仿宋"/>
                <w:color w:val="000000"/>
                <w:kern w:val="0"/>
                <w:sz w:val="24"/>
                <w:szCs w:val="24"/>
              </w:rPr>
              <w:t>占地</w:t>
            </w:r>
            <w:r>
              <w:rPr>
                <w:rFonts w:ascii="Calibri" w:hAnsi="Calibri" w:eastAsia="仿宋"/>
                <w:color w:val="000000"/>
                <w:kern w:val="0"/>
                <w:sz w:val="24"/>
                <w:szCs w:val="24"/>
              </w:rPr>
              <w:t>面积</w:t>
            </w:r>
          </w:p>
        </w:tc>
        <w:tc>
          <w:tcPr>
            <w:tcW w:w="6041" w:type="dxa"/>
            <w:shd w:val="clear" w:color="auto" w:fill="auto"/>
            <w:vAlign w:val="center"/>
          </w:tcPr>
          <w:p w14:paraId="60620025">
            <w:pPr>
              <w:autoSpaceDE w:val="0"/>
              <w:autoSpaceDN w:val="0"/>
              <w:adjustRightInd w:val="0"/>
              <w:jc w:val="center"/>
              <w:rPr>
                <w:rFonts w:ascii="Calibri" w:hAnsi="Calibri" w:eastAsia="仿宋"/>
                <w:color w:val="000000"/>
                <w:kern w:val="0"/>
                <w:sz w:val="24"/>
                <w:szCs w:val="24"/>
              </w:rPr>
            </w:pPr>
            <w:r>
              <w:rPr>
                <w:rFonts w:hint="eastAsia" w:ascii="Calibri" w:hAnsi="Calibri" w:eastAsia="仿宋"/>
                <w:color w:val="000000"/>
                <w:kern w:val="0"/>
                <w:sz w:val="24"/>
                <w:szCs w:val="24"/>
                <w:lang w:val="en-US" w:eastAsia="zh-CN"/>
              </w:rPr>
              <w:t>2780.4</w:t>
            </w:r>
            <w:r>
              <w:rPr>
                <w:rFonts w:ascii="Calibri" w:hAnsi="Calibri" w:eastAsia="仿宋"/>
                <w:color w:val="000000"/>
                <w:kern w:val="0"/>
                <w:sz w:val="24"/>
                <w:szCs w:val="24"/>
              </w:rPr>
              <w:t>m</w:t>
            </w:r>
            <w:r>
              <w:rPr>
                <w:rFonts w:ascii="Calibri" w:hAnsi="Calibri" w:eastAsia="仿宋"/>
                <w:color w:val="000000"/>
                <w:kern w:val="0"/>
                <w:sz w:val="24"/>
                <w:szCs w:val="24"/>
                <w:vertAlign w:val="superscript"/>
              </w:rPr>
              <w:t>2</w:t>
            </w:r>
          </w:p>
        </w:tc>
      </w:tr>
    </w:tbl>
    <w:p w14:paraId="4130955C">
      <w:pPr>
        <w:autoSpaceDE w:val="0"/>
        <w:autoSpaceDN w:val="0"/>
        <w:snapToGrid w:val="0"/>
        <w:spacing w:line="360" w:lineRule="auto"/>
        <w:ind w:firstLine="560" w:firstLineChars="200"/>
        <w:jc w:val="left"/>
        <w:rPr>
          <w:rFonts w:eastAsia="仿宋_GB2312"/>
          <w:kern w:val="0"/>
          <w:sz w:val="28"/>
          <w:szCs w:val="28"/>
        </w:rPr>
      </w:pPr>
      <w:r>
        <w:rPr>
          <w:rFonts w:hint="eastAsia" w:eastAsia="仿宋_GB2312"/>
          <w:kern w:val="0"/>
          <w:sz w:val="28"/>
          <w:szCs w:val="28"/>
        </w:rPr>
        <w:t>加油站</w:t>
      </w:r>
      <w:r>
        <w:rPr>
          <w:rFonts w:eastAsia="仿宋_GB2312"/>
          <w:kern w:val="0"/>
          <w:sz w:val="28"/>
          <w:szCs w:val="28"/>
        </w:rPr>
        <w:t>的</w:t>
      </w:r>
      <w:r>
        <w:rPr>
          <w:rFonts w:hint="eastAsia" w:eastAsia="仿宋_GB2312"/>
          <w:kern w:val="0"/>
          <w:sz w:val="28"/>
          <w:szCs w:val="28"/>
        </w:rPr>
        <w:t>平面布置图</w:t>
      </w:r>
      <w:r>
        <w:rPr>
          <w:rFonts w:eastAsia="仿宋_GB2312"/>
          <w:kern w:val="0"/>
          <w:sz w:val="28"/>
          <w:szCs w:val="28"/>
        </w:rPr>
        <w:t>见图2.1-1。</w:t>
      </w:r>
    </w:p>
    <w:p w14:paraId="13D547E5">
      <w:pPr>
        <w:autoSpaceDE w:val="0"/>
        <w:autoSpaceDN w:val="0"/>
        <w:snapToGrid w:val="0"/>
        <w:spacing w:line="360" w:lineRule="auto"/>
        <w:ind w:firstLine="561"/>
        <w:jc w:val="left"/>
        <w:rPr>
          <w:rFonts w:eastAsia="仿宋_GB2312"/>
          <w:kern w:val="0"/>
          <w:sz w:val="28"/>
          <w:szCs w:val="28"/>
        </w:rPr>
      </w:pPr>
    </w:p>
    <w:p w14:paraId="379422DF">
      <w:pPr>
        <w:spacing w:line="300" w:lineRule="auto"/>
        <w:jc w:val="center"/>
        <w:rPr>
          <w:rFonts w:eastAsia="仿宋"/>
          <w:sz w:val="28"/>
          <w:szCs w:val="28"/>
        </w:rPr>
      </w:pPr>
      <w:r>
        <w:rPr>
          <w:rFonts w:eastAsia="仿宋"/>
          <w:sz w:val="28"/>
          <w:szCs w:val="28"/>
        </w:rPr>
        <w:t>图2.1-1</w:t>
      </w:r>
      <w:r>
        <w:rPr>
          <w:rFonts w:hint="eastAsia" w:eastAsia="仿宋_GB2312"/>
          <w:kern w:val="0"/>
          <w:sz w:val="28"/>
          <w:szCs w:val="28"/>
        </w:rPr>
        <w:t>平面布置</w:t>
      </w:r>
      <w:r>
        <w:rPr>
          <w:rFonts w:eastAsia="仿宋_GB2312"/>
          <w:kern w:val="0"/>
          <w:sz w:val="28"/>
          <w:szCs w:val="28"/>
        </w:rPr>
        <w:t>图</w:t>
      </w:r>
    </w:p>
    <w:p w14:paraId="5A6466A9">
      <w:pPr>
        <w:spacing w:line="360" w:lineRule="auto"/>
        <w:outlineLvl w:val="1"/>
        <w:rPr>
          <w:rFonts w:eastAsia="黑体"/>
          <w:bCs/>
          <w:sz w:val="28"/>
          <w:szCs w:val="32"/>
          <w:highlight w:val="none"/>
        </w:rPr>
      </w:pPr>
      <w:r>
        <w:rPr>
          <w:rFonts w:eastAsia="黑体"/>
          <w:bCs/>
          <w:sz w:val="28"/>
          <w:szCs w:val="32"/>
          <w:highlight w:val="none"/>
        </w:rPr>
        <w:t>2.</w:t>
      </w:r>
      <w:bookmarkEnd w:id="25"/>
      <w:r>
        <w:rPr>
          <w:rFonts w:eastAsia="黑体"/>
          <w:bCs/>
          <w:sz w:val="28"/>
          <w:szCs w:val="32"/>
          <w:highlight w:val="none"/>
        </w:rPr>
        <w:t>2</w:t>
      </w:r>
      <w:r>
        <w:rPr>
          <w:rFonts w:hint="eastAsia" w:eastAsia="黑体"/>
          <w:bCs/>
          <w:sz w:val="28"/>
          <w:szCs w:val="32"/>
          <w:highlight w:val="none"/>
        </w:rPr>
        <w:t>风险物质</w:t>
      </w:r>
      <w:r>
        <w:rPr>
          <w:rFonts w:eastAsia="黑体"/>
          <w:bCs/>
          <w:sz w:val="28"/>
          <w:szCs w:val="32"/>
          <w:highlight w:val="none"/>
        </w:rPr>
        <w:t>和危险废物基本情况</w:t>
      </w:r>
      <w:bookmarkEnd w:id="26"/>
    </w:p>
    <w:p w14:paraId="123472EE">
      <w:pPr>
        <w:spacing w:line="360" w:lineRule="auto"/>
        <w:outlineLvl w:val="2"/>
        <w:rPr>
          <w:rFonts w:eastAsia="仿宋_GB2312"/>
          <w:b/>
          <w:bCs/>
          <w:sz w:val="28"/>
          <w:szCs w:val="32"/>
        </w:rPr>
      </w:pPr>
      <w:r>
        <w:rPr>
          <w:rFonts w:eastAsia="仿宋_GB2312"/>
          <w:b/>
          <w:bCs/>
          <w:sz w:val="28"/>
          <w:szCs w:val="32"/>
        </w:rPr>
        <w:t>2.2.1</w:t>
      </w:r>
      <w:r>
        <w:rPr>
          <w:rFonts w:hint="eastAsia" w:eastAsia="仿宋_GB2312"/>
          <w:b/>
          <w:bCs/>
          <w:sz w:val="28"/>
          <w:szCs w:val="32"/>
        </w:rPr>
        <w:t>风险物质</w:t>
      </w:r>
      <w:r>
        <w:rPr>
          <w:rFonts w:eastAsia="仿宋_GB2312"/>
          <w:b/>
          <w:bCs/>
          <w:sz w:val="28"/>
          <w:szCs w:val="32"/>
        </w:rPr>
        <w:t>基本情况</w:t>
      </w:r>
    </w:p>
    <w:p w14:paraId="3155E4CA">
      <w:pPr>
        <w:autoSpaceDE w:val="0"/>
        <w:autoSpaceDN w:val="0"/>
        <w:snapToGrid w:val="0"/>
        <w:spacing w:line="360" w:lineRule="auto"/>
        <w:ind w:firstLine="561"/>
        <w:jc w:val="left"/>
        <w:rPr>
          <w:rFonts w:hint="eastAsia" w:eastAsia="仿宋_GB2312"/>
          <w:kern w:val="0"/>
          <w:sz w:val="28"/>
          <w:szCs w:val="28"/>
          <w:highlight w:val="none"/>
        </w:rPr>
      </w:pPr>
      <w:r>
        <w:rPr>
          <w:rFonts w:eastAsia="仿宋_GB2312"/>
          <w:kern w:val="0"/>
          <w:sz w:val="28"/>
          <w:szCs w:val="28"/>
        </w:rPr>
        <w:t>根据环境风险评估报告的筛选情况，</w:t>
      </w:r>
      <w:r>
        <w:rPr>
          <w:rFonts w:hint="eastAsia" w:eastAsia="仿宋_GB2312"/>
          <w:kern w:val="0"/>
          <w:sz w:val="28"/>
          <w:szCs w:val="28"/>
        </w:rPr>
        <w:t>加油站</w:t>
      </w:r>
      <w:r>
        <w:rPr>
          <w:rFonts w:eastAsia="仿宋_GB2312"/>
          <w:kern w:val="0"/>
          <w:sz w:val="28"/>
          <w:szCs w:val="28"/>
        </w:rPr>
        <w:t>涉及的</w:t>
      </w:r>
      <w:r>
        <w:rPr>
          <w:rFonts w:hint="eastAsia" w:eastAsia="仿宋_GB2312"/>
          <w:kern w:val="0"/>
          <w:sz w:val="28"/>
          <w:szCs w:val="28"/>
        </w:rPr>
        <w:t>风险物质</w:t>
      </w:r>
      <w:r>
        <w:rPr>
          <w:rFonts w:eastAsia="仿宋_GB2312"/>
          <w:kern w:val="0"/>
          <w:sz w:val="28"/>
          <w:szCs w:val="28"/>
        </w:rPr>
        <w:t>如下表所示。</w:t>
      </w:r>
    </w:p>
    <w:p w14:paraId="12784FEA">
      <w:pPr>
        <w:tabs>
          <w:tab w:val="left" w:pos="4800"/>
        </w:tabs>
        <w:snapToGrid w:val="0"/>
        <w:jc w:val="center"/>
        <w:rPr>
          <w:rFonts w:eastAsia="仿宋_GB2312"/>
          <w:sz w:val="28"/>
          <w:szCs w:val="28"/>
          <w:highlight w:val="none"/>
        </w:rPr>
      </w:pPr>
      <w:r>
        <w:rPr>
          <w:sz w:val="28"/>
          <w:szCs w:val="28"/>
          <w:highlight w:val="none"/>
        </w:rPr>
        <w:drawing>
          <wp:anchor distT="0" distB="0" distL="114300" distR="114300" simplePos="0" relativeHeight="251679744" behindDoc="0" locked="0" layoutInCell="1" allowOverlap="1">
            <wp:simplePos x="0" y="0"/>
            <wp:positionH relativeFrom="column">
              <wp:posOffset>-12065</wp:posOffset>
            </wp:positionH>
            <wp:positionV relativeFrom="paragraph">
              <wp:posOffset>-1651000</wp:posOffset>
            </wp:positionV>
            <wp:extent cx="5349875" cy="3180715"/>
            <wp:effectExtent l="0" t="0" r="0" b="0"/>
            <wp:wrapTopAndBottom/>
            <wp:docPr id="3" name="图片 3" descr="未命名文件(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文件(35)"/>
                    <pic:cNvPicPr>
                      <a:picLocks noChangeAspect="1"/>
                    </pic:cNvPicPr>
                  </pic:nvPicPr>
                  <pic:blipFill>
                    <a:blip r:embed="rId13"/>
                    <a:stretch>
                      <a:fillRect/>
                    </a:stretch>
                  </pic:blipFill>
                  <pic:spPr>
                    <a:xfrm>
                      <a:off x="0" y="0"/>
                      <a:ext cx="5349875" cy="3180715"/>
                    </a:xfrm>
                    <a:prstGeom prst="rect">
                      <a:avLst/>
                    </a:prstGeom>
                  </pic:spPr>
                </pic:pic>
              </a:graphicData>
            </a:graphic>
          </wp:anchor>
        </w:drawing>
      </w:r>
      <w:r>
        <w:rPr>
          <w:rFonts w:eastAsia="仿宋_GB2312"/>
          <w:sz w:val="28"/>
          <w:szCs w:val="28"/>
          <w:highlight w:val="none"/>
        </w:rPr>
        <w:t>表2.2-1风险物质基本情况</w:t>
      </w:r>
    </w:p>
    <w:p w14:paraId="0DF33FA3">
      <w:pPr>
        <w:tabs>
          <w:tab w:val="left" w:pos="4800"/>
        </w:tabs>
        <w:snapToGrid w:val="0"/>
        <w:jc w:val="right"/>
        <w:rPr>
          <w:rFonts w:eastAsia="仿宋_GB2312"/>
          <w:sz w:val="28"/>
          <w:szCs w:val="28"/>
        </w:rPr>
      </w:pPr>
      <w:r>
        <w:rPr>
          <w:rFonts w:eastAsia="仿宋_GB2312"/>
          <w:sz w:val="28"/>
          <w:szCs w:val="28"/>
        </w:rPr>
        <w:t>单位：t</w:t>
      </w:r>
    </w:p>
    <w:tbl>
      <w:tblPr>
        <w:tblStyle w:val="41"/>
        <w:tblW w:w="53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50"/>
        <w:gridCol w:w="3712"/>
        <w:gridCol w:w="1284"/>
        <w:gridCol w:w="1571"/>
        <w:gridCol w:w="1337"/>
      </w:tblGrid>
      <w:tr w14:paraId="7C49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1851" w:type="dxa"/>
            <w:shd w:val="clear" w:color="auto" w:fill="FFFFFF"/>
            <w:vAlign w:val="center"/>
          </w:tcPr>
          <w:p w14:paraId="67FF65EE">
            <w:pPr>
              <w:topLinePunct/>
              <w:adjustRightInd w:val="0"/>
              <w:snapToGrid w:val="0"/>
              <w:jc w:val="center"/>
              <w:rPr>
                <w:rFonts w:eastAsia="仿宋"/>
                <w:kern w:val="0"/>
                <w:sz w:val="24"/>
                <w:szCs w:val="22"/>
              </w:rPr>
            </w:pPr>
            <w:bookmarkStart w:id="29" w:name="_Hlk182230958"/>
            <w:r>
              <w:rPr>
                <w:rFonts w:hint="eastAsia" w:eastAsia="仿宋"/>
                <w:kern w:val="0"/>
                <w:sz w:val="24"/>
                <w:szCs w:val="22"/>
              </w:rPr>
              <w:t>风险</w:t>
            </w:r>
            <w:r>
              <w:rPr>
                <w:rFonts w:eastAsia="仿宋"/>
                <w:kern w:val="0"/>
                <w:sz w:val="24"/>
                <w:szCs w:val="22"/>
              </w:rPr>
              <w:t>物质名称</w:t>
            </w:r>
          </w:p>
        </w:tc>
        <w:tc>
          <w:tcPr>
            <w:tcW w:w="3713" w:type="dxa"/>
            <w:shd w:val="clear" w:color="auto" w:fill="FFFFFF"/>
            <w:vAlign w:val="center"/>
          </w:tcPr>
          <w:p w14:paraId="269F3BCC">
            <w:pPr>
              <w:topLinePunct/>
              <w:adjustRightInd w:val="0"/>
              <w:snapToGrid w:val="0"/>
              <w:jc w:val="center"/>
              <w:rPr>
                <w:rFonts w:eastAsia="仿宋"/>
                <w:kern w:val="0"/>
                <w:sz w:val="24"/>
                <w:szCs w:val="22"/>
              </w:rPr>
            </w:pPr>
            <w:r>
              <w:rPr>
                <w:rFonts w:hint="eastAsia" w:eastAsia="仿宋"/>
                <w:kern w:val="0"/>
                <w:sz w:val="24"/>
                <w:szCs w:val="22"/>
              </w:rPr>
              <w:t>存在</w:t>
            </w:r>
            <w:r>
              <w:rPr>
                <w:rFonts w:eastAsia="仿宋"/>
                <w:kern w:val="0"/>
                <w:sz w:val="24"/>
                <w:szCs w:val="22"/>
              </w:rPr>
              <w:t>形式</w:t>
            </w:r>
            <w:r>
              <w:rPr>
                <w:rFonts w:hint="eastAsia" w:eastAsia="仿宋"/>
                <w:kern w:val="0"/>
                <w:sz w:val="24"/>
                <w:szCs w:val="22"/>
              </w:rPr>
              <w:t>及</w:t>
            </w:r>
            <w:r>
              <w:rPr>
                <w:rFonts w:eastAsia="仿宋"/>
                <w:kern w:val="0"/>
                <w:sz w:val="24"/>
                <w:szCs w:val="22"/>
              </w:rPr>
              <w:t>相应存在量</w:t>
            </w:r>
          </w:p>
        </w:tc>
        <w:tc>
          <w:tcPr>
            <w:tcW w:w="1284" w:type="dxa"/>
            <w:shd w:val="clear" w:color="auto" w:fill="FFFFFF"/>
            <w:vAlign w:val="center"/>
          </w:tcPr>
          <w:p w14:paraId="10C17AB5">
            <w:pPr>
              <w:topLinePunct/>
              <w:adjustRightInd w:val="0"/>
              <w:snapToGrid w:val="0"/>
              <w:jc w:val="center"/>
              <w:rPr>
                <w:rFonts w:eastAsia="仿宋"/>
                <w:kern w:val="0"/>
                <w:sz w:val="24"/>
                <w:szCs w:val="22"/>
              </w:rPr>
            </w:pPr>
            <w:r>
              <w:rPr>
                <w:rFonts w:hint="eastAsia" w:eastAsia="仿宋"/>
                <w:kern w:val="0"/>
                <w:sz w:val="24"/>
                <w:szCs w:val="22"/>
              </w:rPr>
              <w:t>在混合</w:t>
            </w:r>
            <w:r>
              <w:rPr>
                <w:rFonts w:eastAsia="仿宋"/>
                <w:kern w:val="0"/>
                <w:sz w:val="24"/>
                <w:szCs w:val="22"/>
              </w:rPr>
              <w:t>物中的含量</w:t>
            </w:r>
          </w:p>
        </w:tc>
        <w:tc>
          <w:tcPr>
            <w:tcW w:w="1571" w:type="dxa"/>
            <w:shd w:val="clear" w:color="auto" w:fill="FFFFFF"/>
            <w:vAlign w:val="center"/>
          </w:tcPr>
          <w:p w14:paraId="7115FC65">
            <w:pPr>
              <w:topLinePunct/>
              <w:adjustRightInd w:val="0"/>
              <w:snapToGrid w:val="0"/>
              <w:jc w:val="center"/>
              <w:rPr>
                <w:rFonts w:eastAsia="仿宋"/>
                <w:kern w:val="0"/>
                <w:sz w:val="24"/>
                <w:szCs w:val="22"/>
              </w:rPr>
            </w:pPr>
            <w:r>
              <w:rPr>
                <w:rFonts w:hint="eastAsia" w:eastAsia="仿宋"/>
                <w:kern w:val="0"/>
                <w:sz w:val="24"/>
                <w:szCs w:val="22"/>
              </w:rPr>
              <w:t>风险物质</w:t>
            </w:r>
            <w:r>
              <w:rPr>
                <w:rFonts w:eastAsia="仿宋"/>
                <w:kern w:val="0"/>
                <w:sz w:val="24"/>
                <w:szCs w:val="22"/>
              </w:rPr>
              <w:t>最大</w:t>
            </w:r>
            <w:r>
              <w:rPr>
                <w:rFonts w:hint="eastAsia" w:eastAsia="仿宋"/>
                <w:kern w:val="0"/>
                <w:sz w:val="24"/>
                <w:szCs w:val="22"/>
              </w:rPr>
              <w:t>存储量</w:t>
            </w:r>
            <w:r>
              <w:rPr>
                <w:rFonts w:eastAsia="仿宋"/>
                <w:kern w:val="0"/>
                <w:sz w:val="24"/>
                <w:szCs w:val="22"/>
              </w:rPr>
              <w:t>（</w:t>
            </w:r>
            <w:r>
              <w:rPr>
                <w:rFonts w:hint="eastAsia" w:eastAsia="仿宋"/>
                <w:kern w:val="0"/>
                <w:sz w:val="24"/>
                <w:szCs w:val="22"/>
              </w:rPr>
              <w:t>t</w:t>
            </w:r>
            <w:r>
              <w:rPr>
                <w:rFonts w:eastAsia="仿宋"/>
                <w:kern w:val="0"/>
                <w:sz w:val="24"/>
                <w:szCs w:val="22"/>
              </w:rPr>
              <w:t>）</w:t>
            </w:r>
          </w:p>
        </w:tc>
        <w:tc>
          <w:tcPr>
            <w:tcW w:w="1337" w:type="dxa"/>
            <w:shd w:val="clear" w:color="auto" w:fill="FFFFFF"/>
          </w:tcPr>
          <w:p w14:paraId="432ACB7A">
            <w:pPr>
              <w:topLinePunct/>
              <w:adjustRightInd w:val="0"/>
              <w:snapToGrid w:val="0"/>
              <w:jc w:val="center"/>
              <w:rPr>
                <w:rFonts w:eastAsia="仿宋"/>
                <w:kern w:val="0"/>
                <w:sz w:val="24"/>
                <w:szCs w:val="22"/>
              </w:rPr>
            </w:pPr>
            <w:r>
              <w:rPr>
                <w:rFonts w:eastAsia="仿宋"/>
                <w:sz w:val="24"/>
                <w:szCs w:val="24"/>
              </w:rPr>
              <w:t>临界储存量（t）</w:t>
            </w:r>
          </w:p>
        </w:tc>
      </w:tr>
      <w:tr w14:paraId="7D1D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51" w:type="dxa"/>
            <w:vMerge w:val="restart"/>
            <w:vAlign w:val="center"/>
          </w:tcPr>
          <w:p w14:paraId="681B0AD6">
            <w:pPr>
              <w:spacing w:line="360" w:lineRule="auto"/>
              <w:jc w:val="center"/>
              <w:rPr>
                <w:rFonts w:eastAsia="仿宋"/>
                <w:sz w:val="24"/>
                <w:szCs w:val="22"/>
              </w:rPr>
            </w:pPr>
            <w:r>
              <w:rPr>
                <w:rFonts w:hint="eastAsia" w:eastAsia="仿宋"/>
                <w:sz w:val="24"/>
                <w:szCs w:val="22"/>
              </w:rPr>
              <w:t>油类物质</w:t>
            </w:r>
          </w:p>
        </w:tc>
        <w:tc>
          <w:tcPr>
            <w:tcW w:w="3713" w:type="dxa"/>
            <w:vAlign w:val="center"/>
          </w:tcPr>
          <w:p w14:paraId="35BA75CE">
            <w:pPr>
              <w:jc w:val="center"/>
              <w:rPr>
                <w:rFonts w:eastAsia="仿宋"/>
                <w:sz w:val="24"/>
                <w:szCs w:val="22"/>
              </w:rPr>
            </w:pPr>
            <w:r>
              <w:rPr>
                <w:rFonts w:hint="eastAsia" w:eastAsia="仿宋"/>
                <w:sz w:val="24"/>
                <w:szCs w:val="22"/>
              </w:rPr>
              <w:t>乙醇</w:t>
            </w:r>
            <w:r>
              <w:rPr>
                <w:rFonts w:eastAsia="仿宋"/>
                <w:sz w:val="24"/>
                <w:szCs w:val="22"/>
              </w:rPr>
              <w:t>汽油中的汽油</w:t>
            </w:r>
          </w:p>
          <w:p w14:paraId="01AC71D7">
            <w:pPr>
              <w:jc w:val="center"/>
              <w:rPr>
                <w:rFonts w:eastAsia="仿宋"/>
                <w:sz w:val="24"/>
                <w:szCs w:val="22"/>
              </w:rPr>
            </w:pPr>
            <w:r>
              <w:rPr>
                <w:rFonts w:hint="eastAsia" w:eastAsia="仿宋"/>
                <w:sz w:val="24"/>
                <w:szCs w:val="22"/>
              </w:rPr>
              <w:t>（</w:t>
            </w:r>
            <w:r>
              <w:rPr>
                <w:rFonts w:eastAsia="仿宋"/>
                <w:sz w:val="24"/>
                <w:szCs w:val="22"/>
              </w:rPr>
              <w:t>乙醇汽油</w:t>
            </w:r>
            <w:r>
              <w:rPr>
                <w:rFonts w:eastAsia="仿宋"/>
                <w:sz w:val="24"/>
                <w:szCs w:val="24"/>
              </w:rPr>
              <w:t>由</w:t>
            </w:r>
            <w:r>
              <w:rPr>
                <w:rFonts w:hint="eastAsia" w:eastAsia="仿宋"/>
                <w:sz w:val="24"/>
                <w:szCs w:val="24"/>
              </w:rPr>
              <w:t>3座3</w:t>
            </w:r>
            <w:r>
              <w:rPr>
                <w:rFonts w:eastAsia="仿宋"/>
                <w:sz w:val="24"/>
                <w:szCs w:val="24"/>
              </w:rPr>
              <w:t>0</w:t>
            </w:r>
            <w:r>
              <w:rPr>
                <w:rFonts w:eastAsia="仿宋"/>
                <w:bCs/>
                <w:sz w:val="24"/>
                <w:szCs w:val="24"/>
              </w:rPr>
              <w:t>m</w:t>
            </w:r>
            <w:r>
              <w:rPr>
                <w:rFonts w:eastAsia="仿宋"/>
                <w:bCs/>
                <w:sz w:val="24"/>
                <w:szCs w:val="24"/>
                <w:vertAlign w:val="superscript"/>
              </w:rPr>
              <w:t>3</w:t>
            </w:r>
            <w:r>
              <w:rPr>
                <w:rFonts w:eastAsia="仿宋"/>
                <w:sz w:val="24"/>
                <w:szCs w:val="24"/>
              </w:rPr>
              <w:t>地下储罐</w:t>
            </w:r>
            <w:r>
              <w:rPr>
                <w:rFonts w:hint="eastAsia" w:eastAsia="仿宋"/>
                <w:sz w:val="24"/>
                <w:szCs w:val="22"/>
              </w:rPr>
              <w:t>）</w:t>
            </w:r>
          </w:p>
        </w:tc>
        <w:tc>
          <w:tcPr>
            <w:tcW w:w="1284" w:type="dxa"/>
            <w:vAlign w:val="center"/>
          </w:tcPr>
          <w:p w14:paraId="76CCB9B1">
            <w:pPr>
              <w:spacing w:line="360" w:lineRule="auto"/>
              <w:jc w:val="center"/>
              <w:rPr>
                <w:rFonts w:eastAsia="仿宋"/>
                <w:sz w:val="24"/>
                <w:szCs w:val="22"/>
              </w:rPr>
            </w:pPr>
            <w:r>
              <w:rPr>
                <w:rFonts w:hint="eastAsia" w:eastAsia="仿宋"/>
                <w:sz w:val="24"/>
                <w:szCs w:val="22"/>
              </w:rPr>
              <w:t>90</w:t>
            </w:r>
            <w:r>
              <w:rPr>
                <w:rFonts w:eastAsia="仿宋"/>
                <w:sz w:val="24"/>
                <w:szCs w:val="22"/>
              </w:rPr>
              <w:t>%</w:t>
            </w:r>
          </w:p>
        </w:tc>
        <w:tc>
          <w:tcPr>
            <w:tcW w:w="1571" w:type="dxa"/>
            <w:vAlign w:val="center"/>
          </w:tcPr>
          <w:p w14:paraId="3DDF90C7">
            <w:pPr>
              <w:spacing w:line="360" w:lineRule="auto"/>
              <w:jc w:val="center"/>
              <w:rPr>
                <w:sz w:val="24"/>
                <w:szCs w:val="22"/>
              </w:rPr>
            </w:pPr>
            <w:r>
              <w:rPr>
                <w:rFonts w:hint="eastAsia" w:eastAsia="仿宋"/>
                <w:sz w:val="24"/>
                <w:szCs w:val="24"/>
              </w:rPr>
              <w:t>54.675</w:t>
            </w:r>
          </w:p>
        </w:tc>
        <w:tc>
          <w:tcPr>
            <w:tcW w:w="1337" w:type="dxa"/>
            <w:vAlign w:val="center"/>
          </w:tcPr>
          <w:p w14:paraId="32B919D4">
            <w:pPr>
              <w:spacing w:line="360" w:lineRule="auto"/>
              <w:jc w:val="center"/>
              <w:rPr>
                <w:rFonts w:eastAsia="仿宋"/>
                <w:sz w:val="24"/>
                <w:szCs w:val="22"/>
              </w:rPr>
            </w:pPr>
            <w:r>
              <w:rPr>
                <w:rFonts w:hint="eastAsia" w:eastAsia="仿宋"/>
                <w:sz w:val="24"/>
                <w:szCs w:val="22"/>
              </w:rPr>
              <w:t>2500</w:t>
            </w:r>
          </w:p>
        </w:tc>
      </w:tr>
      <w:tr w14:paraId="0B5C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1851" w:type="dxa"/>
            <w:vMerge w:val="continue"/>
            <w:vAlign w:val="center"/>
          </w:tcPr>
          <w:p w14:paraId="4E880FA3">
            <w:pPr>
              <w:spacing w:line="360" w:lineRule="auto"/>
              <w:jc w:val="center"/>
              <w:rPr>
                <w:rFonts w:eastAsia="仿宋"/>
                <w:sz w:val="24"/>
                <w:szCs w:val="22"/>
              </w:rPr>
            </w:pPr>
          </w:p>
        </w:tc>
        <w:tc>
          <w:tcPr>
            <w:tcW w:w="3713" w:type="dxa"/>
            <w:vAlign w:val="center"/>
          </w:tcPr>
          <w:p w14:paraId="7CB70EC8">
            <w:pPr>
              <w:jc w:val="center"/>
              <w:rPr>
                <w:rFonts w:eastAsia="仿宋"/>
                <w:sz w:val="24"/>
                <w:szCs w:val="22"/>
              </w:rPr>
            </w:pPr>
            <w:r>
              <w:rPr>
                <w:rFonts w:hint="eastAsia" w:eastAsia="仿宋"/>
                <w:sz w:val="24"/>
                <w:szCs w:val="22"/>
              </w:rPr>
              <w:t>柴油，</w:t>
            </w:r>
            <w:r>
              <w:rPr>
                <w:rFonts w:hint="eastAsia" w:eastAsia="仿宋"/>
                <w:sz w:val="24"/>
                <w:szCs w:val="24"/>
              </w:rPr>
              <w:t>1座</w:t>
            </w:r>
            <w:r>
              <w:rPr>
                <w:rFonts w:hint="eastAsia" w:eastAsia="仿宋"/>
                <w:sz w:val="24"/>
                <w:szCs w:val="24"/>
                <w:lang w:val="en-US" w:eastAsia="zh-CN"/>
              </w:rPr>
              <w:t>3</w:t>
            </w:r>
            <w:r>
              <w:rPr>
                <w:rFonts w:hint="eastAsia" w:eastAsia="仿宋"/>
                <w:sz w:val="24"/>
                <w:szCs w:val="24"/>
              </w:rPr>
              <w:t>0m</w:t>
            </w:r>
            <w:r>
              <w:rPr>
                <w:rFonts w:hint="eastAsia" w:eastAsia="仿宋"/>
                <w:sz w:val="24"/>
                <w:szCs w:val="24"/>
                <w:vertAlign w:val="superscript"/>
              </w:rPr>
              <w:t>3</w:t>
            </w:r>
            <w:r>
              <w:rPr>
                <w:rFonts w:eastAsia="仿宋"/>
                <w:sz w:val="24"/>
                <w:szCs w:val="24"/>
              </w:rPr>
              <w:t>地下储罐</w:t>
            </w:r>
          </w:p>
        </w:tc>
        <w:tc>
          <w:tcPr>
            <w:tcW w:w="1284" w:type="dxa"/>
            <w:vAlign w:val="center"/>
          </w:tcPr>
          <w:p w14:paraId="0A53A812">
            <w:pPr>
              <w:spacing w:line="360" w:lineRule="auto"/>
              <w:jc w:val="center"/>
              <w:rPr>
                <w:rFonts w:eastAsia="仿宋"/>
                <w:sz w:val="24"/>
                <w:szCs w:val="22"/>
              </w:rPr>
            </w:pPr>
            <w:r>
              <w:rPr>
                <w:rFonts w:hint="eastAsia" w:eastAsia="仿宋"/>
                <w:sz w:val="24"/>
                <w:szCs w:val="22"/>
              </w:rPr>
              <w:t>100</w:t>
            </w:r>
            <w:r>
              <w:rPr>
                <w:rFonts w:eastAsia="仿宋"/>
                <w:sz w:val="24"/>
                <w:szCs w:val="22"/>
              </w:rPr>
              <w:t>%</w:t>
            </w:r>
          </w:p>
        </w:tc>
        <w:tc>
          <w:tcPr>
            <w:tcW w:w="1571" w:type="dxa"/>
            <w:vAlign w:val="center"/>
          </w:tcPr>
          <w:p w14:paraId="33CB6C5E">
            <w:pPr>
              <w:spacing w:line="360" w:lineRule="auto"/>
              <w:jc w:val="center"/>
              <w:rPr>
                <w:rFonts w:hint="default" w:eastAsia="仿宋"/>
                <w:sz w:val="24"/>
                <w:szCs w:val="22"/>
                <w:lang w:val="en-US" w:eastAsia="zh-CN"/>
              </w:rPr>
            </w:pPr>
            <w:r>
              <w:rPr>
                <w:rFonts w:hint="eastAsia" w:eastAsia="仿宋"/>
                <w:sz w:val="24"/>
                <w:szCs w:val="22"/>
                <w:lang w:val="en-US" w:eastAsia="zh-CN"/>
              </w:rPr>
              <w:t>22.95</w:t>
            </w:r>
          </w:p>
        </w:tc>
        <w:tc>
          <w:tcPr>
            <w:tcW w:w="1337" w:type="dxa"/>
            <w:vAlign w:val="center"/>
          </w:tcPr>
          <w:p w14:paraId="3AE923C6">
            <w:pPr>
              <w:spacing w:line="360" w:lineRule="auto"/>
              <w:jc w:val="center"/>
              <w:rPr>
                <w:rFonts w:eastAsia="仿宋"/>
                <w:sz w:val="24"/>
                <w:szCs w:val="22"/>
              </w:rPr>
            </w:pPr>
            <w:r>
              <w:rPr>
                <w:rFonts w:hint="eastAsia" w:eastAsia="仿宋"/>
                <w:sz w:val="24"/>
                <w:szCs w:val="22"/>
              </w:rPr>
              <w:t>2500</w:t>
            </w:r>
          </w:p>
        </w:tc>
      </w:tr>
      <w:tr w14:paraId="1E86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1851" w:type="dxa"/>
            <w:vAlign w:val="center"/>
          </w:tcPr>
          <w:p w14:paraId="36260C32">
            <w:pPr>
              <w:spacing w:line="360" w:lineRule="auto"/>
              <w:jc w:val="center"/>
              <w:rPr>
                <w:rFonts w:eastAsia="仿宋"/>
                <w:sz w:val="24"/>
                <w:szCs w:val="22"/>
              </w:rPr>
            </w:pPr>
            <w:r>
              <w:rPr>
                <w:rFonts w:hint="eastAsia" w:eastAsia="仿宋"/>
                <w:sz w:val="24"/>
                <w:szCs w:val="22"/>
              </w:rPr>
              <w:t>乙醇</w:t>
            </w:r>
          </w:p>
        </w:tc>
        <w:tc>
          <w:tcPr>
            <w:tcW w:w="3713" w:type="dxa"/>
            <w:vAlign w:val="center"/>
          </w:tcPr>
          <w:p w14:paraId="7A7CCE63">
            <w:pPr>
              <w:jc w:val="center"/>
              <w:rPr>
                <w:rFonts w:eastAsia="仿宋"/>
                <w:sz w:val="24"/>
                <w:szCs w:val="22"/>
              </w:rPr>
            </w:pPr>
            <w:r>
              <w:rPr>
                <w:rFonts w:hint="eastAsia" w:eastAsia="仿宋"/>
                <w:sz w:val="24"/>
                <w:szCs w:val="22"/>
              </w:rPr>
              <w:t>乙醇</w:t>
            </w:r>
            <w:r>
              <w:rPr>
                <w:rFonts w:eastAsia="仿宋"/>
                <w:sz w:val="24"/>
                <w:szCs w:val="22"/>
              </w:rPr>
              <w:t>汽油中的</w:t>
            </w:r>
            <w:r>
              <w:rPr>
                <w:rFonts w:hint="eastAsia" w:eastAsia="仿宋"/>
                <w:sz w:val="24"/>
                <w:szCs w:val="22"/>
              </w:rPr>
              <w:t>乙醇</w:t>
            </w:r>
          </w:p>
          <w:p w14:paraId="570DDD6D">
            <w:pPr>
              <w:jc w:val="center"/>
              <w:rPr>
                <w:rFonts w:eastAsia="仿宋"/>
                <w:sz w:val="24"/>
                <w:szCs w:val="22"/>
              </w:rPr>
            </w:pPr>
            <w:r>
              <w:rPr>
                <w:rFonts w:hint="eastAsia" w:eastAsia="仿宋"/>
                <w:sz w:val="24"/>
                <w:szCs w:val="24"/>
              </w:rPr>
              <w:t>（乙醇汽油由3座3</w:t>
            </w:r>
            <w:r>
              <w:rPr>
                <w:rFonts w:eastAsia="仿宋"/>
                <w:sz w:val="24"/>
                <w:szCs w:val="24"/>
              </w:rPr>
              <w:t>0</w:t>
            </w:r>
            <w:r>
              <w:rPr>
                <w:rFonts w:eastAsia="仿宋"/>
                <w:bCs/>
                <w:sz w:val="24"/>
                <w:szCs w:val="24"/>
              </w:rPr>
              <w:t>m</w:t>
            </w:r>
            <w:r>
              <w:rPr>
                <w:rFonts w:eastAsia="仿宋"/>
                <w:bCs/>
                <w:sz w:val="24"/>
                <w:szCs w:val="24"/>
                <w:vertAlign w:val="superscript"/>
              </w:rPr>
              <w:t>3</w:t>
            </w:r>
            <w:r>
              <w:rPr>
                <w:rFonts w:eastAsia="仿宋"/>
                <w:sz w:val="24"/>
                <w:szCs w:val="24"/>
              </w:rPr>
              <w:t>地下储罐</w:t>
            </w:r>
            <w:r>
              <w:rPr>
                <w:rFonts w:hint="eastAsia" w:eastAsia="仿宋"/>
                <w:sz w:val="24"/>
                <w:szCs w:val="24"/>
              </w:rPr>
              <w:t>）</w:t>
            </w:r>
          </w:p>
        </w:tc>
        <w:tc>
          <w:tcPr>
            <w:tcW w:w="1284" w:type="dxa"/>
            <w:vAlign w:val="center"/>
          </w:tcPr>
          <w:p w14:paraId="048C99C2">
            <w:pPr>
              <w:spacing w:line="360" w:lineRule="auto"/>
              <w:jc w:val="center"/>
              <w:rPr>
                <w:rFonts w:eastAsia="仿宋"/>
                <w:sz w:val="24"/>
                <w:szCs w:val="22"/>
              </w:rPr>
            </w:pPr>
            <w:r>
              <w:rPr>
                <w:rFonts w:hint="eastAsia" w:eastAsia="仿宋"/>
                <w:sz w:val="24"/>
                <w:szCs w:val="22"/>
              </w:rPr>
              <w:t>10</w:t>
            </w:r>
            <w:r>
              <w:rPr>
                <w:rFonts w:eastAsia="仿宋"/>
                <w:sz w:val="24"/>
                <w:szCs w:val="22"/>
              </w:rPr>
              <w:t>%</w:t>
            </w:r>
          </w:p>
        </w:tc>
        <w:tc>
          <w:tcPr>
            <w:tcW w:w="1571" w:type="dxa"/>
            <w:vAlign w:val="center"/>
          </w:tcPr>
          <w:p w14:paraId="13D65BF5">
            <w:pPr>
              <w:spacing w:line="360" w:lineRule="auto"/>
              <w:jc w:val="center"/>
              <w:rPr>
                <w:rFonts w:eastAsia="仿宋"/>
                <w:sz w:val="24"/>
                <w:szCs w:val="22"/>
              </w:rPr>
            </w:pPr>
            <w:r>
              <w:rPr>
                <w:rFonts w:hint="eastAsia" w:eastAsia="仿宋"/>
                <w:sz w:val="24"/>
                <w:szCs w:val="22"/>
              </w:rPr>
              <w:t>6.075</w:t>
            </w:r>
          </w:p>
        </w:tc>
        <w:tc>
          <w:tcPr>
            <w:tcW w:w="1337" w:type="dxa"/>
            <w:vAlign w:val="center"/>
          </w:tcPr>
          <w:p w14:paraId="2D1357C0">
            <w:pPr>
              <w:spacing w:line="360" w:lineRule="auto"/>
              <w:jc w:val="center"/>
              <w:rPr>
                <w:rFonts w:eastAsia="仿宋"/>
                <w:sz w:val="24"/>
                <w:szCs w:val="22"/>
              </w:rPr>
            </w:pPr>
            <w:r>
              <w:rPr>
                <w:rFonts w:hint="eastAsia" w:eastAsia="仿宋"/>
                <w:sz w:val="24"/>
                <w:szCs w:val="22"/>
              </w:rPr>
              <w:t>500</w:t>
            </w:r>
          </w:p>
        </w:tc>
      </w:tr>
      <w:bookmarkEnd w:id="29"/>
    </w:tbl>
    <w:p w14:paraId="750E3F48">
      <w:pPr>
        <w:pStyle w:val="8"/>
        <w:spacing w:before="240" w:beforeLines="100"/>
        <w:ind w:firstLine="560"/>
        <w:rPr>
          <w:rFonts w:eastAsia="仿宋_GB2312"/>
          <w:kern w:val="0"/>
          <w:sz w:val="28"/>
          <w:szCs w:val="28"/>
        </w:rPr>
      </w:pPr>
      <w:r>
        <w:rPr>
          <w:rFonts w:eastAsia="仿宋_GB2312"/>
          <w:kern w:val="0"/>
          <w:sz w:val="28"/>
          <w:szCs w:val="28"/>
        </w:rPr>
        <w:t>经与《企业突发环境事件风险分级方法》附录A对比，</w:t>
      </w:r>
      <w:r>
        <w:rPr>
          <w:rFonts w:hint="eastAsia" w:eastAsia="仿宋_GB2312"/>
          <w:kern w:val="0"/>
          <w:sz w:val="28"/>
          <w:szCs w:val="28"/>
        </w:rPr>
        <w:t>加油站</w:t>
      </w:r>
      <w:r>
        <w:rPr>
          <w:rFonts w:eastAsia="仿宋_GB2312"/>
          <w:kern w:val="0"/>
          <w:sz w:val="28"/>
          <w:szCs w:val="28"/>
        </w:rPr>
        <w:t>涉及环境风险物质为</w:t>
      </w:r>
      <w:r>
        <w:rPr>
          <w:rFonts w:hint="eastAsia" w:eastAsia="仿宋_GB2312"/>
          <w:kern w:val="0"/>
          <w:sz w:val="28"/>
          <w:szCs w:val="28"/>
        </w:rPr>
        <w:t>乙醇、汽油、柴油</w:t>
      </w:r>
      <w:r>
        <w:rPr>
          <w:rFonts w:eastAsia="仿宋_GB2312"/>
          <w:kern w:val="0"/>
          <w:sz w:val="28"/>
          <w:szCs w:val="28"/>
        </w:rPr>
        <w:t>。</w:t>
      </w:r>
    </w:p>
    <w:p w14:paraId="7D689787">
      <w:pPr>
        <w:pStyle w:val="8"/>
        <w:ind w:firstLine="560"/>
        <w:rPr>
          <w:rFonts w:eastAsia="仿宋_GB2312"/>
          <w:kern w:val="0"/>
          <w:sz w:val="28"/>
          <w:szCs w:val="28"/>
        </w:rPr>
      </w:pPr>
      <w:r>
        <w:rPr>
          <w:rFonts w:hint="eastAsia" w:eastAsia="仿宋_GB2312"/>
          <w:snapToGrid w:val="0"/>
          <w:sz w:val="28"/>
          <w:szCs w:val="28"/>
        </w:rPr>
        <w:t>加油站</w:t>
      </w:r>
      <w:r>
        <w:rPr>
          <w:rFonts w:eastAsia="仿宋_GB2312"/>
          <w:snapToGrid w:val="0"/>
          <w:sz w:val="28"/>
          <w:szCs w:val="28"/>
        </w:rPr>
        <w:t>涉及的危险化学品物质均由供应商提供运输，供应商</w:t>
      </w:r>
      <w:r>
        <w:rPr>
          <w:rFonts w:eastAsia="仿宋_GB2312"/>
          <w:bCs/>
          <w:sz w:val="28"/>
          <w:szCs w:val="28"/>
        </w:rPr>
        <w:t>运输公司负责对其运输过程进行防护及设置应急措施。</w:t>
      </w:r>
      <w:r>
        <w:rPr>
          <w:rFonts w:eastAsia="仿宋_GB2312"/>
          <w:kern w:val="0"/>
          <w:sz w:val="28"/>
          <w:szCs w:val="28"/>
        </w:rPr>
        <w:t>运输危险品的车辆应有特殊标志，运输过程中危险化学品装卸前后，必须对车辆和储存设备进行检查，一旦发现有破损现象，应及时进行维修，直至消除隐患为止。</w:t>
      </w:r>
    </w:p>
    <w:p w14:paraId="459A10E9">
      <w:pPr>
        <w:spacing w:line="360" w:lineRule="auto"/>
        <w:outlineLvl w:val="2"/>
        <w:rPr>
          <w:rFonts w:eastAsia="仿宋_GB2312"/>
          <w:b/>
          <w:bCs/>
          <w:sz w:val="28"/>
          <w:szCs w:val="32"/>
        </w:rPr>
      </w:pPr>
      <w:r>
        <w:rPr>
          <w:rFonts w:eastAsia="仿宋_GB2312"/>
          <w:b/>
          <w:bCs/>
          <w:sz w:val="28"/>
          <w:szCs w:val="32"/>
        </w:rPr>
        <w:t>2.2.2危险废物基本情况</w:t>
      </w:r>
    </w:p>
    <w:p w14:paraId="5F0C25DC">
      <w:pPr>
        <w:pStyle w:val="8"/>
        <w:ind w:firstLine="560"/>
        <w:rPr>
          <w:rFonts w:eastAsia="仿宋_GB2312"/>
          <w:snapToGrid w:val="0"/>
          <w:color w:val="000000"/>
          <w:sz w:val="28"/>
          <w:szCs w:val="28"/>
        </w:rPr>
      </w:pPr>
      <w:r>
        <w:rPr>
          <w:rFonts w:hint="eastAsia" w:eastAsia="仿宋_GB2312"/>
          <w:snapToGrid w:val="0"/>
          <w:color w:val="000000"/>
          <w:sz w:val="28"/>
          <w:szCs w:val="28"/>
        </w:rPr>
        <w:t>加油站产生的危险废物主要为废弃的</w:t>
      </w:r>
      <w:r>
        <w:rPr>
          <w:rFonts w:hint="eastAsia" w:eastAsia="仿宋"/>
          <w:bCs/>
          <w:kern w:val="0"/>
          <w:sz w:val="28"/>
          <w:szCs w:val="28"/>
        </w:rPr>
        <w:t>废防水滤芯、废干燥剂</w:t>
      </w:r>
      <w:r>
        <w:rPr>
          <w:rFonts w:hint="eastAsia" w:eastAsia="仿宋"/>
          <w:color w:val="000000" w:themeColor="text1"/>
          <w:kern w:val="0"/>
          <w:sz w:val="28"/>
          <w:szCs w:val="30"/>
          <w14:textFill>
            <w14:solidFill>
              <w14:schemeClr w14:val="tx1"/>
            </w14:solidFill>
          </w14:textFill>
        </w:rPr>
        <w:t>、含油废沙</w:t>
      </w:r>
      <w:r>
        <w:rPr>
          <w:rFonts w:hint="eastAsia" w:eastAsia="仿宋"/>
          <w:bCs/>
          <w:kern w:val="0"/>
          <w:sz w:val="28"/>
          <w:szCs w:val="28"/>
        </w:rPr>
        <w:t>、沾染废物、废吸油毡，</w:t>
      </w:r>
      <w:r>
        <w:rPr>
          <w:rFonts w:hint="eastAsia" w:eastAsia="仿宋_GB2312"/>
          <w:snapToGrid w:val="0"/>
          <w:color w:val="000000"/>
          <w:sz w:val="28"/>
          <w:szCs w:val="28"/>
        </w:rPr>
        <w:t>收集后放置危废暂存柜，定期交由有资质的单位清运处理（协议见附件，本危险废物处置合同中的危险废物包含本加油站和分公司及其下所有加油站共同产生的）。主要危险废物情况如表</w:t>
      </w:r>
      <w:r>
        <w:rPr>
          <w:rFonts w:eastAsia="仿宋_GB2312"/>
          <w:snapToGrid w:val="0"/>
          <w:color w:val="000000"/>
          <w:sz w:val="28"/>
          <w:szCs w:val="28"/>
        </w:rPr>
        <w:t>2.2-2</w:t>
      </w:r>
      <w:r>
        <w:rPr>
          <w:rFonts w:hint="eastAsia" w:eastAsia="仿宋_GB2312"/>
          <w:snapToGrid w:val="0"/>
          <w:color w:val="000000"/>
          <w:sz w:val="28"/>
          <w:szCs w:val="28"/>
        </w:rPr>
        <w:t>。</w:t>
      </w:r>
    </w:p>
    <w:p w14:paraId="669201A8">
      <w:pPr>
        <w:pStyle w:val="8"/>
        <w:ind w:firstLine="560"/>
        <w:rPr>
          <w:rFonts w:eastAsia="仿宋_GB2312"/>
          <w:snapToGrid w:val="0"/>
          <w:color w:val="000000"/>
          <w:sz w:val="28"/>
          <w:szCs w:val="28"/>
        </w:rPr>
      </w:pPr>
      <w:r>
        <w:rPr>
          <w:rFonts w:hint="eastAsia" w:eastAsia="仿宋_GB2312"/>
          <w:snapToGrid w:val="0"/>
          <w:color w:val="000000"/>
          <w:sz w:val="28"/>
          <w:szCs w:val="28"/>
        </w:rPr>
        <w:t>本加油站产生的危险废物交有资质的危险废物回收单位处置，处置去向明确。按照危险废物产生种类、产生量、外委处置及转移情况等相关内容落实了污染物的排放记录；加油站内危险废物贮存管理工作和外委处置管理工作完善。</w:t>
      </w:r>
    </w:p>
    <w:p w14:paraId="090DB6A2">
      <w:pPr>
        <w:tabs>
          <w:tab w:val="left" w:pos="4800"/>
        </w:tabs>
        <w:snapToGrid w:val="0"/>
        <w:jc w:val="center"/>
        <w:rPr>
          <w:rFonts w:eastAsia="仿宋_GB2312"/>
          <w:sz w:val="28"/>
          <w:szCs w:val="28"/>
        </w:rPr>
      </w:pPr>
      <w:r>
        <w:rPr>
          <w:rFonts w:eastAsia="仿宋_GB2312"/>
          <w:sz w:val="28"/>
          <w:szCs w:val="28"/>
        </w:rPr>
        <w:t>表2.2-2危险废物情况一览表</w:t>
      </w:r>
    </w:p>
    <w:tbl>
      <w:tblPr>
        <w:tblStyle w:val="287"/>
        <w:tblW w:w="89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486"/>
        <w:gridCol w:w="2015"/>
        <w:gridCol w:w="1486"/>
        <w:gridCol w:w="1188"/>
        <w:gridCol w:w="1188"/>
        <w:gridCol w:w="794"/>
      </w:tblGrid>
      <w:tr w14:paraId="28BF2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778" w:type="dxa"/>
          </w:tcPr>
          <w:p w14:paraId="6E240B37">
            <w:pPr>
              <w:autoSpaceDE w:val="0"/>
              <w:autoSpaceDN w:val="0"/>
              <w:spacing w:before="196" w:line="222" w:lineRule="auto"/>
              <w:ind w:left="143"/>
              <w:rPr>
                <w:rFonts w:hint="eastAsia" w:ascii="仿宋" w:hAnsi="仿宋" w:eastAsia="仿宋" w:cs="仿宋"/>
                <w:sz w:val="24"/>
                <w:szCs w:val="24"/>
                <w:lang w:eastAsia="en-US"/>
              </w:rPr>
            </w:pPr>
            <w:r>
              <w:rPr>
                <w:rFonts w:ascii="仿宋" w:hAnsi="仿宋" w:eastAsia="仿宋" w:cs="仿宋"/>
                <w:spacing w:val="-8"/>
                <w:sz w:val="24"/>
                <w:szCs w:val="24"/>
                <w:lang w:eastAsia="en-US"/>
              </w:rPr>
              <w:t>序号</w:t>
            </w:r>
          </w:p>
        </w:tc>
        <w:tc>
          <w:tcPr>
            <w:tcW w:w="1486" w:type="dxa"/>
          </w:tcPr>
          <w:p w14:paraId="77CF2531">
            <w:pPr>
              <w:autoSpaceDE w:val="0"/>
              <w:autoSpaceDN w:val="0"/>
              <w:spacing w:before="195" w:line="221" w:lineRule="auto"/>
              <w:ind w:left="241"/>
              <w:rPr>
                <w:rFonts w:hint="eastAsia" w:ascii="仿宋" w:hAnsi="仿宋" w:eastAsia="仿宋" w:cs="仿宋"/>
                <w:sz w:val="24"/>
                <w:szCs w:val="24"/>
                <w:lang w:eastAsia="en-US"/>
              </w:rPr>
            </w:pPr>
            <w:r>
              <w:rPr>
                <w:rFonts w:ascii="仿宋" w:hAnsi="仿宋" w:eastAsia="仿宋" w:cs="仿宋"/>
                <w:spacing w:val="-5"/>
                <w:sz w:val="24"/>
                <w:szCs w:val="24"/>
                <w:lang w:eastAsia="en-US"/>
              </w:rPr>
              <w:t>废物名称</w:t>
            </w:r>
          </w:p>
        </w:tc>
        <w:tc>
          <w:tcPr>
            <w:tcW w:w="2015" w:type="dxa"/>
          </w:tcPr>
          <w:p w14:paraId="60D2D331">
            <w:pPr>
              <w:autoSpaceDE w:val="0"/>
              <w:autoSpaceDN w:val="0"/>
              <w:spacing w:before="195" w:line="223" w:lineRule="auto"/>
              <w:ind w:left="498"/>
              <w:rPr>
                <w:rFonts w:hint="eastAsia" w:ascii="仿宋" w:hAnsi="仿宋" w:eastAsia="仿宋" w:cs="仿宋"/>
                <w:sz w:val="24"/>
                <w:szCs w:val="24"/>
                <w:lang w:eastAsia="en-US"/>
              </w:rPr>
            </w:pPr>
            <w:r>
              <w:rPr>
                <w:rFonts w:ascii="仿宋" w:hAnsi="仿宋" w:eastAsia="仿宋" w:cs="仿宋"/>
                <w:spacing w:val="-6"/>
                <w:sz w:val="24"/>
                <w:szCs w:val="24"/>
                <w:lang w:eastAsia="en-US"/>
              </w:rPr>
              <w:t>危废类别</w:t>
            </w:r>
          </w:p>
        </w:tc>
        <w:tc>
          <w:tcPr>
            <w:tcW w:w="1486" w:type="dxa"/>
          </w:tcPr>
          <w:p w14:paraId="12FCEB86">
            <w:pPr>
              <w:autoSpaceDE w:val="0"/>
              <w:autoSpaceDN w:val="0"/>
              <w:spacing w:before="195" w:line="223" w:lineRule="auto"/>
              <w:ind w:left="247"/>
              <w:rPr>
                <w:rFonts w:hint="eastAsia" w:ascii="仿宋" w:hAnsi="仿宋" w:eastAsia="仿宋" w:cs="仿宋"/>
                <w:sz w:val="24"/>
                <w:szCs w:val="24"/>
                <w:lang w:eastAsia="en-US"/>
              </w:rPr>
            </w:pPr>
            <w:r>
              <w:rPr>
                <w:rFonts w:ascii="仿宋" w:hAnsi="仿宋" w:eastAsia="仿宋" w:cs="仿宋"/>
                <w:spacing w:val="-6"/>
                <w:sz w:val="24"/>
                <w:szCs w:val="24"/>
                <w:lang w:eastAsia="en-US"/>
              </w:rPr>
              <w:t>危废代码</w:t>
            </w:r>
          </w:p>
        </w:tc>
        <w:tc>
          <w:tcPr>
            <w:tcW w:w="1188" w:type="dxa"/>
          </w:tcPr>
          <w:p w14:paraId="0BE43CAA">
            <w:pPr>
              <w:autoSpaceDE w:val="0"/>
              <w:autoSpaceDN w:val="0"/>
              <w:spacing w:before="38" w:line="224" w:lineRule="auto"/>
              <w:ind w:left="340" w:right="322" w:firstLine="6"/>
              <w:rPr>
                <w:rFonts w:hint="eastAsia" w:ascii="仿宋" w:hAnsi="仿宋" w:eastAsia="仿宋" w:cs="仿宋"/>
                <w:sz w:val="24"/>
                <w:szCs w:val="24"/>
                <w:lang w:eastAsia="en-US"/>
              </w:rPr>
            </w:pPr>
            <w:r>
              <w:rPr>
                <w:rFonts w:ascii="仿宋" w:hAnsi="仿宋" w:eastAsia="仿宋" w:cs="仿宋"/>
                <w:spacing w:val="-11"/>
                <w:sz w:val="24"/>
                <w:szCs w:val="24"/>
                <w:lang w:eastAsia="en-US"/>
              </w:rPr>
              <w:t>危险</w:t>
            </w:r>
            <w:r>
              <w:rPr>
                <w:rFonts w:ascii="仿宋" w:hAnsi="仿宋" w:eastAsia="仿宋" w:cs="仿宋"/>
                <w:sz w:val="24"/>
                <w:szCs w:val="24"/>
                <w:lang w:eastAsia="en-US"/>
              </w:rPr>
              <w:t xml:space="preserve"> </w:t>
            </w:r>
            <w:r>
              <w:rPr>
                <w:rFonts w:ascii="仿宋" w:hAnsi="仿宋" w:eastAsia="仿宋" w:cs="仿宋"/>
                <w:spacing w:val="-8"/>
                <w:sz w:val="24"/>
                <w:szCs w:val="24"/>
                <w:lang w:eastAsia="en-US"/>
              </w:rPr>
              <w:t>特性</w:t>
            </w:r>
          </w:p>
        </w:tc>
        <w:tc>
          <w:tcPr>
            <w:tcW w:w="1188" w:type="dxa"/>
          </w:tcPr>
          <w:p w14:paraId="4DF7F616">
            <w:pPr>
              <w:autoSpaceDE w:val="0"/>
              <w:autoSpaceDN w:val="0"/>
              <w:spacing w:before="38" w:line="224" w:lineRule="auto"/>
              <w:ind w:left="345" w:right="322" w:firstLine="2"/>
              <w:rPr>
                <w:rFonts w:hint="eastAsia" w:ascii="仿宋" w:hAnsi="仿宋" w:eastAsia="仿宋" w:cs="仿宋"/>
                <w:sz w:val="24"/>
                <w:szCs w:val="24"/>
                <w:lang w:eastAsia="en-US"/>
              </w:rPr>
            </w:pPr>
            <w:r>
              <w:rPr>
                <w:rFonts w:ascii="仿宋" w:hAnsi="仿宋" w:eastAsia="仿宋" w:cs="仿宋"/>
                <w:spacing w:val="-12"/>
                <w:sz w:val="24"/>
                <w:szCs w:val="24"/>
                <w:lang w:eastAsia="en-US"/>
              </w:rPr>
              <w:t>主要</w:t>
            </w:r>
            <w:r>
              <w:rPr>
                <w:rFonts w:ascii="仿宋" w:hAnsi="仿宋" w:eastAsia="仿宋" w:cs="仿宋"/>
                <w:sz w:val="24"/>
                <w:szCs w:val="24"/>
                <w:lang w:eastAsia="en-US"/>
              </w:rPr>
              <w:t xml:space="preserve"> </w:t>
            </w:r>
            <w:r>
              <w:rPr>
                <w:rFonts w:ascii="仿宋" w:hAnsi="仿宋" w:eastAsia="仿宋" w:cs="仿宋"/>
                <w:spacing w:val="-10"/>
                <w:sz w:val="24"/>
                <w:szCs w:val="24"/>
                <w:lang w:eastAsia="en-US"/>
              </w:rPr>
              <w:t>成分</w:t>
            </w:r>
          </w:p>
        </w:tc>
        <w:tc>
          <w:tcPr>
            <w:tcW w:w="794" w:type="dxa"/>
          </w:tcPr>
          <w:p w14:paraId="3CA889E7">
            <w:pPr>
              <w:autoSpaceDE w:val="0"/>
              <w:autoSpaceDN w:val="0"/>
              <w:spacing w:before="195" w:line="223" w:lineRule="auto"/>
              <w:ind w:left="151"/>
              <w:rPr>
                <w:rFonts w:hint="eastAsia" w:ascii="仿宋" w:hAnsi="仿宋" w:eastAsia="仿宋" w:cs="仿宋"/>
                <w:sz w:val="24"/>
                <w:szCs w:val="24"/>
                <w:lang w:eastAsia="en-US"/>
              </w:rPr>
            </w:pPr>
            <w:r>
              <w:rPr>
                <w:rFonts w:ascii="仿宋" w:hAnsi="仿宋" w:eastAsia="仿宋" w:cs="仿宋"/>
                <w:spacing w:val="-8"/>
                <w:sz w:val="24"/>
                <w:szCs w:val="24"/>
                <w:lang w:eastAsia="en-US"/>
              </w:rPr>
              <w:t>形态</w:t>
            </w:r>
          </w:p>
        </w:tc>
      </w:tr>
      <w:tr w14:paraId="2A1FD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78" w:type="dxa"/>
          </w:tcPr>
          <w:p w14:paraId="48AAD141">
            <w:pPr>
              <w:autoSpaceDE w:val="0"/>
              <w:autoSpaceDN w:val="0"/>
              <w:spacing w:before="148" w:line="188" w:lineRule="auto"/>
              <w:ind w:left="335"/>
              <w:rPr>
                <w:rFonts w:ascii="Calibri" w:hAnsi="Calibri" w:eastAsia="Times New Roman"/>
                <w:sz w:val="24"/>
                <w:szCs w:val="24"/>
                <w:lang w:eastAsia="en-US"/>
              </w:rPr>
            </w:pPr>
            <w:r>
              <w:rPr>
                <w:rFonts w:ascii="Calibri" w:hAnsi="Calibri" w:eastAsia="Times New Roman"/>
                <w:sz w:val="24"/>
                <w:szCs w:val="24"/>
                <w:lang w:eastAsia="en-US"/>
              </w:rPr>
              <w:t>1</w:t>
            </w:r>
          </w:p>
        </w:tc>
        <w:tc>
          <w:tcPr>
            <w:tcW w:w="1486" w:type="dxa"/>
          </w:tcPr>
          <w:p w14:paraId="5C2A972F">
            <w:pPr>
              <w:autoSpaceDE w:val="0"/>
              <w:autoSpaceDN w:val="0"/>
              <w:spacing w:before="107" w:line="222" w:lineRule="auto"/>
              <w:ind w:left="121"/>
              <w:rPr>
                <w:rFonts w:hint="eastAsia" w:ascii="仿宋" w:hAnsi="仿宋" w:eastAsia="仿宋" w:cs="仿宋"/>
                <w:sz w:val="24"/>
                <w:szCs w:val="24"/>
                <w:lang w:eastAsia="en-US"/>
              </w:rPr>
            </w:pPr>
            <w:r>
              <w:rPr>
                <w:rFonts w:ascii="仿宋" w:hAnsi="仿宋" w:eastAsia="仿宋" w:cs="仿宋"/>
                <w:spacing w:val="-4"/>
                <w:sz w:val="24"/>
                <w:szCs w:val="24"/>
                <w:lang w:eastAsia="en-US"/>
              </w:rPr>
              <w:t>废防水滤芯</w:t>
            </w:r>
          </w:p>
        </w:tc>
        <w:tc>
          <w:tcPr>
            <w:tcW w:w="2015" w:type="dxa"/>
          </w:tcPr>
          <w:p w14:paraId="68F6C77B">
            <w:pPr>
              <w:autoSpaceDE w:val="0"/>
              <w:autoSpaceDN w:val="0"/>
              <w:spacing w:before="106" w:line="221" w:lineRule="auto"/>
              <w:ind w:left="130"/>
              <w:rPr>
                <w:rFonts w:hint="eastAsia" w:ascii="仿宋" w:hAnsi="仿宋" w:eastAsia="仿宋" w:cs="仿宋"/>
                <w:sz w:val="24"/>
                <w:szCs w:val="24"/>
                <w:lang w:eastAsia="en-US"/>
              </w:rPr>
            </w:pPr>
            <w:r>
              <w:rPr>
                <w:rFonts w:ascii="Calibri" w:hAnsi="Calibri" w:eastAsia="Times New Roman"/>
                <w:spacing w:val="-3"/>
                <w:sz w:val="24"/>
                <w:szCs w:val="24"/>
                <w:lang w:eastAsia="en-US"/>
              </w:rPr>
              <w:t>HW49</w:t>
            </w:r>
            <w:r>
              <w:rPr>
                <w:rFonts w:ascii="Calibri" w:hAnsi="Calibri" w:eastAsia="Times New Roman"/>
                <w:spacing w:val="17"/>
                <w:sz w:val="24"/>
                <w:szCs w:val="24"/>
                <w:lang w:eastAsia="en-US"/>
              </w:rPr>
              <w:t xml:space="preserve"> </w:t>
            </w:r>
            <w:r>
              <w:rPr>
                <w:rFonts w:ascii="仿宋" w:hAnsi="仿宋" w:eastAsia="仿宋" w:cs="仿宋"/>
                <w:spacing w:val="-3"/>
                <w:sz w:val="24"/>
                <w:szCs w:val="24"/>
                <w:lang w:eastAsia="en-US"/>
              </w:rPr>
              <w:t>其他废物</w:t>
            </w:r>
          </w:p>
        </w:tc>
        <w:tc>
          <w:tcPr>
            <w:tcW w:w="1486" w:type="dxa"/>
          </w:tcPr>
          <w:p w14:paraId="5E4F989E">
            <w:pPr>
              <w:autoSpaceDE w:val="0"/>
              <w:autoSpaceDN w:val="0"/>
              <w:spacing w:before="148" w:line="188" w:lineRule="auto"/>
              <w:ind w:left="156"/>
              <w:rPr>
                <w:rFonts w:ascii="Calibri" w:hAnsi="Calibri" w:eastAsia="Times New Roman"/>
                <w:sz w:val="24"/>
                <w:szCs w:val="24"/>
                <w:lang w:eastAsia="en-US"/>
              </w:rPr>
            </w:pPr>
            <w:r>
              <w:rPr>
                <w:rFonts w:ascii="Calibri" w:hAnsi="Calibri" w:eastAsia="Times New Roman"/>
                <w:spacing w:val="-2"/>
                <w:sz w:val="24"/>
                <w:szCs w:val="24"/>
                <w:lang w:eastAsia="en-US"/>
              </w:rPr>
              <w:t>900-041-49</w:t>
            </w:r>
          </w:p>
        </w:tc>
        <w:tc>
          <w:tcPr>
            <w:tcW w:w="1188" w:type="dxa"/>
          </w:tcPr>
          <w:p w14:paraId="2E9EC48F">
            <w:pPr>
              <w:autoSpaceDE w:val="0"/>
              <w:autoSpaceDN w:val="0"/>
              <w:spacing w:before="152" w:line="185" w:lineRule="auto"/>
              <w:ind w:left="498"/>
              <w:rPr>
                <w:rFonts w:ascii="Calibri" w:hAnsi="Calibri" w:eastAsia="Times New Roman"/>
                <w:sz w:val="24"/>
                <w:szCs w:val="24"/>
                <w:lang w:eastAsia="en-US"/>
              </w:rPr>
            </w:pPr>
            <w:r>
              <w:rPr>
                <w:rFonts w:ascii="Calibri" w:hAnsi="Calibri" w:eastAsia="Times New Roman"/>
                <w:sz w:val="24"/>
                <w:szCs w:val="24"/>
                <w:lang w:eastAsia="en-US"/>
              </w:rPr>
              <w:t>T</w:t>
            </w:r>
          </w:p>
        </w:tc>
        <w:tc>
          <w:tcPr>
            <w:tcW w:w="1188" w:type="dxa"/>
          </w:tcPr>
          <w:p w14:paraId="1BE76FA7">
            <w:pPr>
              <w:autoSpaceDE w:val="0"/>
              <w:autoSpaceDN w:val="0"/>
              <w:spacing w:before="106" w:line="221" w:lineRule="auto"/>
              <w:ind w:left="147"/>
              <w:rPr>
                <w:rFonts w:hint="eastAsia" w:ascii="仿宋" w:hAnsi="仿宋" w:eastAsia="仿宋" w:cs="仿宋"/>
                <w:sz w:val="24"/>
                <w:szCs w:val="24"/>
                <w:lang w:eastAsia="en-US"/>
              </w:rPr>
            </w:pPr>
            <w:r>
              <w:rPr>
                <w:rFonts w:ascii="仿宋" w:hAnsi="仿宋" w:eastAsia="仿宋" w:cs="仿宋"/>
                <w:spacing w:val="-16"/>
                <w:sz w:val="24"/>
                <w:szCs w:val="24"/>
                <w:lang w:eastAsia="en-US"/>
              </w:rPr>
              <w:t>油类物质</w:t>
            </w:r>
          </w:p>
        </w:tc>
        <w:tc>
          <w:tcPr>
            <w:tcW w:w="794" w:type="dxa"/>
          </w:tcPr>
          <w:p w14:paraId="18B31B02">
            <w:pPr>
              <w:autoSpaceDE w:val="0"/>
              <w:autoSpaceDN w:val="0"/>
              <w:spacing w:before="106" w:line="226" w:lineRule="auto"/>
              <w:ind w:left="177"/>
              <w:rPr>
                <w:rFonts w:hint="eastAsia" w:ascii="仿宋" w:hAnsi="仿宋" w:eastAsia="仿宋" w:cs="仿宋"/>
                <w:sz w:val="24"/>
                <w:szCs w:val="24"/>
                <w:lang w:eastAsia="en-US"/>
              </w:rPr>
            </w:pPr>
            <w:r>
              <w:rPr>
                <w:rFonts w:ascii="仿宋" w:hAnsi="仿宋" w:eastAsia="仿宋" w:cs="仿宋"/>
                <w:spacing w:val="-21"/>
                <w:sz w:val="24"/>
                <w:szCs w:val="24"/>
                <w:lang w:eastAsia="en-US"/>
              </w:rPr>
              <w:t>固态</w:t>
            </w:r>
          </w:p>
        </w:tc>
      </w:tr>
      <w:tr w14:paraId="20877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78" w:type="dxa"/>
          </w:tcPr>
          <w:p w14:paraId="239BB5B3">
            <w:pPr>
              <w:autoSpaceDE w:val="0"/>
              <w:autoSpaceDN w:val="0"/>
              <w:spacing w:before="151" w:line="188" w:lineRule="auto"/>
              <w:ind w:left="312"/>
              <w:rPr>
                <w:rFonts w:ascii="Calibri" w:hAnsi="Calibri" w:eastAsia="Times New Roman"/>
                <w:sz w:val="24"/>
                <w:szCs w:val="24"/>
                <w:lang w:eastAsia="en-US"/>
              </w:rPr>
            </w:pPr>
            <w:r>
              <w:rPr>
                <w:rFonts w:ascii="Calibri" w:hAnsi="Calibri" w:eastAsia="Times New Roman"/>
                <w:sz w:val="24"/>
                <w:szCs w:val="24"/>
                <w:lang w:eastAsia="en-US"/>
              </w:rPr>
              <w:t>2</w:t>
            </w:r>
          </w:p>
        </w:tc>
        <w:tc>
          <w:tcPr>
            <w:tcW w:w="1486" w:type="dxa"/>
          </w:tcPr>
          <w:p w14:paraId="27965AD6">
            <w:pPr>
              <w:autoSpaceDE w:val="0"/>
              <w:autoSpaceDN w:val="0"/>
              <w:spacing w:before="109" w:line="221" w:lineRule="auto"/>
              <w:ind w:left="241"/>
              <w:rPr>
                <w:rFonts w:hint="eastAsia" w:ascii="仿宋" w:hAnsi="仿宋" w:eastAsia="仿宋" w:cs="仿宋"/>
                <w:sz w:val="24"/>
                <w:szCs w:val="24"/>
                <w:lang w:eastAsia="en-US"/>
              </w:rPr>
            </w:pPr>
            <w:r>
              <w:rPr>
                <w:rFonts w:ascii="仿宋" w:hAnsi="仿宋" w:eastAsia="仿宋" w:cs="仿宋"/>
                <w:spacing w:val="-5"/>
                <w:sz w:val="24"/>
                <w:szCs w:val="24"/>
                <w:lang w:eastAsia="en-US"/>
              </w:rPr>
              <w:t>废干燥剂</w:t>
            </w:r>
          </w:p>
        </w:tc>
        <w:tc>
          <w:tcPr>
            <w:tcW w:w="2015" w:type="dxa"/>
          </w:tcPr>
          <w:p w14:paraId="4E27902B">
            <w:pPr>
              <w:autoSpaceDE w:val="0"/>
              <w:autoSpaceDN w:val="0"/>
              <w:spacing w:before="109" w:line="221" w:lineRule="auto"/>
              <w:ind w:left="130"/>
              <w:rPr>
                <w:rFonts w:hint="eastAsia" w:ascii="仿宋" w:hAnsi="仿宋" w:eastAsia="仿宋" w:cs="仿宋"/>
                <w:sz w:val="24"/>
                <w:szCs w:val="24"/>
                <w:lang w:eastAsia="en-US"/>
              </w:rPr>
            </w:pPr>
            <w:r>
              <w:rPr>
                <w:rFonts w:ascii="Calibri" w:hAnsi="Calibri" w:eastAsia="Times New Roman"/>
                <w:spacing w:val="-3"/>
                <w:sz w:val="24"/>
                <w:szCs w:val="24"/>
                <w:lang w:eastAsia="en-US"/>
              </w:rPr>
              <w:t>HW49</w:t>
            </w:r>
            <w:r>
              <w:rPr>
                <w:rFonts w:ascii="Calibri" w:hAnsi="Calibri" w:eastAsia="Times New Roman"/>
                <w:spacing w:val="17"/>
                <w:sz w:val="24"/>
                <w:szCs w:val="24"/>
                <w:lang w:eastAsia="en-US"/>
              </w:rPr>
              <w:t xml:space="preserve"> </w:t>
            </w:r>
            <w:r>
              <w:rPr>
                <w:rFonts w:ascii="仿宋" w:hAnsi="仿宋" w:eastAsia="仿宋" w:cs="仿宋"/>
                <w:spacing w:val="-3"/>
                <w:sz w:val="24"/>
                <w:szCs w:val="24"/>
                <w:lang w:eastAsia="en-US"/>
              </w:rPr>
              <w:t>其他废物</w:t>
            </w:r>
          </w:p>
        </w:tc>
        <w:tc>
          <w:tcPr>
            <w:tcW w:w="1486" w:type="dxa"/>
          </w:tcPr>
          <w:p w14:paraId="5ED2A5F3">
            <w:pPr>
              <w:autoSpaceDE w:val="0"/>
              <w:autoSpaceDN w:val="0"/>
              <w:spacing w:before="151" w:line="188" w:lineRule="auto"/>
              <w:ind w:left="156"/>
              <w:rPr>
                <w:rFonts w:ascii="Calibri" w:hAnsi="Calibri" w:eastAsia="Times New Roman"/>
                <w:sz w:val="24"/>
                <w:szCs w:val="24"/>
                <w:lang w:eastAsia="en-US"/>
              </w:rPr>
            </w:pPr>
            <w:r>
              <w:rPr>
                <w:rFonts w:ascii="Calibri" w:hAnsi="Calibri" w:eastAsia="Times New Roman"/>
                <w:spacing w:val="-2"/>
                <w:sz w:val="24"/>
                <w:szCs w:val="24"/>
                <w:lang w:eastAsia="en-US"/>
              </w:rPr>
              <w:t>900-041-49</w:t>
            </w:r>
          </w:p>
        </w:tc>
        <w:tc>
          <w:tcPr>
            <w:tcW w:w="1188" w:type="dxa"/>
          </w:tcPr>
          <w:p w14:paraId="52353D6F">
            <w:pPr>
              <w:autoSpaceDE w:val="0"/>
              <w:autoSpaceDN w:val="0"/>
              <w:spacing w:before="154" w:line="185" w:lineRule="auto"/>
              <w:ind w:left="498"/>
              <w:rPr>
                <w:rFonts w:ascii="Calibri" w:hAnsi="Calibri" w:eastAsia="Times New Roman"/>
                <w:sz w:val="24"/>
                <w:szCs w:val="24"/>
                <w:lang w:eastAsia="en-US"/>
              </w:rPr>
            </w:pPr>
            <w:r>
              <w:rPr>
                <w:rFonts w:ascii="Calibri" w:hAnsi="Calibri" w:eastAsia="Times New Roman"/>
                <w:sz w:val="24"/>
                <w:szCs w:val="24"/>
                <w:lang w:eastAsia="en-US"/>
              </w:rPr>
              <w:t>T</w:t>
            </w:r>
          </w:p>
        </w:tc>
        <w:tc>
          <w:tcPr>
            <w:tcW w:w="1188" w:type="dxa"/>
          </w:tcPr>
          <w:p w14:paraId="5F82A337">
            <w:pPr>
              <w:autoSpaceDE w:val="0"/>
              <w:autoSpaceDN w:val="0"/>
              <w:spacing w:before="109" w:line="221" w:lineRule="auto"/>
              <w:ind w:left="147"/>
              <w:rPr>
                <w:rFonts w:hint="eastAsia" w:ascii="仿宋" w:hAnsi="仿宋" w:eastAsia="仿宋" w:cs="仿宋"/>
                <w:sz w:val="24"/>
                <w:szCs w:val="24"/>
                <w:lang w:eastAsia="en-US"/>
              </w:rPr>
            </w:pPr>
            <w:r>
              <w:rPr>
                <w:rFonts w:ascii="仿宋" w:hAnsi="仿宋" w:eastAsia="仿宋" w:cs="仿宋"/>
                <w:spacing w:val="-16"/>
                <w:sz w:val="24"/>
                <w:szCs w:val="24"/>
                <w:lang w:eastAsia="en-US"/>
              </w:rPr>
              <w:t>油类物质</w:t>
            </w:r>
          </w:p>
        </w:tc>
        <w:tc>
          <w:tcPr>
            <w:tcW w:w="794" w:type="dxa"/>
          </w:tcPr>
          <w:p w14:paraId="31BC514B">
            <w:pPr>
              <w:autoSpaceDE w:val="0"/>
              <w:autoSpaceDN w:val="0"/>
              <w:spacing w:before="109" w:line="226" w:lineRule="auto"/>
              <w:ind w:left="177"/>
              <w:rPr>
                <w:rFonts w:hint="eastAsia" w:ascii="仿宋" w:hAnsi="仿宋" w:eastAsia="仿宋" w:cs="仿宋"/>
                <w:sz w:val="24"/>
                <w:szCs w:val="24"/>
                <w:lang w:eastAsia="en-US"/>
              </w:rPr>
            </w:pPr>
            <w:r>
              <w:rPr>
                <w:rFonts w:ascii="仿宋" w:hAnsi="仿宋" w:eastAsia="仿宋" w:cs="仿宋"/>
                <w:spacing w:val="-21"/>
                <w:sz w:val="24"/>
                <w:szCs w:val="24"/>
                <w:lang w:eastAsia="en-US"/>
              </w:rPr>
              <w:t>固态</w:t>
            </w:r>
          </w:p>
        </w:tc>
      </w:tr>
      <w:tr w14:paraId="00980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78" w:type="dxa"/>
          </w:tcPr>
          <w:p w14:paraId="08A12027">
            <w:pPr>
              <w:autoSpaceDE w:val="0"/>
              <w:autoSpaceDN w:val="0"/>
              <w:spacing w:before="151" w:line="188" w:lineRule="auto"/>
              <w:ind w:left="317"/>
              <w:rPr>
                <w:rFonts w:ascii="Calibri" w:hAnsi="Calibri" w:eastAsia="Times New Roman"/>
                <w:sz w:val="24"/>
                <w:szCs w:val="24"/>
                <w:lang w:eastAsia="en-US"/>
              </w:rPr>
            </w:pPr>
            <w:r>
              <w:rPr>
                <w:rFonts w:ascii="Calibri" w:hAnsi="Calibri" w:eastAsia="Times New Roman"/>
                <w:sz w:val="24"/>
                <w:szCs w:val="24"/>
                <w:lang w:eastAsia="en-US"/>
              </w:rPr>
              <w:t>3</w:t>
            </w:r>
          </w:p>
        </w:tc>
        <w:tc>
          <w:tcPr>
            <w:tcW w:w="1486" w:type="dxa"/>
          </w:tcPr>
          <w:p w14:paraId="285B2C65">
            <w:pPr>
              <w:autoSpaceDE w:val="0"/>
              <w:autoSpaceDN w:val="0"/>
              <w:spacing w:before="109" w:line="224" w:lineRule="auto"/>
              <w:ind w:left="240"/>
              <w:rPr>
                <w:rFonts w:hint="eastAsia" w:ascii="仿宋" w:hAnsi="仿宋" w:eastAsia="仿宋" w:cs="仿宋"/>
                <w:sz w:val="24"/>
                <w:szCs w:val="24"/>
                <w:lang w:eastAsia="en-US"/>
              </w:rPr>
            </w:pPr>
            <w:r>
              <w:rPr>
                <w:rFonts w:ascii="仿宋" w:hAnsi="仿宋" w:eastAsia="仿宋" w:cs="仿宋"/>
                <w:spacing w:val="-5"/>
                <w:sz w:val="24"/>
                <w:szCs w:val="24"/>
                <w:lang w:eastAsia="en-US"/>
              </w:rPr>
              <w:t>含油废沙</w:t>
            </w:r>
          </w:p>
        </w:tc>
        <w:tc>
          <w:tcPr>
            <w:tcW w:w="2015" w:type="dxa"/>
          </w:tcPr>
          <w:p w14:paraId="4CC2E952">
            <w:pPr>
              <w:autoSpaceDE w:val="0"/>
              <w:autoSpaceDN w:val="0"/>
              <w:spacing w:before="109" w:line="221" w:lineRule="auto"/>
              <w:ind w:left="130"/>
              <w:rPr>
                <w:rFonts w:hint="eastAsia" w:ascii="仿宋" w:hAnsi="仿宋" w:eastAsia="仿宋" w:cs="仿宋"/>
                <w:sz w:val="24"/>
                <w:szCs w:val="24"/>
                <w:lang w:eastAsia="en-US"/>
              </w:rPr>
            </w:pPr>
            <w:r>
              <w:rPr>
                <w:rFonts w:ascii="Calibri" w:hAnsi="Calibri" w:eastAsia="Times New Roman"/>
                <w:spacing w:val="-3"/>
                <w:sz w:val="24"/>
                <w:szCs w:val="24"/>
                <w:lang w:eastAsia="en-US"/>
              </w:rPr>
              <w:t>HW49</w:t>
            </w:r>
            <w:r>
              <w:rPr>
                <w:rFonts w:ascii="Calibri" w:hAnsi="Calibri" w:eastAsia="Times New Roman"/>
                <w:spacing w:val="17"/>
                <w:sz w:val="24"/>
                <w:szCs w:val="24"/>
                <w:lang w:eastAsia="en-US"/>
              </w:rPr>
              <w:t xml:space="preserve"> </w:t>
            </w:r>
            <w:r>
              <w:rPr>
                <w:rFonts w:ascii="仿宋" w:hAnsi="仿宋" w:eastAsia="仿宋" w:cs="仿宋"/>
                <w:spacing w:val="-3"/>
                <w:sz w:val="24"/>
                <w:szCs w:val="24"/>
                <w:lang w:eastAsia="en-US"/>
              </w:rPr>
              <w:t>其他废物</w:t>
            </w:r>
          </w:p>
        </w:tc>
        <w:tc>
          <w:tcPr>
            <w:tcW w:w="1486" w:type="dxa"/>
          </w:tcPr>
          <w:p w14:paraId="6C7DC554">
            <w:pPr>
              <w:autoSpaceDE w:val="0"/>
              <w:autoSpaceDN w:val="0"/>
              <w:spacing w:before="151" w:line="188" w:lineRule="auto"/>
              <w:ind w:left="156"/>
              <w:rPr>
                <w:rFonts w:ascii="Calibri" w:hAnsi="Calibri" w:eastAsia="Times New Roman"/>
                <w:spacing w:val="-2"/>
                <w:sz w:val="24"/>
                <w:szCs w:val="24"/>
                <w:lang w:eastAsia="en-US"/>
              </w:rPr>
            </w:pPr>
            <w:r>
              <w:rPr>
                <w:rFonts w:ascii="Calibri" w:hAnsi="Calibri" w:eastAsia="Times New Roman"/>
                <w:spacing w:val="-2"/>
                <w:sz w:val="24"/>
                <w:szCs w:val="24"/>
                <w:lang w:eastAsia="en-US"/>
              </w:rPr>
              <w:t>900-041-49/</w:t>
            </w:r>
          </w:p>
          <w:p w14:paraId="30081FDA">
            <w:pPr>
              <w:autoSpaceDE w:val="0"/>
              <w:autoSpaceDN w:val="0"/>
              <w:spacing w:before="151" w:line="188" w:lineRule="auto"/>
              <w:ind w:left="156"/>
              <w:rPr>
                <w:rFonts w:ascii="Calibri" w:hAnsi="Calibri" w:eastAsia="Times New Roman"/>
                <w:sz w:val="24"/>
                <w:szCs w:val="24"/>
                <w:lang w:eastAsia="en-US"/>
              </w:rPr>
            </w:pPr>
            <w:r>
              <w:rPr>
                <w:rFonts w:ascii="Calibri" w:hAnsi="Calibri" w:eastAsia="Times New Roman"/>
                <w:spacing w:val="-2"/>
                <w:sz w:val="24"/>
                <w:szCs w:val="24"/>
                <w:lang w:eastAsia="en-US"/>
              </w:rPr>
              <w:t>900-042-49</w:t>
            </w:r>
          </w:p>
        </w:tc>
        <w:tc>
          <w:tcPr>
            <w:tcW w:w="1188" w:type="dxa"/>
          </w:tcPr>
          <w:p w14:paraId="42BABD3F">
            <w:pPr>
              <w:autoSpaceDE w:val="0"/>
              <w:autoSpaceDN w:val="0"/>
              <w:spacing w:before="154" w:line="185" w:lineRule="auto"/>
              <w:ind w:left="498"/>
              <w:rPr>
                <w:rFonts w:ascii="Calibri" w:hAnsi="Calibri" w:eastAsia="Times New Roman"/>
                <w:sz w:val="24"/>
                <w:szCs w:val="24"/>
                <w:lang w:eastAsia="en-US"/>
              </w:rPr>
            </w:pPr>
            <w:r>
              <w:rPr>
                <w:rFonts w:ascii="Calibri" w:hAnsi="Calibri" w:eastAsia="Times New Roman"/>
                <w:sz w:val="24"/>
                <w:szCs w:val="24"/>
                <w:lang w:eastAsia="en-US"/>
              </w:rPr>
              <w:t>T</w:t>
            </w:r>
          </w:p>
        </w:tc>
        <w:tc>
          <w:tcPr>
            <w:tcW w:w="1188" w:type="dxa"/>
          </w:tcPr>
          <w:p w14:paraId="10FAE591">
            <w:pPr>
              <w:autoSpaceDE w:val="0"/>
              <w:autoSpaceDN w:val="0"/>
              <w:spacing w:before="109" w:line="221" w:lineRule="auto"/>
              <w:ind w:left="147"/>
              <w:rPr>
                <w:rFonts w:hint="eastAsia" w:ascii="仿宋" w:hAnsi="仿宋" w:eastAsia="仿宋" w:cs="仿宋"/>
                <w:sz w:val="24"/>
                <w:szCs w:val="24"/>
                <w:lang w:eastAsia="en-US"/>
              </w:rPr>
            </w:pPr>
            <w:r>
              <w:rPr>
                <w:rFonts w:ascii="仿宋" w:hAnsi="仿宋" w:eastAsia="仿宋" w:cs="仿宋"/>
                <w:spacing w:val="-16"/>
                <w:sz w:val="24"/>
                <w:szCs w:val="24"/>
                <w:lang w:eastAsia="en-US"/>
              </w:rPr>
              <w:t>油类物质</w:t>
            </w:r>
          </w:p>
        </w:tc>
        <w:tc>
          <w:tcPr>
            <w:tcW w:w="794" w:type="dxa"/>
          </w:tcPr>
          <w:p w14:paraId="0445B0B0">
            <w:pPr>
              <w:autoSpaceDE w:val="0"/>
              <w:autoSpaceDN w:val="0"/>
              <w:spacing w:before="109" w:line="226" w:lineRule="auto"/>
              <w:ind w:left="177"/>
              <w:rPr>
                <w:rFonts w:hint="eastAsia" w:ascii="仿宋" w:hAnsi="仿宋" w:eastAsia="仿宋" w:cs="仿宋"/>
                <w:sz w:val="24"/>
                <w:szCs w:val="24"/>
                <w:lang w:eastAsia="en-US"/>
              </w:rPr>
            </w:pPr>
            <w:r>
              <w:rPr>
                <w:rFonts w:ascii="仿宋" w:hAnsi="仿宋" w:eastAsia="仿宋" w:cs="仿宋"/>
                <w:spacing w:val="-21"/>
                <w:sz w:val="24"/>
                <w:szCs w:val="24"/>
                <w:lang w:eastAsia="en-US"/>
              </w:rPr>
              <w:t>固态</w:t>
            </w:r>
          </w:p>
        </w:tc>
      </w:tr>
      <w:tr w14:paraId="77C1C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78" w:type="dxa"/>
          </w:tcPr>
          <w:p w14:paraId="647417E8">
            <w:pPr>
              <w:autoSpaceDE w:val="0"/>
              <w:autoSpaceDN w:val="0"/>
              <w:spacing w:before="151" w:line="188" w:lineRule="auto"/>
              <w:ind w:left="311"/>
              <w:rPr>
                <w:rFonts w:ascii="Calibri" w:hAnsi="Calibri" w:eastAsia="Times New Roman"/>
                <w:sz w:val="24"/>
                <w:szCs w:val="24"/>
                <w:lang w:eastAsia="en-US"/>
              </w:rPr>
            </w:pPr>
            <w:r>
              <w:rPr>
                <w:rFonts w:ascii="Calibri" w:hAnsi="Calibri" w:eastAsia="Times New Roman"/>
                <w:sz w:val="24"/>
                <w:szCs w:val="24"/>
                <w:lang w:eastAsia="en-US"/>
              </w:rPr>
              <w:t>4</w:t>
            </w:r>
          </w:p>
        </w:tc>
        <w:tc>
          <w:tcPr>
            <w:tcW w:w="1486" w:type="dxa"/>
          </w:tcPr>
          <w:p w14:paraId="54C61ECF">
            <w:pPr>
              <w:autoSpaceDE w:val="0"/>
              <w:autoSpaceDN w:val="0"/>
              <w:spacing w:before="109" w:line="221" w:lineRule="auto"/>
              <w:ind w:left="245"/>
              <w:rPr>
                <w:rFonts w:hint="eastAsia" w:ascii="仿宋" w:hAnsi="仿宋" w:eastAsia="仿宋" w:cs="仿宋"/>
                <w:sz w:val="24"/>
                <w:szCs w:val="24"/>
                <w:lang w:eastAsia="en-US"/>
              </w:rPr>
            </w:pPr>
            <w:r>
              <w:rPr>
                <w:rFonts w:ascii="仿宋" w:hAnsi="仿宋" w:eastAsia="仿宋" w:cs="仿宋"/>
                <w:spacing w:val="-6"/>
                <w:sz w:val="24"/>
                <w:szCs w:val="24"/>
                <w:lang w:eastAsia="en-US"/>
              </w:rPr>
              <w:t>沾染废物</w:t>
            </w:r>
          </w:p>
        </w:tc>
        <w:tc>
          <w:tcPr>
            <w:tcW w:w="2015" w:type="dxa"/>
          </w:tcPr>
          <w:p w14:paraId="4F98D659">
            <w:pPr>
              <w:autoSpaceDE w:val="0"/>
              <w:autoSpaceDN w:val="0"/>
              <w:spacing w:before="109" w:line="221" w:lineRule="auto"/>
              <w:ind w:left="130"/>
              <w:rPr>
                <w:rFonts w:hint="eastAsia" w:ascii="仿宋" w:hAnsi="仿宋" w:eastAsia="仿宋" w:cs="仿宋"/>
                <w:sz w:val="24"/>
                <w:szCs w:val="24"/>
                <w:lang w:eastAsia="en-US"/>
              </w:rPr>
            </w:pPr>
            <w:r>
              <w:rPr>
                <w:rFonts w:ascii="Calibri" w:hAnsi="Calibri" w:eastAsia="Times New Roman"/>
                <w:spacing w:val="-3"/>
                <w:sz w:val="24"/>
                <w:szCs w:val="24"/>
                <w:lang w:eastAsia="en-US"/>
              </w:rPr>
              <w:t>HW49</w:t>
            </w:r>
            <w:r>
              <w:rPr>
                <w:rFonts w:ascii="Calibri" w:hAnsi="Calibri" w:eastAsia="Times New Roman"/>
                <w:spacing w:val="17"/>
                <w:sz w:val="24"/>
                <w:szCs w:val="24"/>
                <w:lang w:eastAsia="en-US"/>
              </w:rPr>
              <w:t xml:space="preserve"> </w:t>
            </w:r>
            <w:r>
              <w:rPr>
                <w:rFonts w:ascii="仿宋" w:hAnsi="仿宋" w:eastAsia="仿宋" w:cs="仿宋"/>
                <w:spacing w:val="-3"/>
                <w:sz w:val="24"/>
                <w:szCs w:val="24"/>
                <w:lang w:eastAsia="en-US"/>
              </w:rPr>
              <w:t>其他废物</w:t>
            </w:r>
          </w:p>
        </w:tc>
        <w:tc>
          <w:tcPr>
            <w:tcW w:w="1486" w:type="dxa"/>
          </w:tcPr>
          <w:p w14:paraId="3563E46E">
            <w:pPr>
              <w:autoSpaceDE w:val="0"/>
              <w:autoSpaceDN w:val="0"/>
              <w:spacing w:before="151" w:line="188" w:lineRule="auto"/>
              <w:ind w:left="156"/>
              <w:rPr>
                <w:rFonts w:ascii="Calibri" w:hAnsi="Calibri" w:eastAsia="Times New Roman"/>
                <w:spacing w:val="-2"/>
                <w:sz w:val="24"/>
                <w:szCs w:val="24"/>
                <w:lang w:eastAsia="en-US"/>
              </w:rPr>
            </w:pPr>
            <w:r>
              <w:rPr>
                <w:rFonts w:ascii="Calibri" w:hAnsi="Calibri" w:eastAsia="Times New Roman"/>
                <w:spacing w:val="-2"/>
                <w:sz w:val="24"/>
                <w:szCs w:val="24"/>
                <w:lang w:eastAsia="en-US"/>
              </w:rPr>
              <w:t>900-041-49/</w:t>
            </w:r>
          </w:p>
          <w:p w14:paraId="543F3078">
            <w:pPr>
              <w:autoSpaceDE w:val="0"/>
              <w:autoSpaceDN w:val="0"/>
              <w:spacing w:before="151" w:line="188" w:lineRule="auto"/>
              <w:ind w:left="156"/>
              <w:rPr>
                <w:rFonts w:ascii="Calibri" w:hAnsi="Calibri" w:eastAsia="Times New Roman"/>
                <w:sz w:val="24"/>
                <w:szCs w:val="24"/>
                <w:lang w:eastAsia="en-US"/>
              </w:rPr>
            </w:pPr>
            <w:r>
              <w:rPr>
                <w:rFonts w:ascii="Calibri" w:hAnsi="Calibri" w:eastAsia="Times New Roman"/>
                <w:spacing w:val="-2"/>
                <w:sz w:val="24"/>
                <w:szCs w:val="24"/>
                <w:lang w:eastAsia="en-US"/>
              </w:rPr>
              <w:t>900-042-49</w:t>
            </w:r>
          </w:p>
        </w:tc>
        <w:tc>
          <w:tcPr>
            <w:tcW w:w="1188" w:type="dxa"/>
          </w:tcPr>
          <w:p w14:paraId="173343A3">
            <w:pPr>
              <w:autoSpaceDE w:val="0"/>
              <w:autoSpaceDN w:val="0"/>
              <w:spacing w:before="155" w:line="185" w:lineRule="auto"/>
              <w:ind w:left="498"/>
              <w:rPr>
                <w:rFonts w:ascii="Calibri" w:hAnsi="Calibri" w:eastAsia="Times New Roman"/>
                <w:sz w:val="24"/>
                <w:szCs w:val="24"/>
                <w:lang w:eastAsia="en-US"/>
              </w:rPr>
            </w:pPr>
            <w:r>
              <w:rPr>
                <w:rFonts w:ascii="Calibri" w:hAnsi="Calibri" w:eastAsia="Times New Roman"/>
                <w:sz w:val="24"/>
                <w:szCs w:val="24"/>
                <w:lang w:eastAsia="en-US"/>
              </w:rPr>
              <w:t>T</w:t>
            </w:r>
          </w:p>
        </w:tc>
        <w:tc>
          <w:tcPr>
            <w:tcW w:w="1188" w:type="dxa"/>
          </w:tcPr>
          <w:p w14:paraId="24B6881A">
            <w:pPr>
              <w:autoSpaceDE w:val="0"/>
              <w:autoSpaceDN w:val="0"/>
              <w:spacing w:before="109" w:line="221" w:lineRule="auto"/>
              <w:ind w:left="147"/>
              <w:rPr>
                <w:rFonts w:hint="eastAsia" w:ascii="仿宋" w:hAnsi="仿宋" w:eastAsia="仿宋" w:cs="仿宋"/>
                <w:sz w:val="24"/>
                <w:szCs w:val="24"/>
                <w:lang w:eastAsia="en-US"/>
              </w:rPr>
            </w:pPr>
            <w:r>
              <w:rPr>
                <w:rFonts w:ascii="仿宋" w:hAnsi="仿宋" w:eastAsia="仿宋" w:cs="仿宋"/>
                <w:spacing w:val="-16"/>
                <w:sz w:val="24"/>
                <w:szCs w:val="24"/>
                <w:lang w:eastAsia="en-US"/>
              </w:rPr>
              <w:t>油类物质</w:t>
            </w:r>
          </w:p>
        </w:tc>
        <w:tc>
          <w:tcPr>
            <w:tcW w:w="794" w:type="dxa"/>
          </w:tcPr>
          <w:p w14:paraId="099016A7">
            <w:pPr>
              <w:autoSpaceDE w:val="0"/>
              <w:autoSpaceDN w:val="0"/>
              <w:spacing w:before="109" w:line="226" w:lineRule="auto"/>
              <w:ind w:left="177"/>
              <w:rPr>
                <w:rFonts w:hint="eastAsia" w:ascii="仿宋" w:hAnsi="仿宋" w:eastAsia="仿宋" w:cs="仿宋"/>
                <w:sz w:val="24"/>
                <w:szCs w:val="24"/>
                <w:lang w:eastAsia="en-US"/>
              </w:rPr>
            </w:pPr>
            <w:r>
              <w:rPr>
                <w:rFonts w:ascii="仿宋" w:hAnsi="仿宋" w:eastAsia="仿宋" w:cs="仿宋"/>
                <w:spacing w:val="-21"/>
                <w:sz w:val="24"/>
                <w:szCs w:val="24"/>
                <w:lang w:eastAsia="en-US"/>
              </w:rPr>
              <w:t>固态</w:t>
            </w:r>
          </w:p>
        </w:tc>
      </w:tr>
      <w:tr w14:paraId="6CEE3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tcPr>
          <w:p w14:paraId="606B7676">
            <w:pPr>
              <w:autoSpaceDE w:val="0"/>
              <w:autoSpaceDN w:val="0"/>
              <w:spacing w:before="157" w:line="185" w:lineRule="auto"/>
              <w:ind w:left="319"/>
              <w:rPr>
                <w:rFonts w:ascii="Calibri" w:hAnsi="Calibri" w:eastAsia="Times New Roman"/>
                <w:sz w:val="24"/>
                <w:szCs w:val="24"/>
                <w:lang w:eastAsia="en-US"/>
              </w:rPr>
            </w:pPr>
            <w:r>
              <w:rPr>
                <w:rFonts w:ascii="Calibri" w:hAnsi="Calibri" w:eastAsia="Times New Roman"/>
                <w:sz w:val="24"/>
                <w:szCs w:val="24"/>
                <w:lang w:eastAsia="en-US"/>
              </w:rPr>
              <w:t>5</w:t>
            </w:r>
          </w:p>
        </w:tc>
        <w:tc>
          <w:tcPr>
            <w:tcW w:w="1486" w:type="dxa"/>
          </w:tcPr>
          <w:p w14:paraId="15AC7B17">
            <w:pPr>
              <w:autoSpaceDE w:val="0"/>
              <w:autoSpaceDN w:val="0"/>
              <w:spacing w:before="112" w:line="224" w:lineRule="auto"/>
              <w:ind w:left="241"/>
              <w:rPr>
                <w:rFonts w:hint="eastAsia" w:ascii="仿宋" w:hAnsi="仿宋" w:eastAsia="仿宋" w:cs="仿宋"/>
                <w:sz w:val="24"/>
                <w:szCs w:val="24"/>
                <w:lang w:eastAsia="en-US"/>
              </w:rPr>
            </w:pPr>
            <w:r>
              <w:rPr>
                <w:rFonts w:ascii="仿宋" w:hAnsi="仿宋" w:eastAsia="仿宋" w:cs="仿宋"/>
                <w:spacing w:val="-5"/>
                <w:sz w:val="24"/>
                <w:szCs w:val="24"/>
                <w:lang w:eastAsia="en-US"/>
              </w:rPr>
              <w:t>废吸油毡</w:t>
            </w:r>
          </w:p>
        </w:tc>
        <w:tc>
          <w:tcPr>
            <w:tcW w:w="2015" w:type="dxa"/>
          </w:tcPr>
          <w:p w14:paraId="14FADC41">
            <w:pPr>
              <w:autoSpaceDE w:val="0"/>
              <w:autoSpaceDN w:val="0"/>
              <w:spacing w:before="112" w:line="221" w:lineRule="auto"/>
              <w:ind w:left="130"/>
              <w:rPr>
                <w:rFonts w:hint="eastAsia" w:ascii="仿宋" w:hAnsi="仿宋" w:eastAsia="仿宋" w:cs="仿宋"/>
                <w:sz w:val="24"/>
                <w:szCs w:val="24"/>
                <w:lang w:eastAsia="en-US"/>
              </w:rPr>
            </w:pPr>
            <w:r>
              <w:rPr>
                <w:rFonts w:ascii="Calibri" w:hAnsi="Calibri" w:eastAsia="Times New Roman"/>
                <w:spacing w:val="-3"/>
                <w:sz w:val="24"/>
                <w:szCs w:val="24"/>
                <w:lang w:eastAsia="en-US"/>
              </w:rPr>
              <w:t>HW49</w:t>
            </w:r>
            <w:r>
              <w:rPr>
                <w:rFonts w:ascii="Calibri" w:hAnsi="Calibri" w:eastAsia="Times New Roman"/>
                <w:spacing w:val="17"/>
                <w:sz w:val="24"/>
                <w:szCs w:val="24"/>
                <w:lang w:eastAsia="en-US"/>
              </w:rPr>
              <w:t xml:space="preserve"> </w:t>
            </w:r>
            <w:r>
              <w:rPr>
                <w:rFonts w:ascii="仿宋" w:hAnsi="仿宋" w:eastAsia="仿宋" w:cs="仿宋"/>
                <w:spacing w:val="-3"/>
                <w:sz w:val="24"/>
                <w:szCs w:val="24"/>
                <w:lang w:eastAsia="en-US"/>
              </w:rPr>
              <w:t>其他废物</w:t>
            </w:r>
          </w:p>
        </w:tc>
        <w:tc>
          <w:tcPr>
            <w:tcW w:w="1486" w:type="dxa"/>
          </w:tcPr>
          <w:p w14:paraId="76E0543F">
            <w:pPr>
              <w:autoSpaceDE w:val="0"/>
              <w:autoSpaceDN w:val="0"/>
              <w:spacing w:before="154" w:line="188" w:lineRule="auto"/>
              <w:ind w:left="156"/>
              <w:rPr>
                <w:rFonts w:ascii="Calibri" w:hAnsi="Calibri" w:eastAsia="Times New Roman"/>
                <w:spacing w:val="-2"/>
                <w:sz w:val="24"/>
                <w:szCs w:val="24"/>
                <w:lang w:eastAsia="en-US"/>
              </w:rPr>
            </w:pPr>
            <w:r>
              <w:rPr>
                <w:rFonts w:ascii="Calibri" w:hAnsi="Calibri" w:eastAsia="Times New Roman"/>
                <w:spacing w:val="-2"/>
                <w:sz w:val="24"/>
                <w:szCs w:val="24"/>
                <w:lang w:eastAsia="en-US"/>
              </w:rPr>
              <w:t>900-041-49/</w:t>
            </w:r>
          </w:p>
          <w:p w14:paraId="170CDC4A">
            <w:pPr>
              <w:autoSpaceDE w:val="0"/>
              <w:autoSpaceDN w:val="0"/>
              <w:spacing w:before="154" w:line="188" w:lineRule="auto"/>
              <w:ind w:left="156"/>
              <w:rPr>
                <w:rFonts w:ascii="Calibri" w:hAnsi="Calibri" w:eastAsia="Times New Roman"/>
                <w:sz w:val="24"/>
                <w:szCs w:val="24"/>
                <w:lang w:eastAsia="en-US"/>
              </w:rPr>
            </w:pPr>
            <w:r>
              <w:rPr>
                <w:rFonts w:ascii="Calibri" w:hAnsi="Calibri" w:eastAsia="Times New Roman"/>
                <w:spacing w:val="-2"/>
                <w:sz w:val="24"/>
                <w:szCs w:val="24"/>
                <w:lang w:eastAsia="en-US"/>
              </w:rPr>
              <w:t>900-042-49</w:t>
            </w:r>
          </w:p>
        </w:tc>
        <w:tc>
          <w:tcPr>
            <w:tcW w:w="1188" w:type="dxa"/>
          </w:tcPr>
          <w:p w14:paraId="636BCFD5">
            <w:pPr>
              <w:autoSpaceDE w:val="0"/>
              <w:autoSpaceDN w:val="0"/>
              <w:spacing w:before="157" w:line="185" w:lineRule="auto"/>
              <w:ind w:left="498"/>
              <w:rPr>
                <w:rFonts w:ascii="Calibri" w:hAnsi="Calibri" w:eastAsia="Times New Roman"/>
                <w:sz w:val="24"/>
                <w:szCs w:val="24"/>
                <w:lang w:eastAsia="en-US"/>
              </w:rPr>
            </w:pPr>
            <w:r>
              <w:rPr>
                <w:rFonts w:ascii="Calibri" w:hAnsi="Calibri" w:eastAsia="Times New Roman"/>
                <w:sz w:val="24"/>
                <w:szCs w:val="24"/>
                <w:lang w:eastAsia="en-US"/>
              </w:rPr>
              <w:t>T</w:t>
            </w:r>
          </w:p>
        </w:tc>
        <w:tc>
          <w:tcPr>
            <w:tcW w:w="1188" w:type="dxa"/>
          </w:tcPr>
          <w:p w14:paraId="3A110D20">
            <w:pPr>
              <w:autoSpaceDE w:val="0"/>
              <w:autoSpaceDN w:val="0"/>
              <w:spacing w:before="112" w:line="221" w:lineRule="auto"/>
              <w:ind w:left="147"/>
              <w:rPr>
                <w:rFonts w:hint="eastAsia" w:ascii="仿宋" w:hAnsi="仿宋" w:eastAsia="仿宋" w:cs="仿宋"/>
                <w:sz w:val="24"/>
                <w:szCs w:val="24"/>
                <w:lang w:eastAsia="en-US"/>
              </w:rPr>
            </w:pPr>
            <w:r>
              <w:rPr>
                <w:rFonts w:ascii="仿宋" w:hAnsi="仿宋" w:eastAsia="仿宋" w:cs="仿宋"/>
                <w:spacing w:val="-16"/>
                <w:sz w:val="24"/>
                <w:szCs w:val="24"/>
                <w:lang w:eastAsia="en-US"/>
              </w:rPr>
              <w:t>油类物质</w:t>
            </w:r>
          </w:p>
        </w:tc>
        <w:tc>
          <w:tcPr>
            <w:tcW w:w="794" w:type="dxa"/>
          </w:tcPr>
          <w:p w14:paraId="3B3149EF">
            <w:pPr>
              <w:autoSpaceDE w:val="0"/>
              <w:autoSpaceDN w:val="0"/>
              <w:spacing w:before="112" w:line="226" w:lineRule="auto"/>
              <w:ind w:left="177"/>
              <w:rPr>
                <w:rFonts w:hint="eastAsia" w:ascii="仿宋" w:hAnsi="仿宋" w:eastAsia="仿宋" w:cs="仿宋"/>
                <w:sz w:val="24"/>
                <w:szCs w:val="24"/>
                <w:lang w:eastAsia="en-US"/>
              </w:rPr>
            </w:pPr>
            <w:r>
              <w:rPr>
                <w:rFonts w:ascii="仿宋" w:hAnsi="仿宋" w:eastAsia="仿宋" w:cs="仿宋"/>
                <w:spacing w:val="-21"/>
                <w:sz w:val="24"/>
                <w:szCs w:val="24"/>
                <w:lang w:eastAsia="en-US"/>
              </w:rPr>
              <w:t>固态</w:t>
            </w:r>
          </w:p>
        </w:tc>
      </w:tr>
    </w:tbl>
    <w:p w14:paraId="5DC5F008">
      <w:pPr>
        <w:tabs>
          <w:tab w:val="left" w:pos="4800"/>
        </w:tabs>
        <w:snapToGrid w:val="0"/>
        <w:jc w:val="center"/>
        <w:rPr>
          <w:rFonts w:eastAsia="仿宋_GB2312"/>
          <w:sz w:val="28"/>
          <w:szCs w:val="28"/>
        </w:rPr>
      </w:pPr>
    </w:p>
    <w:p w14:paraId="3482B731">
      <w:pPr>
        <w:spacing w:line="360" w:lineRule="auto"/>
        <w:outlineLvl w:val="1"/>
        <w:rPr>
          <w:rFonts w:eastAsia="黑体"/>
          <w:bCs/>
          <w:sz w:val="28"/>
          <w:szCs w:val="32"/>
        </w:rPr>
      </w:pPr>
      <w:bookmarkStart w:id="30" w:name="_Toc165395065"/>
      <w:r>
        <w:rPr>
          <w:rFonts w:eastAsia="黑体"/>
          <w:bCs/>
          <w:sz w:val="28"/>
          <w:szCs w:val="32"/>
        </w:rPr>
        <w:t>3周边环境状况及环境保护目标情况</w:t>
      </w:r>
      <w:bookmarkEnd w:id="30"/>
    </w:p>
    <w:p w14:paraId="7644FFF5">
      <w:pPr>
        <w:spacing w:line="360" w:lineRule="auto"/>
        <w:outlineLvl w:val="2"/>
        <w:rPr>
          <w:rFonts w:eastAsia="仿宋_GB2312"/>
          <w:b/>
          <w:bCs/>
          <w:sz w:val="28"/>
          <w:szCs w:val="32"/>
          <w:highlight w:val="none"/>
        </w:rPr>
      </w:pPr>
      <w:r>
        <w:rPr>
          <w:rFonts w:eastAsia="仿宋_GB2312"/>
          <w:b/>
          <w:bCs/>
          <w:sz w:val="28"/>
          <w:szCs w:val="32"/>
          <w:highlight w:val="none"/>
        </w:rPr>
        <w:t>2.3.1大气环境风险受体</w:t>
      </w:r>
    </w:p>
    <w:p w14:paraId="36F8B1CE">
      <w:pPr>
        <w:spacing w:line="360" w:lineRule="auto"/>
        <w:ind w:firstLine="560" w:firstLineChars="200"/>
        <w:rPr>
          <w:rFonts w:eastAsia="仿宋"/>
          <w:sz w:val="28"/>
          <w:szCs w:val="28"/>
        </w:rPr>
      </w:pPr>
      <w:r>
        <w:rPr>
          <w:rFonts w:hint="eastAsia" w:eastAsia="仿宋"/>
          <w:sz w:val="28"/>
          <w:szCs w:val="28"/>
        </w:rPr>
        <w:t>对本加油站周边500m、5km范围内大气环境风险受体（包括居住、医疗卫生机构、文化教育机构、科研单位、行政机关、企事业单位、军事禁区、军事管理区、国家相关保密区域等）调查情况见下表。</w:t>
      </w:r>
    </w:p>
    <w:p w14:paraId="19D38256">
      <w:pPr>
        <w:spacing w:line="300" w:lineRule="auto"/>
        <w:ind w:firstLine="1400" w:firstLineChars="500"/>
        <w:rPr>
          <w:rFonts w:eastAsia="仿宋"/>
          <w:sz w:val="28"/>
          <w:szCs w:val="28"/>
        </w:rPr>
      </w:pPr>
      <w:r>
        <w:rPr>
          <w:rFonts w:eastAsia="仿宋"/>
          <w:sz w:val="28"/>
          <w:szCs w:val="28"/>
        </w:rPr>
        <w:t>表3.4-1半径</w:t>
      </w:r>
      <w:r>
        <w:rPr>
          <w:rFonts w:hint="eastAsia" w:eastAsia="仿宋"/>
          <w:sz w:val="28"/>
          <w:szCs w:val="28"/>
        </w:rPr>
        <w:t>500m范围内大气环境风险受体情况</w:t>
      </w:r>
    </w:p>
    <w:tbl>
      <w:tblPr>
        <w:tblStyle w:val="41"/>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37"/>
        <w:gridCol w:w="3378"/>
        <w:gridCol w:w="1375"/>
        <w:gridCol w:w="1543"/>
        <w:gridCol w:w="1023"/>
        <w:gridCol w:w="924"/>
      </w:tblGrid>
      <w:tr w14:paraId="436E2C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8" w:type="pct"/>
            <w:shd w:val="clear" w:color="auto" w:fill="auto"/>
            <w:noWrap/>
            <w:vAlign w:val="center"/>
          </w:tcPr>
          <w:p w14:paraId="2C0E53AA">
            <w:pPr>
              <w:keepNext w:val="0"/>
              <w:keepLines w:val="0"/>
              <w:widowControl/>
              <w:suppressLineNumbers w:val="0"/>
              <w:jc w:val="center"/>
              <w:textAlignment w:val="center"/>
              <w:rPr>
                <w:rFonts w:ascii="仿宋" w:hAnsi="仿宋" w:eastAsia="仿宋" w:cs="宋体"/>
                <w:color w:val="000000"/>
                <w:kern w:val="0"/>
                <w:sz w:val="24"/>
                <w:szCs w:val="24"/>
              </w:rPr>
            </w:pPr>
            <w:r>
              <w:rPr>
                <w:rFonts w:hint="eastAsia" w:ascii="仿宋" w:hAnsi="仿宋" w:eastAsia="仿宋" w:cs="仿宋"/>
                <w:i w:val="0"/>
                <w:iCs w:val="0"/>
                <w:color w:val="000000"/>
                <w:kern w:val="0"/>
                <w:sz w:val="24"/>
                <w:szCs w:val="24"/>
                <w:u w:val="none"/>
                <w:lang w:val="en-US" w:eastAsia="zh-CN" w:bidi="ar"/>
              </w:rPr>
              <w:t>序号</w:t>
            </w:r>
          </w:p>
        </w:tc>
        <w:tc>
          <w:tcPr>
            <w:tcW w:w="1819" w:type="pct"/>
            <w:shd w:val="clear" w:color="auto" w:fill="auto"/>
            <w:noWrap/>
            <w:vAlign w:val="center"/>
          </w:tcPr>
          <w:p w14:paraId="5150ECCD">
            <w:pPr>
              <w:keepNext w:val="0"/>
              <w:keepLines w:val="0"/>
              <w:widowControl/>
              <w:suppressLineNumbers w:val="0"/>
              <w:jc w:val="center"/>
              <w:textAlignment w:val="center"/>
              <w:rPr>
                <w:rFonts w:ascii="仿宋" w:hAnsi="仿宋" w:eastAsia="仿宋" w:cs="宋体"/>
                <w:color w:val="000000"/>
                <w:kern w:val="0"/>
                <w:sz w:val="24"/>
                <w:szCs w:val="24"/>
              </w:rPr>
            </w:pPr>
            <w:r>
              <w:rPr>
                <w:rFonts w:hint="eastAsia" w:ascii="仿宋" w:hAnsi="仿宋" w:eastAsia="仿宋" w:cs="仿宋"/>
                <w:i w:val="0"/>
                <w:iCs w:val="0"/>
                <w:color w:val="000000"/>
                <w:kern w:val="0"/>
                <w:sz w:val="24"/>
                <w:szCs w:val="24"/>
                <w:u w:val="none"/>
                <w:lang w:val="en-US" w:eastAsia="zh-CN" w:bidi="ar"/>
              </w:rPr>
              <w:t>名称</w:t>
            </w:r>
          </w:p>
        </w:tc>
        <w:tc>
          <w:tcPr>
            <w:tcW w:w="740" w:type="pct"/>
            <w:shd w:val="clear" w:color="auto" w:fill="auto"/>
            <w:noWrap/>
            <w:vAlign w:val="center"/>
          </w:tcPr>
          <w:p w14:paraId="05B999A5">
            <w:pPr>
              <w:keepNext w:val="0"/>
              <w:keepLines w:val="0"/>
              <w:widowControl/>
              <w:suppressLineNumbers w:val="0"/>
              <w:jc w:val="center"/>
              <w:textAlignment w:val="center"/>
              <w:rPr>
                <w:rFonts w:ascii="仿宋" w:hAnsi="仿宋" w:eastAsia="仿宋" w:cs="宋体"/>
                <w:color w:val="000000"/>
                <w:kern w:val="0"/>
                <w:sz w:val="24"/>
                <w:szCs w:val="24"/>
              </w:rPr>
            </w:pPr>
            <w:r>
              <w:rPr>
                <w:rFonts w:hint="eastAsia" w:ascii="仿宋" w:hAnsi="仿宋" w:eastAsia="仿宋" w:cs="仿宋"/>
                <w:i w:val="0"/>
                <w:iCs w:val="0"/>
                <w:color w:val="000000"/>
                <w:kern w:val="0"/>
                <w:sz w:val="24"/>
                <w:szCs w:val="24"/>
                <w:u w:val="none"/>
                <w:lang w:val="en-US" w:eastAsia="zh-CN" w:bidi="ar"/>
              </w:rPr>
              <w:t>相对方位</w:t>
            </w:r>
          </w:p>
        </w:tc>
        <w:tc>
          <w:tcPr>
            <w:tcW w:w="831" w:type="pct"/>
            <w:shd w:val="clear" w:color="auto" w:fill="auto"/>
            <w:noWrap/>
            <w:vAlign w:val="center"/>
          </w:tcPr>
          <w:p w14:paraId="2B3B7C3B">
            <w:pPr>
              <w:keepNext w:val="0"/>
              <w:keepLines w:val="0"/>
              <w:widowControl/>
              <w:suppressLineNumbers w:val="0"/>
              <w:jc w:val="center"/>
              <w:textAlignment w:val="center"/>
              <w:rPr>
                <w:rFonts w:ascii="仿宋" w:hAnsi="仿宋" w:eastAsia="仿宋" w:cs="宋体"/>
                <w:color w:val="000000"/>
                <w:kern w:val="0"/>
                <w:sz w:val="24"/>
                <w:szCs w:val="24"/>
              </w:rPr>
            </w:pPr>
            <w:r>
              <w:rPr>
                <w:rFonts w:hint="eastAsia" w:ascii="仿宋" w:hAnsi="仿宋" w:eastAsia="仿宋" w:cs="仿宋"/>
                <w:i w:val="0"/>
                <w:iCs w:val="0"/>
                <w:color w:val="000000"/>
                <w:kern w:val="0"/>
                <w:sz w:val="24"/>
                <w:szCs w:val="24"/>
                <w:u w:val="none"/>
                <w:lang w:val="en-US" w:eastAsia="zh-CN" w:bidi="ar"/>
              </w:rPr>
              <w:t>距离（米）</w:t>
            </w:r>
          </w:p>
        </w:tc>
        <w:tc>
          <w:tcPr>
            <w:tcW w:w="551" w:type="pct"/>
            <w:shd w:val="clear" w:color="auto" w:fill="auto"/>
            <w:noWrap/>
            <w:vAlign w:val="center"/>
          </w:tcPr>
          <w:p w14:paraId="530F9A60">
            <w:pPr>
              <w:keepNext w:val="0"/>
              <w:keepLines w:val="0"/>
              <w:widowControl/>
              <w:suppressLineNumbers w:val="0"/>
              <w:jc w:val="center"/>
              <w:textAlignment w:val="center"/>
              <w:rPr>
                <w:rFonts w:ascii="仿宋" w:hAnsi="仿宋" w:eastAsia="仿宋" w:cs="宋体"/>
                <w:color w:val="000000"/>
                <w:kern w:val="0"/>
                <w:sz w:val="24"/>
                <w:szCs w:val="24"/>
              </w:rPr>
            </w:pPr>
            <w:r>
              <w:rPr>
                <w:rFonts w:hint="eastAsia" w:ascii="仿宋" w:hAnsi="仿宋" w:eastAsia="仿宋" w:cs="仿宋"/>
                <w:i w:val="0"/>
                <w:iCs w:val="0"/>
                <w:color w:val="000000"/>
                <w:kern w:val="0"/>
                <w:sz w:val="24"/>
                <w:szCs w:val="24"/>
                <w:u w:val="none"/>
                <w:lang w:val="en-US" w:eastAsia="zh-CN" w:bidi="ar"/>
              </w:rPr>
              <w:t>性质</w:t>
            </w:r>
          </w:p>
        </w:tc>
        <w:tc>
          <w:tcPr>
            <w:tcW w:w="497" w:type="pct"/>
            <w:shd w:val="clear" w:color="auto" w:fill="auto"/>
            <w:vAlign w:val="center"/>
          </w:tcPr>
          <w:p w14:paraId="680C77D3">
            <w:pPr>
              <w:keepNext w:val="0"/>
              <w:keepLines w:val="0"/>
              <w:widowControl/>
              <w:suppressLineNumbers w:val="0"/>
              <w:jc w:val="center"/>
              <w:textAlignment w:val="center"/>
              <w:rPr>
                <w:rFonts w:ascii="仿宋" w:hAnsi="仿宋" w:eastAsia="仿宋" w:cs="宋体"/>
                <w:color w:val="000000"/>
                <w:kern w:val="0"/>
                <w:sz w:val="24"/>
                <w:szCs w:val="24"/>
              </w:rPr>
            </w:pPr>
            <w:r>
              <w:rPr>
                <w:rFonts w:hint="eastAsia" w:ascii="仿宋" w:hAnsi="仿宋" w:eastAsia="仿宋" w:cs="仿宋"/>
                <w:i w:val="0"/>
                <w:iCs w:val="0"/>
                <w:color w:val="000000"/>
                <w:kern w:val="0"/>
                <w:sz w:val="24"/>
                <w:szCs w:val="24"/>
                <w:u w:val="none"/>
                <w:lang w:val="en-US" w:eastAsia="zh-CN" w:bidi="ar"/>
              </w:rPr>
              <w:t>人数</w:t>
            </w:r>
          </w:p>
        </w:tc>
      </w:tr>
      <w:tr w14:paraId="3BCEFD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8" w:type="pct"/>
            <w:shd w:val="clear" w:color="auto" w:fill="auto"/>
            <w:noWrap/>
            <w:vAlign w:val="center"/>
          </w:tcPr>
          <w:p w14:paraId="1685F043">
            <w:pPr>
              <w:keepNext w:val="0"/>
              <w:keepLines w:val="0"/>
              <w:widowControl/>
              <w:suppressLineNumbers w:val="0"/>
              <w:jc w:val="center"/>
              <w:textAlignment w:val="center"/>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1</w:t>
            </w:r>
          </w:p>
        </w:tc>
        <w:tc>
          <w:tcPr>
            <w:tcW w:w="1819" w:type="pct"/>
            <w:shd w:val="clear" w:color="auto" w:fill="auto"/>
            <w:noWrap/>
            <w:vAlign w:val="center"/>
          </w:tcPr>
          <w:p w14:paraId="3CAC664B">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北闸口第二小学</w:t>
            </w:r>
          </w:p>
        </w:tc>
        <w:tc>
          <w:tcPr>
            <w:tcW w:w="740" w:type="pct"/>
            <w:shd w:val="clear" w:color="auto" w:fill="auto"/>
            <w:noWrap/>
            <w:vAlign w:val="center"/>
          </w:tcPr>
          <w:p w14:paraId="3CDD144D">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东北</w:t>
            </w:r>
          </w:p>
        </w:tc>
        <w:tc>
          <w:tcPr>
            <w:tcW w:w="831" w:type="pct"/>
            <w:shd w:val="clear" w:color="auto" w:fill="auto"/>
            <w:noWrap/>
            <w:vAlign w:val="center"/>
          </w:tcPr>
          <w:p w14:paraId="0860ABA3">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454</w:t>
            </w:r>
          </w:p>
        </w:tc>
        <w:tc>
          <w:tcPr>
            <w:tcW w:w="551" w:type="pct"/>
            <w:shd w:val="clear" w:color="auto" w:fill="auto"/>
            <w:noWrap/>
            <w:vAlign w:val="center"/>
          </w:tcPr>
          <w:p w14:paraId="7FA541A3">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学校</w:t>
            </w:r>
          </w:p>
        </w:tc>
        <w:tc>
          <w:tcPr>
            <w:tcW w:w="497" w:type="pct"/>
            <w:shd w:val="clear" w:color="auto" w:fill="auto"/>
            <w:vAlign w:val="center"/>
          </w:tcPr>
          <w:p w14:paraId="01D3F79D">
            <w:pPr>
              <w:keepNext w:val="0"/>
              <w:keepLines w:val="0"/>
              <w:widowControl/>
              <w:suppressLineNumbers w:val="0"/>
              <w:jc w:val="center"/>
              <w:textAlignment w:val="center"/>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874</w:t>
            </w:r>
          </w:p>
        </w:tc>
      </w:tr>
      <w:tr w14:paraId="5D7C5A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8" w:type="pct"/>
            <w:shd w:val="clear" w:color="auto" w:fill="auto"/>
            <w:noWrap/>
            <w:vAlign w:val="center"/>
          </w:tcPr>
          <w:p w14:paraId="0ECCE756">
            <w:pPr>
              <w:keepNext w:val="0"/>
              <w:keepLines w:val="0"/>
              <w:widowControl/>
              <w:suppressLineNumbers w:val="0"/>
              <w:jc w:val="center"/>
              <w:textAlignment w:val="center"/>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2</w:t>
            </w:r>
          </w:p>
        </w:tc>
        <w:tc>
          <w:tcPr>
            <w:tcW w:w="1819" w:type="pct"/>
            <w:shd w:val="clear" w:color="auto" w:fill="auto"/>
            <w:vAlign w:val="center"/>
          </w:tcPr>
          <w:p w14:paraId="65D37BCC">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欣园尚林学幼</w:t>
            </w:r>
          </w:p>
        </w:tc>
        <w:tc>
          <w:tcPr>
            <w:tcW w:w="740" w:type="pct"/>
            <w:shd w:val="clear" w:color="auto" w:fill="auto"/>
            <w:vAlign w:val="center"/>
          </w:tcPr>
          <w:p w14:paraId="7D412BBB">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北</w:t>
            </w:r>
          </w:p>
        </w:tc>
        <w:tc>
          <w:tcPr>
            <w:tcW w:w="831" w:type="pct"/>
            <w:shd w:val="clear" w:color="auto" w:fill="auto"/>
            <w:vAlign w:val="center"/>
          </w:tcPr>
          <w:p w14:paraId="483790FB">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363</w:t>
            </w:r>
          </w:p>
        </w:tc>
        <w:tc>
          <w:tcPr>
            <w:tcW w:w="551" w:type="pct"/>
            <w:shd w:val="clear" w:color="auto" w:fill="auto"/>
            <w:noWrap/>
            <w:vAlign w:val="center"/>
          </w:tcPr>
          <w:p w14:paraId="16C1C454">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学校</w:t>
            </w:r>
          </w:p>
        </w:tc>
        <w:tc>
          <w:tcPr>
            <w:tcW w:w="497" w:type="pct"/>
            <w:shd w:val="clear" w:color="auto" w:fill="auto"/>
            <w:noWrap/>
            <w:vAlign w:val="center"/>
          </w:tcPr>
          <w:p w14:paraId="22958782">
            <w:pPr>
              <w:keepNext w:val="0"/>
              <w:keepLines w:val="0"/>
              <w:widowControl/>
              <w:suppressLineNumbers w:val="0"/>
              <w:jc w:val="center"/>
              <w:textAlignment w:val="center"/>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210</w:t>
            </w:r>
          </w:p>
        </w:tc>
      </w:tr>
      <w:tr w14:paraId="75C151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8" w:type="pct"/>
            <w:shd w:val="clear" w:color="auto" w:fill="auto"/>
            <w:noWrap/>
            <w:vAlign w:val="center"/>
          </w:tcPr>
          <w:p w14:paraId="06A9876C">
            <w:pPr>
              <w:keepNext w:val="0"/>
              <w:keepLines w:val="0"/>
              <w:widowControl/>
              <w:suppressLineNumbers w:val="0"/>
              <w:jc w:val="center"/>
              <w:textAlignment w:val="center"/>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3</w:t>
            </w:r>
          </w:p>
        </w:tc>
        <w:tc>
          <w:tcPr>
            <w:tcW w:w="1819" w:type="pct"/>
            <w:shd w:val="clear" w:color="auto" w:fill="auto"/>
            <w:vAlign w:val="center"/>
          </w:tcPr>
          <w:p w14:paraId="30BCEB50">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天地源欧筑1898小区</w:t>
            </w:r>
          </w:p>
        </w:tc>
        <w:tc>
          <w:tcPr>
            <w:tcW w:w="740" w:type="pct"/>
            <w:shd w:val="clear" w:color="auto" w:fill="auto"/>
            <w:vAlign w:val="center"/>
          </w:tcPr>
          <w:p w14:paraId="5A9C34ED">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北</w:t>
            </w:r>
          </w:p>
        </w:tc>
        <w:tc>
          <w:tcPr>
            <w:tcW w:w="831" w:type="pct"/>
            <w:shd w:val="clear" w:color="auto" w:fill="auto"/>
            <w:vAlign w:val="center"/>
          </w:tcPr>
          <w:p w14:paraId="35A75246">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271</w:t>
            </w:r>
          </w:p>
        </w:tc>
        <w:tc>
          <w:tcPr>
            <w:tcW w:w="551" w:type="pct"/>
            <w:shd w:val="clear" w:color="auto" w:fill="auto"/>
            <w:noWrap/>
            <w:vAlign w:val="center"/>
          </w:tcPr>
          <w:p w14:paraId="6F0C09AA">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居民区</w:t>
            </w:r>
          </w:p>
        </w:tc>
        <w:tc>
          <w:tcPr>
            <w:tcW w:w="497" w:type="pct"/>
            <w:shd w:val="clear" w:color="auto" w:fill="auto"/>
            <w:noWrap/>
            <w:vAlign w:val="center"/>
          </w:tcPr>
          <w:p w14:paraId="3BDBAE7A">
            <w:pPr>
              <w:keepNext w:val="0"/>
              <w:keepLines w:val="0"/>
              <w:widowControl/>
              <w:suppressLineNumbers w:val="0"/>
              <w:jc w:val="center"/>
              <w:textAlignment w:val="center"/>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608</w:t>
            </w:r>
          </w:p>
        </w:tc>
      </w:tr>
      <w:tr w14:paraId="26CCAB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8" w:type="pct"/>
            <w:shd w:val="clear" w:color="auto" w:fill="auto"/>
            <w:noWrap/>
            <w:vAlign w:val="center"/>
          </w:tcPr>
          <w:p w14:paraId="30792F9C">
            <w:pPr>
              <w:keepNext w:val="0"/>
              <w:keepLines w:val="0"/>
              <w:widowControl/>
              <w:suppressLineNumbers w:val="0"/>
              <w:jc w:val="center"/>
              <w:textAlignment w:val="center"/>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4</w:t>
            </w:r>
          </w:p>
        </w:tc>
        <w:tc>
          <w:tcPr>
            <w:tcW w:w="1819" w:type="pct"/>
            <w:shd w:val="clear" w:color="auto" w:fill="auto"/>
            <w:vAlign w:val="center"/>
          </w:tcPr>
          <w:p w14:paraId="5E013AB1">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高庄房生态村</w:t>
            </w:r>
          </w:p>
        </w:tc>
        <w:tc>
          <w:tcPr>
            <w:tcW w:w="740" w:type="pct"/>
            <w:shd w:val="clear" w:color="auto" w:fill="auto"/>
            <w:vAlign w:val="center"/>
          </w:tcPr>
          <w:p w14:paraId="19F4C6BC">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东</w:t>
            </w:r>
          </w:p>
        </w:tc>
        <w:tc>
          <w:tcPr>
            <w:tcW w:w="831" w:type="pct"/>
            <w:shd w:val="clear" w:color="auto" w:fill="auto"/>
            <w:vAlign w:val="center"/>
          </w:tcPr>
          <w:p w14:paraId="3E22A55A">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203</w:t>
            </w:r>
          </w:p>
        </w:tc>
        <w:tc>
          <w:tcPr>
            <w:tcW w:w="551" w:type="pct"/>
            <w:shd w:val="clear" w:color="auto" w:fill="auto"/>
            <w:noWrap/>
            <w:vAlign w:val="center"/>
          </w:tcPr>
          <w:p w14:paraId="18A1CC53">
            <w:pPr>
              <w:keepNext w:val="0"/>
              <w:keepLines w:val="0"/>
              <w:widowControl/>
              <w:suppressLineNumbers w:val="0"/>
              <w:jc w:val="left"/>
              <w:rPr>
                <w:rFonts w:ascii="仿宋" w:hAnsi="仿宋" w:eastAsia="仿宋" w:cs="宋体"/>
                <w:color w:val="000000"/>
                <w:kern w:val="0"/>
                <w:sz w:val="24"/>
                <w:szCs w:val="24"/>
              </w:rPr>
            </w:pPr>
            <w:r>
              <w:rPr>
                <w:rFonts w:ascii="宋体" w:hAnsi="宋体" w:eastAsia="宋体" w:cs="宋体"/>
                <w:kern w:val="0"/>
                <w:sz w:val="24"/>
                <w:szCs w:val="24"/>
                <w:lang w:val="en-US" w:eastAsia="zh-CN" w:bidi="ar"/>
              </w:rPr>
              <w:t>自然村</w:t>
            </w:r>
          </w:p>
        </w:tc>
        <w:tc>
          <w:tcPr>
            <w:tcW w:w="497" w:type="pct"/>
            <w:shd w:val="clear" w:color="auto" w:fill="auto"/>
            <w:noWrap/>
            <w:vAlign w:val="center"/>
          </w:tcPr>
          <w:p w14:paraId="317284E9">
            <w:pPr>
              <w:keepNext w:val="0"/>
              <w:keepLines w:val="0"/>
              <w:widowControl/>
              <w:suppressLineNumbers w:val="0"/>
              <w:jc w:val="center"/>
              <w:textAlignment w:val="center"/>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980</w:t>
            </w:r>
          </w:p>
        </w:tc>
      </w:tr>
      <w:tr w14:paraId="70AFCA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8" w:type="pct"/>
            <w:shd w:val="clear" w:color="auto" w:fill="auto"/>
            <w:noWrap/>
            <w:vAlign w:val="center"/>
          </w:tcPr>
          <w:p w14:paraId="44F9E97A">
            <w:pPr>
              <w:keepNext w:val="0"/>
              <w:keepLines w:val="0"/>
              <w:widowControl/>
              <w:suppressLineNumbers w:val="0"/>
              <w:jc w:val="center"/>
              <w:textAlignment w:val="center"/>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5</w:t>
            </w:r>
          </w:p>
        </w:tc>
        <w:tc>
          <w:tcPr>
            <w:tcW w:w="1819" w:type="pct"/>
            <w:shd w:val="clear" w:color="auto" w:fill="auto"/>
            <w:noWrap/>
            <w:vAlign w:val="center"/>
          </w:tcPr>
          <w:p w14:paraId="0AD96F08">
            <w:pPr>
              <w:keepNext w:val="0"/>
              <w:keepLines w:val="0"/>
              <w:widowControl/>
              <w:suppressLineNumbers w:val="0"/>
              <w:jc w:val="left"/>
            </w:pPr>
            <w:r>
              <w:rPr>
                <w:rFonts w:ascii="宋体" w:hAnsi="宋体" w:eastAsia="宋体" w:cs="宋体"/>
                <w:kern w:val="0"/>
                <w:sz w:val="24"/>
                <w:szCs w:val="24"/>
                <w:lang w:val="en-US" w:eastAsia="zh-CN" w:bidi="ar"/>
              </w:rPr>
              <w:t>津南区农业机械技术学校</w:t>
            </w:r>
          </w:p>
        </w:tc>
        <w:tc>
          <w:tcPr>
            <w:tcW w:w="740" w:type="pct"/>
            <w:shd w:val="clear" w:color="auto" w:fill="auto"/>
            <w:noWrap/>
            <w:vAlign w:val="center"/>
          </w:tcPr>
          <w:p w14:paraId="31348BBE">
            <w:pPr>
              <w:keepNext w:val="0"/>
              <w:keepLines w:val="0"/>
              <w:widowControl/>
              <w:suppressLineNumbers w:val="0"/>
              <w:jc w:val="left"/>
            </w:pPr>
            <w:r>
              <w:rPr>
                <w:rFonts w:ascii="宋体" w:hAnsi="宋体" w:eastAsia="宋体" w:cs="宋体"/>
                <w:kern w:val="0"/>
                <w:sz w:val="24"/>
                <w:szCs w:val="24"/>
                <w:lang w:val="en-US" w:eastAsia="zh-CN" w:bidi="ar"/>
              </w:rPr>
              <w:t>西南</w:t>
            </w:r>
          </w:p>
        </w:tc>
        <w:tc>
          <w:tcPr>
            <w:tcW w:w="831" w:type="pct"/>
            <w:shd w:val="clear" w:color="auto" w:fill="auto"/>
            <w:noWrap/>
            <w:vAlign w:val="center"/>
          </w:tcPr>
          <w:p w14:paraId="0EE9B555">
            <w:pPr>
              <w:keepNext w:val="0"/>
              <w:keepLines w:val="0"/>
              <w:widowControl/>
              <w:suppressLineNumbers w:val="0"/>
              <w:jc w:val="left"/>
            </w:pPr>
            <w:r>
              <w:rPr>
                <w:rFonts w:ascii="宋体" w:hAnsi="宋体" w:eastAsia="宋体" w:cs="宋体"/>
                <w:kern w:val="0"/>
                <w:sz w:val="24"/>
                <w:szCs w:val="24"/>
                <w:lang w:val="en-US" w:eastAsia="zh-CN" w:bidi="ar"/>
              </w:rPr>
              <w:t>121</w:t>
            </w:r>
          </w:p>
        </w:tc>
        <w:tc>
          <w:tcPr>
            <w:tcW w:w="551" w:type="pct"/>
            <w:shd w:val="clear" w:color="auto" w:fill="auto"/>
            <w:noWrap/>
            <w:vAlign w:val="center"/>
          </w:tcPr>
          <w:p w14:paraId="10407372">
            <w:pPr>
              <w:keepNext w:val="0"/>
              <w:keepLines w:val="0"/>
              <w:widowControl/>
              <w:suppressLineNumbers w:val="0"/>
              <w:jc w:val="left"/>
            </w:pPr>
            <w:r>
              <w:rPr>
                <w:rFonts w:ascii="宋体" w:hAnsi="宋体" w:eastAsia="宋体" w:cs="宋体"/>
                <w:kern w:val="0"/>
                <w:sz w:val="24"/>
                <w:szCs w:val="24"/>
                <w:lang w:val="en-US" w:eastAsia="zh-CN" w:bidi="ar"/>
              </w:rPr>
              <w:t>学校</w:t>
            </w:r>
          </w:p>
        </w:tc>
        <w:tc>
          <w:tcPr>
            <w:tcW w:w="497" w:type="pct"/>
            <w:shd w:val="clear" w:color="auto" w:fill="auto"/>
            <w:noWrap/>
            <w:vAlign w:val="center"/>
          </w:tcPr>
          <w:p w14:paraId="654A9015">
            <w:pPr>
              <w:keepNext w:val="0"/>
              <w:keepLines w:val="0"/>
              <w:widowControl/>
              <w:suppressLineNumbers w:val="0"/>
              <w:jc w:val="center"/>
              <w:textAlignment w:val="center"/>
              <w:rPr>
                <w:rFonts w:hint="default"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890</w:t>
            </w:r>
          </w:p>
        </w:tc>
      </w:tr>
      <w:tr w14:paraId="503901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58" w:type="pct"/>
            <w:shd w:val="clear" w:color="auto" w:fill="auto"/>
            <w:noWrap/>
            <w:vAlign w:val="center"/>
          </w:tcPr>
          <w:p w14:paraId="14BCF1F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819" w:type="pct"/>
            <w:shd w:val="clear" w:color="auto" w:fill="auto"/>
            <w:noWrap/>
            <w:vAlign w:val="center"/>
          </w:tcPr>
          <w:p w14:paraId="0B6CE798">
            <w:pPr>
              <w:keepNext w:val="0"/>
              <w:keepLines w:val="0"/>
              <w:widowControl/>
              <w:suppressLineNumbers w:val="0"/>
              <w:jc w:val="left"/>
              <w:rPr>
                <w:rFonts w:hint="eastAsia" w:ascii="仿宋" w:hAnsi="仿宋" w:eastAsia="仿宋" w:cs="仿宋"/>
                <w:i w:val="0"/>
                <w:iCs w:val="0"/>
                <w:color w:val="000000"/>
                <w:kern w:val="0"/>
                <w:sz w:val="24"/>
                <w:szCs w:val="24"/>
                <w:u w:val="none"/>
                <w:lang w:val="en-US" w:eastAsia="zh-CN" w:bidi="ar"/>
              </w:rPr>
            </w:pPr>
            <w:r>
              <w:rPr>
                <w:rFonts w:ascii="宋体" w:hAnsi="宋体" w:eastAsia="宋体" w:cs="宋体"/>
                <w:kern w:val="0"/>
                <w:sz w:val="24"/>
                <w:szCs w:val="24"/>
                <w:lang w:val="en-US" w:eastAsia="zh-CN" w:bidi="ar"/>
              </w:rPr>
              <w:t>建新公寓</w:t>
            </w:r>
          </w:p>
        </w:tc>
        <w:tc>
          <w:tcPr>
            <w:tcW w:w="740" w:type="pct"/>
            <w:shd w:val="clear" w:color="auto" w:fill="auto"/>
            <w:noWrap/>
            <w:vAlign w:val="center"/>
          </w:tcPr>
          <w:p w14:paraId="36A40DFC">
            <w:pPr>
              <w:keepNext w:val="0"/>
              <w:keepLines w:val="0"/>
              <w:widowControl/>
              <w:suppressLineNumbers w:val="0"/>
              <w:jc w:val="left"/>
              <w:rPr>
                <w:rFonts w:hint="eastAsia" w:ascii="仿宋" w:hAnsi="仿宋" w:eastAsia="仿宋" w:cs="仿宋"/>
                <w:i w:val="0"/>
                <w:iCs w:val="0"/>
                <w:color w:val="000000"/>
                <w:kern w:val="0"/>
                <w:sz w:val="24"/>
                <w:szCs w:val="24"/>
                <w:u w:val="none"/>
                <w:lang w:val="en-US" w:eastAsia="zh-CN" w:bidi="ar"/>
              </w:rPr>
            </w:pPr>
            <w:r>
              <w:rPr>
                <w:rFonts w:ascii="宋体" w:hAnsi="宋体" w:eastAsia="宋体" w:cs="宋体"/>
                <w:kern w:val="0"/>
                <w:sz w:val="24"/>
                <w:szCs w:val="24"/>
                <w:lang w:val="en-US" w:eastAsia="zh-CN" w:bidi="ar"/>
              </w:rPr>
              <w:t>北</w:t>
            </w:r>
          </w:p>
        </w:tc>
        <w:tc>
          <w:tcPr>
            <w:tcW w:w="831" w:type="pct"/>
            <w:shd w:val="clear" w:color="auto" w:fill="auto"/>
            <w:noWrap/>
            <w:vAlign w:val="center"/>
          </w:tcPr>
          <w:p w14:paraId="4C8BF86C">
            <w:pPr>
              <w:keepNext w:val="0"/>
              <w:keepLines w:val="0"/>
              <w:widowControl/>
              <w:suppressLineNumbers w:val="0"/>
              <w:jc w:val="left"/>
              <w:rPr>
                <w:rFonts w:hint="eastAsia" w:ascii="仿宋" w:hAnsi="仿宋" w:eastAsia="仿宋" w:cs="仿宋"/>
                <w:i w:val="0"/>
                <w:iCs w:val="0"/>
                <w:color w:val="000000"/>
                <w:kern w:val="0"/>
                <w:sz w:val="24"/>
                <w:szCs w:val="24"/>
                <w:u w:val="none"/>
                <w:lang w:val="en-US" w:eastAsia="zh-CN" w:bidi="ar"/>
              </w:rPr>
            </w:pPr>
            <w:r>
              <w:rPr>
                <w:rFonts w:ascii="宋体" w:hAnsi="宋体" w:eastAsia="宋体" w:cs="宋体"/>
                <w:kern w:val="0"/>
                <w:sz w:val="24"/>
                <w:szCs w:val="24"/>
                <w:lang w:val="en-US" w:eastAsia="zh-CN" w:bidi="ar"/>
              </w:rPr>
              <w:t>427</w:t>
            </w:r>
          </w:p>
        </w:tc>
        <w:tc>
          <w:tcPr>
            <w:tcW w:w="551" w:type="pct"/>
            <w:shd w:val="clear" w:color="auto" w:fill="auto"/>
            <w:noWrap/>
            <w:vAlign w:val="center"/>
          </w:tcPr>
          <w:p w14:paraId="59F28863">
            <w:pPr>
              <w:keepNext w:val="0"/>
              <w:keepLines w:val="0"/>
              <w:widowControl/>
              <w:suppressLineNumbers w:val="0"/>
              <w:jc w:val="left"/>
              <w:rPr>
                <w:rFonts w:hint="eastAsia" w:ascii="仿宋" w:hAnsi="仿宋" w:eastAsia="仿宋" w:cs="仿宋"/>
                <w:i w:val="0"/>
                <w:iCs w:val="0"/>
                <w:color w:val="000000"/>
                <w:kern w:val="0"/>
                <w:sz w:val="24"/>
                <w:szCs w:val="24"/>
                <w:u w:val="none"/>
                <w:lang w:val="en-US" w:eastAsia="zh-CN" w:bidi="ar"/>
              </w:rPr>
            </w:pPr>
            <w:r>
              <w:rPr>
                <w:rFonts w:ascii="宋体" w:hAnsi="宋体" w:eastAsia="宋体" w:cs="宋体"/>
                <w:kern w:val="0"/>
                <w:sz w:val="24"/>
                <w:szCs w:val="24"/>
                <w:lang w:val="en-US" w:eastAsia="zh-CN" w:bidi="ar"/>
              </w:rPr>
              <w:t>居民区</w:t>
            </w:r>
          </w:p>
        </w:tc>
        <w:tc>
          <w:tcPr>
            <w:tcW w:w="497" w:type="pct"/>
            <w:shd w:val="clear" w:color="auto" w:fill="auto"/>
            <w:noWrap/>
            <w:vAlign w:val="center"/>
          </w:tcPr>
          <w:p w14:paraId="112E893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986</w:t>
            </w:r>
          </w:p>
        </w:tc>
      </w:tr>
      <w:tr w14:paraId="3DEC74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02" w:type="pct"/>
            <w:gridSpan w:val="5"/>
            <w:shd w:val="clear" w:color="auto" w:fill="auto"/>
            <w:noWrap/>
            <w:vAlign w:val="center"/>
          </w:tcPr>
          <w:p w14:paraId="1F2433B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合计</w:t>
            </w:r>
          </w:p>
        </w:tc>
        <w:tc>
          <w:tcPr>
            <w:tcW w:w="497" w:type="pct"/>
            <w:shd w:val="clear" w:color="auto" w:fill="auto"/>
            <w:noWrap/>
            <w:vAlign w:val="center"/>
          </w:tcPr>
          <w:p w14:paraId="5C8391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4548</w:t>
            </w:r>
          </w:p>
        </w:tc>
      </w:tr>
    </w:tbl>
    <w:p w14:paraId="1FAFCC2B">
      <w:pPr>
        <w:spacing w:line="300" w:lineRule="auto"/>
        <w:ind w:firstLine="1400" w:firstLineChars="500"/>
        <w:rPr>
          <w:rFonts w:eastAsia="仿宋"/>
          <w:sz w:val="28"/>
          <w:szCs w:val="28"/>
          <w:highlight w:val="yellow"/>
        </w:rPr>
      </w:pPr>
    </w:p>
    <w:p w14:paraId="2B950066">
      <w:pPr>
        <w:pStyle w:val="13"/>
        <w:rPr>
          <w:rFonts w:hint="eastAsia" w:eastAsia="仿宋"/>
          <w:lang w:eastAsia="zh-CN"/>
        </w:rPr>
      </w:pPr>
      <w:r>
        <w:rPr>
          <w:rFonts w:hint="eastAsia" w:eastAsia="仿宋"/>
          <w:lang w:eastAsia="zh-CN"/>
        </w:rPr>
        <w:drawing>
          <wp:inline distT="0" distB="0" distL="114300" distR="114300">
            <wp:extent cx="4732020" cy="3101340"/>
            <wp:effectExtent l="0" t="0" r="7620" b="7620"/>
            <wp:docPr id="1" name="图片 1" descr="173174452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1744523291"/>
                    <pic:cNvPicPr>
                      <a:picLocks noChangeAspect="1"/>
                    </pic:cNvPicPr>
                  </pic:nvPicPr>
                  <pic:blipFill>
                    <a:blip r:embed="rId14"/>
                    <a:stretch>
                      <a:fillRect/>
                    </a:stretch>
                  </pic:blipFill>
                  <pic:spPr>
                    <a:xfrm>
                      <a:off x="0" y="0"/>
                      <a:ext cx="4732020" cy="3101340"/>
                    </a:xfrm>
                    <a:prstGeom prst="rect">
                      <a:avLst/>
                    </a:prstGeom>
                  </pic:spPr>
                </pic:pic>
              </a:graphicData>
            </a:graphic>
          </wp:inline>
        </w:drawing>
      </w:r>
    </w:p>
    <w:p w14:paraId="0CCE1386">
      <w:pPr>
        <w:spacing w:line="360" w:lineRule="auto"/>
        <w:jc w:val="center"/>
        <w:rPr>
          <w:rFonts w:eastAsia="仿宋"/>
          <w:sz w:val="28"/>
          <w:szCs w:val="28"/>
        </w:rPr>
      </w:pPr>
      <w:r>
        <w:rPr>
          <w:rFonts w:hint="eastAsia" w:eastAsia="仿宋"/>
          <w:sz w:val="28"/>
          <w:szCs w:val="28"/>
        </w:rPr>
        <w:t>图3.</w:t>
      </w:r>
      <w:r>
        <w:rPr>
          <w:rFonts w:eastAsia="仿宋"/>
          <w:sz w:val="28"/>
          <w:szCs w:val="28"/>
        </w:rPr>
        <w:t>4</w:t>
      </w:r>
      <w:r>
        <w:rPr>
          <w:rFonts w:hint="eastAsia" w:eastAsia="仿宋"/>
          <w:sz w:val="28"/>
          <w:szCs w:val="28"/>
        </w:rPr>
        <w:t>-1半径500m范围内大气环境风险受体图</w:t>
      </w:r>
    </w:p>
    <w:p w14:paraId="6C77AAB0">
      <w:pPr>
        <w:pStyle w:val="13"/>
        <w:spacing w:line="360" w:lineRule="auto"/>
        <w:rPr>
          <w:highlight w:val="yellow"/>
        </w:rPr>
      </w:pPr>
      <w:r>
        <w:t>表2.3-2半径5km范围内环境风险受体情况</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86"/>
        <w:gridCol w:w="3681"/>
        <w:gridCol w:w="1360"/>
        <w:gridCol w:w="1173"/>
        <w:gridCol w:w="1107"/>
        <w:gridCol w:w="1077"/>
      </w:tblGrid>
      <w:tr w14:paraId="7CE0EB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F0EBCBD">
            <w:pPr>
              <w:keepNext w:val="0"/>
              <w:keepLines w:val="0"/>
              <w:widowControl/>
              <w:suppressLineNumbers w:val="0"/>
              <w:jc w:val="center"/>
              <w:textAlignment w:val="center"/>
              <w:rPr>
                <w:rFonts w:hint="default"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序号</w:t>
            </w:r>
          </w:p>
        </w:tc>
        <w:tc>
          <w:tcPr>
            <w:tcW w:w="1982" w:type="pct"/>
            <w:shd w:val="clear" w:color="auto" w:fill="auto"/>
            <w:noWrap/>
            <w:vAlign w:val="center"/>
          </w:tcPr>
          <w:p w14:paraId="536B81C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名称</w:t>
            </w:r>
          </w:p>
        </w:tc>
        <w:tc>
          <w:tcPr>
            <w:tcW w:w="732" w:type="pct"/>
            <w:shd w:val="clear" w:color="auto" w:fill="auto"/>
            <w:noWrap/>
            <w:vAlign w:val="center"/>
          </w:tcPr>
          <w:p w14:paraId="5E5F082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相对方位</w:t>
            </w:r>
          </w:p>
        </w:tc>
        <w:tc>
          <w:tcPr>
            <w:tcW w:w="631" w:type="pct"/>
            <w:shd w:val="clear" w:color="auto" w:fill="auto"/>
            <w:noWrap/>
            <w:vAlign w:val="center"/>
          </w:tcPr>
          <w:p w14:paraId="7EC7F3D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距离（米）</w:t>
            </w:r>
          </w:p>
        </w:tc>
        <w:tc>
          <w:tcPr>
            <w:tcW w:w="596" w:type="pct"/>
            <w:shd w:val="clear" w:color="auto" w:fill="auto"/>
            <w:noWrap/>
            <w:vAlign w:val="center"/>
          </w:tcPr>
          <w:p w14:paraId="57E16F3E">
            <w:pPr>
              <w:keepNext w:val="0"/>
              <w:keepLines w:val="0"/>
              <w:widowControl/>
              <w:suppressLineNumbers w:val="0"/>
              <w:jc w:val="center"/>
              <w:textAlignment w:val="center"/>
              <w:rPr>
                <w:rFonts w:hint="eastAsia" w:ascii="仿宋" w:hAnsi="仿宋" w:eastAsia="仿宋" w:cs="宋体"/>
                <w:color w:val="000000"/>
                <w:kern w:val="0"/>
                <w:sz w:val="24"/>
                <w:szCs w:val="24"/>
                <w:lang w:val="en-US" w:eastAsia="zh-CN"/>
              </w:rPr>
            </w:pPr>
            <w:r>
              <w:rPr>
                <w:rFonts w:hint="eastAsia" w:ascii="仿宋" w:hAnsi="仿宋" w:eastAsia="仿宋" w:cs="宋体"/>
                <w:color w:val="000000"/>
                <w:kern w:val="0"/>
                <w:sz w:val="24"/>
                <w:szCs w:val="24"/>
                <w:lang w:val="en-US" w:eastAsia="zh-CN"/>
              </w:rPr>
              <w:t>性质</w:t>
            </w:r>
          </w:p>
        </w:tc>
        <w:tc>
          <w:tcPr>
            <w:tcW w:w="580" w:type="pct"/>
            <w:shd w:val="clear" w:color="auto" w:fill="auto"/>
            <w:vAlign w:val="center"/>
          </w:tcPr>
          <w:p w14:paraId="7E7580F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人数</w:t>
            </w:r>
          </w:p>
        </w:tc>
      </w:tr>
      <w:tr w14:paraId="489197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BC6E00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w:t>
            </w:r>
          </w:p>
        </w:tc>
        <w:tc>
          <w:tcPr>
            <w:tcW w:w="1982" w:type="pct"/>
            <w:shd w:val="clear" w:color="auto" w:fill="auto"/>
            <w:vAlign w:val="center"/>
          </w:tcPr>
          <w:p w14:paraId="778E122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睿思幼儿园</w:t>
            </w:r>
          </w:p>
        </w:tc>
        <w:tc>
          <w:tcPr>
            <w:tcW w:w="732" w:type="pct"/>
            <w:shd w:val="clear" w:color="auto" w:fill="auto"/>
            <w:vAlign w:val="center"/>
          </w:tcPr>
          <w:p w14:paraId="205C8F8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19FA409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3654</w:t>
            </w:r>
          </w:p>
        </w:tc>
        <w:tc>
          <w:tcPr>
            <w:tcW w:w="596" w:type="pct"/>
            <w:shd w:val="clear" w:color="auto" w:fill="auto"/>
            <w:noWrap/>
            <w:vAlign w:val="center"/>
          </w:tcPr>
          <w:p w14:paraId="308C12C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8B9522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201</w:t>
            </w:r>
          </w:p>
        </w:tc>
      </w:tr>
      <w:tr w14:paraId="37BC38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473DAA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w:t>
            </w:r>
          </w:p>
        </w:tc>
        <w:tc>
          <w:tcPr>
            <w:tcW w:w="1982" w:type="pct"/>
            <w:shd w:val="clear" w:color="auto" w:fill="auto"/>
            <w:vAlign w:val="center"/>
          </w:tcPr>
          <w:p w14:paraId="3B99061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南华中学</w:t>
            </w:r>
          </w:p>
        </w:tc>
        <w:tc>
          <w:tcPr>
            <w:tcW w:w="732" w:type="pct"/>
            <w:shd w:val="clear" w:color="auto" w:fill="auto"/>
            <w:vAlign w:val="center"/>
          </w:tcPr>
          <w:p w14:paraId="788BD27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2715C97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4038</w:t>
            </w:r>
          </w:p>
        </w:tc>
        <w:tc>
          <w:tcPr>
            <w:tcW w:w="596" w:type="pct"/>
            <w:shd w:val="clear" w:color="auto" w:fill="auto"/>
            <w:noWrap/>
            <w:vAlign w:val="center"/>
          </w:tcPr>
          <w:p w14:paraId="09DFAB5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64BCBD6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2543</w:t>
            </w:r>
          </w:p>
        </w:tc>
      </w:tr>
      <w:tr w14:paraId="4AFD62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AC4AD1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w:t>
            </w:r>
          </w:p>
        </w:tc>
        <w:tc>
          <w:tcPr>
            <w:tcW w:w="1982" w:type="pct"/>
            <w:shd w:val="clear" w:color="auto" w:fill="auto"/>
            <w:vAlign w:val="center"/>
          </w:tcPr>
          <w:p w14:paraId="7630CD1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小金星国际幼儿园</w:t>
            </w:r>
          </w:p>
        </w:tc>
        <w:tc>
          <w:tcPr>
            <w:tcW w:w="732" w:type="pct"/>
            <w:shd w:val="clear" w:color="auto" w:fill="auto"/>
            <w:vAlign w:val="center"/>
          </w:tcPr>
          <w:p w14:paraId="493858E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1B83BD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4173</w:t>
            </w:r>
          </w:p>
        </w:tc>
        <w:tc>
          <w:tcPr>
            <w:tcW w:w="596" w:type="pct"/>
            <w:shd w:val="clear" w:color="auto" w:fill="auto"/>
            <w:noWrap/>
            <w:vAlign w:val="center"/>
          </w:tcPr>
          <w:p w14:paraId="63DD56D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3D5A445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198</w:t>
            </w:r>
          </w:p>
        </w:tc>
      </w:tr>
      <w:tr w14:paraId="74C60A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5C1433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w:t>
            </w:r>
          </w:p>
        </w:tc>
        <w:tc>
          <w:tcPr>
            <w:tcW w:w="1982" w:type="pct"/>
            <w:shd w:val="clear" w:color="auto" w:fill="auto"/>
            <w:vAlign w:val="center"/>
          </w:tcPr>
          <w:p w14:paraId="123CD0C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天津市津南区老年大学(南华路)</w:t>
            </w:r>
          </w:p>
        </w:tc>
        <w:tc>
          <w:tcPr>
            <w:tcW w:w="732" w:type="pct"/>
            <w:shd w:val="clear" w:color="auto" w:fill="auto"/>
            <w:vAlign w:val="center"/>
          </w:tcPr>
          <w:p w14:paraId="4221371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0F4AF89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4969</w:t>
            </w:r>
          </w:p>
        </w:tc>
        <w:tc>
          <w:tcPr>
            <w:tcW w:w="596" w:type="pct"/>
            <w:shd w:val="clear" w:color="auto" w:fill="auto"/>
            <w:noWrap/>
            <w:vAlign w:val="center"/>
          </w:tcPr>
          <w:p w14:paraId="4A2FC28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54575D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854</w:t>
            </w:r>
          </w:p>
        </w:tc>
      </w:tr>
      <w:tr w14:paraId="10CD9A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C9C0A7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w:t>
            </w:r>
          </w:p>
        </w:tc>
        <w:tc>
          <w:tcPr>
            <w:tcW w:w="1982" w:type="pct"/>
            <w:shd w:val="clear" w:color="auto" w:fill="auto"/>
            <w:vAlign w:val="center"/>
          </w:tcPr>
          <w:p w14:paraId="39496D9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晓博士幼儿园</w:t>
            </w:r>
          </w:p>
        </w:tc>
        <w:tc>
          <w:tcPr>
            <w:tcW w:w="732" w:type="pct"/>
            <w:shd w:val="clear" w:color="auto" w:fill="auto"/>
            <w:vAlign w:val="center"/>
          </w:tcPr>
          <w:p w14:paraId="50FDF9E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A6991D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4958</w:t>
            </w:r>
          </w:p>
        </w:tc>
        <w:tc>
          <w:tcPr>
            <w:tcW w:w="596" w:type="pct"/>
            <w:shd w:val="clear" w:color="auto" w:fill="auto"/>
            <w:noWrap/>
            <w:vAlign w:val="center"/>
          </w:tcPr>
          <w:p w14:paraId="7F0C233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FB0E85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188</w:t>
            </w:r>
          </w:p>
        </w:tc>
      </w:tr>
      <w:tr w14:paraId="02777C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A9D00F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w:t>
            </w:r>
          </w:p>
        </w:tc>
        <w:tc>
          <w:tcPr>
            <w:tcW w:w="1982" w:type="pct"/>
            <w:shd w:val="clear" w:color="auto" w:fill="auto"/>
            <w:vAlign w:val="center"/>
          </w:tcPr>
          <w:p w14:paraId="343B5F7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北闸口第三小学</w:t>
            </w:r>
          </w:p>
        </w:tc>
        <w:tc>
          <w:tcPr>
            <w:tcW w:w="732" w:type="pct"/>
            <w:shd w:val="clear" w:color="auto" w:fill="auto"/>
            <w:vAlign w:val="center"/>
          </w:tcPr>
          <w:p w14:paraId="64CB5B7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68808CE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4036</w:t>
            </w:r>
          </w:p>
        </w:tc>
        <w:tc>
          <w:tcPr>
            <w:tcW w:w="596" w:type="pct"/>
            <w:shd w:val="clear" w:color="auto" w:fill="auto"/>
            <w:noWrap/>
            <w:vAlign w:val="center"/>
          </w:tcPr>
          <w:p w14:paraId="26AADF0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43BBAB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985</w:t>
            </w:r>
          </w:p>
        </w:tc>
      </w:tr>
      <w:tr w14:paraId="25DA88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D00D75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w:t>
            </w:r>
          </w:p>
        </w:tc>
        <w:tc>
          <w:tcPr>
            <w:tcW w:w="1982" w:type="pct"/>
            <w:shd w:val="clear" w:color="auto" w:fill="auto"/>
            <w:vAlign w:val="center"/>
          </w:tcPr>
          <w:p w14:paraId="6451B10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天津市小站实验中学</w:t>
            </w:r>
          </w:p>
        </w:tc>
        <w:tc>
          <w:tcPr>
            <w:tcW w:w="732" w:type="pct"/>
            <w:shd w:val="clear" w:color="auto" w:fill="auto"/>
            <w:vAlign w:val="center"/>
          </w:tcPr>
          <w:p w14:paraId="2D01E9A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3D6EADA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2138</w:t>
            </w:r>
          </w:p>
        </w:tc>
        <w:tc>
          <w:tcPr>
            <w:tcW w:w="596" w:type="pct"/>
            <w:shd w:val="clear" w:color="auto" w:fill="auto"/>
            <w:noWrap/>
            <w:vAlign w:val="center"/>
          </w:tcPr>
          <w:p w14:paraId="5A079EC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716409D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2543</w:t>
            </w:r>
          </w:p>
        </w:tc>
      </w:tr>
      <w:tr w14:paraId="60277B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BB25E1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w:t>
            </w:r>
          </w:p>
        </w:tc>
        <w:tc>
          <w:tcPr>
            <w:tcW w:w="1982" w:type="pct"/>
            <w:shd w:val="clear" w:color="auto" w:fill="auto"/>
            <w:vAlign w:val="center"/>
          </w:tcPr>
          <w:p w14:paraId="14D0E49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天津市小站第一中学</w:t>
            </w:r>
          </w:p>
        </w:tc>
        <w:tc>
          <w:tcPr>
            <w:tcW w:w="732" w:type="pct"/>
            <w:shd w:val="clear" w:color="auto" w:fill="auto"/>
            <w:vAlign w:val="center"/>
          </w:tcPr>
          <w:p w14:paraId="2CDF145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51CBF2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4080</w:t>
            </w:r>
          </w:p>
        </w:tc>
        <w:tc>
          <w:tcPr>
            <w:tcW w:w="596" w:type="pct"/>
            <w:shd w:val="clear" w:color="auto" w:fill="auto"/>
            <w:noWrap/>
            <w:vAlign w:val="center"/>
          </w:tcPr>
          <w:p w14:paraId="3ADEEC3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15184BF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2410</w:t>
            </w:r>
          </w:p>
        </w:tc>
      </w:tr>
      <w:tr w14:paraId="1BC225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5B6FAF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w:t>
            </w:r>
          </w:p>
        </w:tc>
        <w:tc>
          <w:tcPr>
            <w:tcW w:w="1982" w:type="pct"/>
            <w:shd w:val="clear" w:color="auto" w:fill="auto"/>
            <w:vAlign w:val="center"/>
          </w:tcPr>
          <w:p w14:paraId="37C76F1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博文幼儿园</w:t>
            </w:r>
          </w:p>
        </w:tc>
        <w:tc>
          <w:tcPr>
            <w:tcW w:w="732" w:type="pct"/>
            <w:shd w:val="clear" w:color="auto" w:fill="auto"/>
            <w:vAlign w:val="center"/>
          </w:tcPr>
          <w:p w14:paraId="78FD7B2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2F6A710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3132</w:t>
            </w:r>
          </w:p>
        </w:tc>
        <w:tc>
          <w:tcPr>
            <w:tcW w:w="596" w:type="pct"/>
            <w:shd w:val="clear" w:color="auto" w:fill="auto"/>
            <w:noWrap/>
            <w:vAlign w:val="center"/>
          </w:tcPr>
          <w:p w14:paraId="217F7FC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335695E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245</w:t>
            </w:r>
          </w:p>
        </w:tc>
      </w:tr>
      <w:tr w14:paraId="2DD65C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235A88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w:t>
            </w:r>
          </w:p>
        </w:tc>
        <w:tc>
          <w:tcPr>
            <w:tcW w:w="1982" w:type="pct"/>
            <w:shd w:val="clear" w:color="auto" w:fill="auto"/>
            <w:vAlign w:val="center"/>
          </w:tcPr>
          <w:p w14:paraId="5F8E013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津南区实验小学</w:t>
            </w:r>
          </w:p>
        </w:tc>
        <w:tc>
          <w:tcPr>
            <w:tcW w:w="732" w:type="pct"/>
            <w:shd w:val="clear" w:color="auto" w:fill="auto"/>
            <w:vAlign w:val="center"/>
          </w:tcPr>
          <w:p w14:paraId="65D1056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EC9254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4737</w:t>
            </w:r>
          </w:p>
        </w:tc>
        <w:tc>
          <w:tcPr>
            <w:tcW w:w="596" w:type="pct"/>
            <w:shd w:val="clear" w:color="auto" w:fill="auto"/>
            <w:noWrap/>
            <w:vAlign w:val="center"/>
          </w:tcPr>
          <w:p w14:paraId="25A7B4A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DC9B2A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853</w:t>
            </w:r>
          </w:p>
        </w:tc>
      </w:tr>
      <w:tr w14:paraId="16FE3B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3AEF7D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w:t>
            </w:r>
          </w:p>
        </w:tc>
        <w:tc>
          <w:tcPr>
            <w:tcW w:w="1982" w:type="pct"/>
            <w:shd w:val="clear" w:color="auto" w:fill="auto"/>
            <w:vAlign w:val="center"/>
          </w:tcPr>
          <w:p w14:paraId="3A66275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小博士双语幼儿园</w:t>
            </w:r>
          </w:p>
        </w:tc>
        <w:tc>
          <w:tcPr>
            <w:tcW w:w="732" w:type="pct"/>
            <w:shd w:val="clear" w:color="auto" w:fill="auto"/>
            <w:vAlign w:val="center"/>
          </w:tcPr>
          <w:p w14:paraId="7C008F6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3C89FE8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3667</w:t>
            </w:r>
          </w:p>
        </w:tc>
        <w:tc>
          <w:tcPr>
            <w:tcW w:w="596" w:type="pct"/>
            <w:shd w:val="clear" w:color="auto" w:fill="auto"/>
            <w:noWrap/>
            <w:vAlign w:val="center"/>
          </w:tcPr>
          <w:p w14:paraId="14F5EC4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3976A0A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242</w:t>
            </w:r>
          </w:p>
        </w:tc>
      </w:tr>
      <w:tr w14:paraId="544DF7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24526B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w:t>
            </w:r>
          </w:p>
        </w:tc>
        <w:tc>
          <w:tcPr>
            <w:tcW w:w="1982" w:type="pct"/>
            <w:shd w:val="clear" w:color="auto" w:fill="auto"/>
            <w:vAlign w:val="center"/>
          </w:tcPr>
          <w:p w14:paraId="21EBB29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天华实验中学</w:t>
            </w:r>
          </w:p>
        </w:tc>
        <w:tc>
          <w:tcPr>
            <w:tcW w:w="732" w:type="pct"/>
            <w:shd w:val="clear" w:color="auto" w:fill="auto"/>
            <w:vAlign w:val="center"/>
          </w:tcPr>
          <w:p w14:paraId="6A2E4E5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0D7FA45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4870</w:t>
            </w:r>
          </w:p>
        </w:tc>
        <w:tc>
          <w:tcPr>
            <w:tcW w:w="596" w:type="pct"/>
            <w:shd w:val="clear" w:color="auto" w:fill="auto"/>
            <w:noWrap/>
            <w:vAlign w:val="center"/>
          </w:tcPr>
          <w:p w14:paraId="74D05D7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789DAEF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3520</w:t>
            </w:r>
          </w:p>
        </w:tc>
      </w:tr>
      <w:tr w14:paraId="43709B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E18CA6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w:t>
            </w:r>
          </w:p>
        </w:tc>
        <w:tc>
          <w:tcPr>
            <w:tcW w:w="1982" w:type="pct"/>
            <w:shd w:val="clear" w:color="auto" w:fill="auto"/>
            <w:vAlign w:val="center"/>
          </w:tcPr>
          <w:p w14:paraId="281A0D7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天津市津南区第十幼儿园</w:t>
            </w:r>
          </w:p>
        </w:tc>
        <w:tc>
          <w:tcPr>
            <w:tcW w:w="732" w:type="pct"/>
            <w:shd w:val="clear" w:color="auto" w:fill="auto"/>
            <w:vAlign w:val="center"/>
          </w:tcPr>
          <w:p w14:paraId="0A844B1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042045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1221</w:t>
            </w:r>
          </w:p>
        </w:tc>
        <w:tc>
          <w:tcPr>
            <w:tcW w:w="596" w:type="pct"/>
            <w:shd w:val="clear" w:color="auto" w:fill="auto"/>
            <w:noWrap/>
            <w:vAlign w:val="center"/>
          </w:tcPr>
          <w:p w14:paraId="4FADDDB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5C1F9A5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250</w:t>
            </w:r>
          </w:p>
        </w:tc>
      </w:tr>
      <w:tr w14:paraId="3DAB0B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2086C2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w:t>
            </w:r>
          </w:p>
        </w:tc>
        <w:tc>
          <w:tcPr>
            <w:tcW w:w="1982" w:type="pct"/>
            <w:shd w:val="clear" w:color="auto" w:fill="auto"/>
            <w:vAlign w:val="center"/>
          </w:tcPr>
          <w:p w14:paraId="282B260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京华合木幼儿园(津南园)</w:t>
            </w:r>
          </w:p>
        </w:tc>
        <w:tc>
          <w:tcPr>
            <w:tcW w:w="732" w:type="pct"/>
            <w:shd w:val="clear" w:color="auto" w:fill="auto"/>
            <w:vAlign w:val="center"/>
          </w:tcPr>
          <w:p w14:paraId="1A5DF9E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248472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4402</w:t>
            </w:r>
          </w:p>
        </w:tc>
        <w:tc>
          <w:tcPr>
            <w:tcW w:w="596" w:type="pct"/>
            <w:shd w:val="clear" w:color="auto" w:fill="auto"/>
            <w:noWrap/>
            <w:vAlign w:val="center"/>
          </w:tcPr>
          <w:p w14:paraId="49DEFDF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AC188D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185</w:t>
            </w:r>
          </w:p>
        </w:tc>
      </w:tr>
      <w:tr w14:paraId="7D322C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5DC699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w:t>
            </w:r>
          </w:p>
        </w:tc>
        <w:tc>
          <w:tcPr>
            <w:tcW w:w="1982" w:type="pct"/>
            <w:shd w:val="clear" w:color="auto" w:fill="auto"/>
            <w:vAlign w:val="center"/>
          </w:tcPr>
          <w:p w14:paraId="53CC055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小站镇第一小学</w:t>
            </w:r>
          </w:p>
        </w:tc>
        <w:tc>
          <w:tcPr>
            <w:tcW w:w="732" w:type="pct"/>
            <w:shd w:val="clear" w:color="auto" w:fill="auto"/>
            <w:vAlign w:val="center"/>
          </w:tcPr>
          <w:p w14:paraId="54F6F1D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0A8A74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3659</w:t>
            </w:r>
          </w:p>
        </w:tc>
        <w:tc>
          <w:tcPr>
            <w:tcW w:w="596" w:type="pct"/>
            <w:shd w:val="clear" w:color="auto" w:fill="auto"/>
            <w:noWrap/>
            <w:vAlign w:val="center"/>
          </w:tcPr>
          <w:p w14:paraId="01258D3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18A7ECB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854</w:t>
            </w:r>
          </w:p>
        </w:tc>
      </w:tr>
      <w:tr w14:paraId="1EC422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8EEDDB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16</w:t>
            </w:r>
          </w:p>
        </w:tc>
        <w:tc>
          <w:tcPr>
            <w:tcW w:w="1982" w:type="pct"/>
            <w:shd w:val="clear" w:color="auto" w:fill="auto"/>
            <w:vAlign w:val="center"/>
          </w:tcPr>
          <w:p w14:paraId="4EBD11D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培新幼儿园</w:t>
            </w:r>
          </w:p>
        </w:tc>
        <w:tc>
          <w:tcPr>
            <w:tcW w:w="732" w:type="pct"/>
            <w:shd w:val="clear" w:color="auto" w:fill="auto"/>
            <w:vAlign w:val="center"/>
          </w:tcPr>
          <w:p w14:paraId="46626D2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49032BC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4873</w:t>
            </w:r>
          </w:p>
        </w:tc>
        <w:tc>
          <w:tcPr>
            <w:tcW w:w="596" w:type="pct"/>
            <w:shd w:val="clear" w:color="auto" w:fill="auto"/>
            <w:noWrap/>
            <w:vAlign w:val="center"/>
          </w:tcPr>
          <w:p w14:paraId="19B3D96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3A8D37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185</w:t>
            </w:r>
          </w:p>
        </w:tc>
      </w:tr>
      <w:tr w14:paraId="54B4DE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57D345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17</w:t>
            </w:r>
          </w:p>
        </w:tc>
        <w:tc>
          <w:tcPr>
            <w:tcW w:w="1982" w:type="pct"/>
            <w:shd w:val="clear" w:color="auto" w:fill="auto"/>
            <w:vAlign w:val="center"/>
          </w:tcPr>
          <w:p w14:paraId="0F4CED2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天津市津南区国栋馨家园幼儿园</w:t>
            </w:r>
          </w:p>
        </w:tc>
        <w:tc>
          <w:tcPr>
            <w:tcW w:w="732" w:type="pct"/>
            <w:shd w:val="clear" w:color="auto" w:fill="auto"/>
            <w:vAlign w:val="center"/>
          </w:tcPr>
          <w:p w14:paraId="1533CAD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EF863E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773</w:t>
            </w:r>
          </w:p>
        </w:tc>
        <w:tc>
          <w:tcPr>
            <w:tcW w:w="596" w:type="pct"/>
            <w:shd w:val="clear" w:color="auto" w:fill="auto"/>
            <w:noWrap/>
            <w:vAlign w:val="center"/>
          </w:tcPr>
          <w:p w14:paraId="1A1C922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552056F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254</w:t>
            </w:r>
          </w:p>
        </w:tc>
      </w:tr>
      <w:tr w14:paraId="2A1057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9DA0A5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18</w:t>
            </w:r>
          </w:p>
        </w:tc>
        <w:tc>
          <w:tcPr>
            <w:tcW w:w="1982" w:type="pct"/>
            <w:shd w:val="clear" w:color="auto" w:fill="auto"/>
            <w:vAlign w:val="center"/>
          </w:tcPr>
          <w:p w14:paraId="7CCB5AF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郎朗钢琴幼儿园</w:t>
            </w:r>
          </w:p>
        </w:tc>
        <w:tc>
          <w:tcPr>
            <w:tcW w:w="732" w:type="pct"/>
            <w:shd w:val="clear" w:color="auto" w:fill="auto"/>
            <w:vAlign w:val="center"/>
          </w:tcPr>
          <w:p w14:paraId="206D61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F3EF57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4543</w:t>
            </w:r>
          </w:p>
        </w:tc>
        <w:tc>
          <w:tcPr>
            <w:tcW w:w="596" w:type="pct"/>
            <w:shd w:val="clear" w:color="auto" w:fill="auto"/>
            <w:noWrap/>
            <w:vAlign w:val="center"/>
          </w:tcPr>
          <w:p w14:paraId="4D5B23B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3C76867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189</w:t>
            </w:r>
          </w:p>
        </w:tc>
      </w:tr>
      <w:tr w14:paraId="2990F7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004F02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19</w:t>
            </w:r>
          </w:p>
        </w:tc>
        <w:tc>
          <w:tcPr>
            <w:tcW w:w="1982" w:type="pct"/>
            <w:shd w:val="clear" w:color="auto" w:fill="auto"/>
            <w:vAlign w:val="center"/>
          </w:tcPr>
          <w:p w14:paraId="687E914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小站第六小学</w:t>
            </w:r>
          </w:p>
        </w:tc>
        <w:tc>
          <w:tcPr>
            <w:tcW w:w="732" w:type="pct"/>
            <w:shd w:val="clear" w:color="auto" w:fill="auto"/>
            <w:vAlign w:val="center"/>
          </w:tcPr>
          <w:p w14:paraId="5A97A9E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75DF8B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2266</w:t>
            </w:r>
          </w:p>
        </w:tc>
        <w:tc>
          <w:tcPr>
            <w:tcW w:w="596" w:type="pct"/>
            <w:shd w:val="clear" w:color="auto" w:fill="auto"/>
            <w:noWrap/>
            <w:vAlign w:val="center"/>
          </w:tcPr>
          <w:p w14:paraId="3B1AFFE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15D864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854</w:t>
            </w:r>
          </w:p>
        </w:tc>
      </w:tr>
      <w:tr w14:paraId="59AFAB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96163B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20</w:t>
            </w:r>
          </w:p>
        </w:tc>
        <w:tc>
          <w:tcPr>
            <w:tcW w:w="1982" w:type="pct"/>
            <w:shd w:val="clear" w:color="auto" w:fill="auto"/>
            <w:vAlign w:val="center"/>
          </w:tcPr>
          <w:p w14:paraId="683B48B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真棒幼儿识字北闸口校区</w:t>
            </w:r>
          </w:p>
        </w:tc>
        <w:tc>
          <w:tcPr>
            <w:tcW w:w="732" w:type="pct"/>
            <w:shd w:val="clear" w:color="auto" w:fill="auto"/>
            <w:vAlign w:val="center"/>
          </w:tcPr>
          <w:p w14:paraId="456130C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3C9A1BA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952</w:t>
            </w:r>
          </w:p>
        </w:tc>
        <w:tc>
          <w:tcPr>
            <w:tcW w:w="596" w:type="pct"/>
            <w:shd w:val="clear" w:color="auto" w:fill="auto"/>
            <w:noWrap/>
            <w:vAlign w:val="center"/>
          </w:tcPr>
          <w:p w14:paraId="7F231D0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11D3CB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254</w:t>
            </w:r>
          </w:p>
        </w:tc>
      </w:tr>
      <w:tr w14:paraId="4CC5AB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35D9C9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21</w:t>
            </w:r>
          </w:p>
        </w:tc>
        <w:tc>
          <w:tcPr>
            <w:tcW w:w="1982" w:type="pct"/>
            <w:shd w:val="clear" w:color="auto" w:fill="auto"/>
            <w:vAlign w:val="center"/>
          </w:tcPr>
          <w:p w14:paraId="794DA4C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小站实验小学</w:t>
            </w:r>
          </w:p>
        </w:tc>
        <w:tc>
          <w:tcPr>
            <w:tcW w:w="732" w:type="pct"/>
            <w:shd w:val="clear" w:color="auto" w:fill="auto"/>
            <w:vAlign w:val="center"/>
          </w:tcPr>
          <w:p w14:paraId="32B812A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5AB17EB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3754</w:t>
            </w:r>
          </w:p>
        </w:tc>
        <w:tc>
          <w:tcPr>
            <w:tcW w:w="596" w:type="pct"/>
            <w:shd w:val="clear" w:color="auto" w:fill="auto"/>
            <w:noWrap/>
            <w:vAlign w:val="center"/>
          </w:tcPr>
          <w:p w14:paraId="6656323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13D0CFE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765</w:t>
            </w:r>
          </w:p>
        </w:tc>
      </w:tr>
      <w:tr w14:paraId="7928C0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6528AF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22</w:t>
            </w:r>
          </w:p>
        </w:tc>
        <w:tc>
          <w:tcPr>
            <w:tcW w:w="1982" w:type="pct"/>
            <w:shd w:val="clear" w:color="auto" w:fill="auto"/>
            <w:vAlign w:val="center"/>
          </w:tcPr>
          <w:p w14:paraId="37A9607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小站第三小学</w:t>
            </w:r>
          </w:p>
        </w:tc>
        <w:tc>
          <w:tcPr>
            <w:tcW w:w="732" w:type="pct"/>
            <w:shd w:val="clear" w:color="auto" w:fill="auto"/>
            <w:vAlign w:val="center"/>
          </w:tcPr>
          <w:p w14:paraId="77E7C84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11FADAA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4287</w:t>
            </w:r>
          </w:p>
        </w:tc>
        <w:tc>
          <w:tcPr>
            <w:tcW w:w="596" w:type="pct"/>
            <w:shd w:val="clear" w:color="auto" w:fill="auto"/>
            <w:noWrap/>
            <w:vAlign w:val="center"/>
          </w:tcPr>
          <w:p w14:paraId="5FA22B2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6B5D664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755</w:t>
            </w:r>
          </w:p>
        </w:tc>
      </w:tr>
      <w:tr w14:paraId="0AFFD4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B70B61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23</w:t>
            </w:r>
          </w:p>
        </w:tc>
        <w:tc>
          <w:tcPr>
            <w:tcW w:w="1982" w:type="pct"/>
            <w:shd w:val="clear" w:color="auto" w:fill="auto"/>
            <w:vAlign w:val="center"/>
          </w:tcPr>
          <w:p w14:paraId="1E05B55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咸水沽第二中学</w:t>
            </w:r>
          </w:p>
        </w:tc>
        <w:tc>
          <w:tcPr>
            <w:tcW w:w="732" w:type="pct"/>
            <w:shd w:val="clear" w:color="auto" w:fill="auto"/>
            <w:vAlign w:val="center"/>
          </w:tcPr>
          <w:p w14:paraId="5C09CA0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E98541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4985</w:t>
            </w:r>
          </w:p>
        </w:tc>
        <w:tc>
          <w:tcPr>
            <w:tcW w:w="596" w:type="pct"/>
            <w:shd w:val="clear" w:color="auto" w:fill="auto"/>
            <w:noWrap/>
            <w:vAlign w:val="center"/>
          </w:tcPr>
          <w:p w14:paraId="34DE151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46DC42E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1985</w:t>
            </w:r>
          </w:p>
        </w:tc>
      </w:tr>
      <w:tr w14:paraId="7204E9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396E60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24</w:t>
            </w:r>
          </w:p>
        </w:tc>
        <w:tc>
          <w:tcPr>
            <w:tcW w:w="1982" w:type="pct"/>
            <w:shd w:val="clear" w:color="auto" w:fill="auto"/>
            <w:vAlign w:val="center"/>
          </w:tcPr>
          <w:p w14:paraId="1F04558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迎新幼儿园</w:t>
            </w:r>
          </w:p>
        </w:tc>
        <w:tc>
          <w:tcPr>
            <w:tcW w:w="732" w:type="pct"/>
            <w:shd w:val="clear" w:color="auto" w:fill="auto"/>
            <w:vAlign w:val="center"/>
          </w:tcPr>
          <w:p w14:paraId="045280A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6C1E414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4876</w:t>
            </w:r>
          </w:p>
        </w:tc>
        <w:tc>
          <w:tcPr>
            <w:tcW w:w="596" w:type="pct"/>
            <w:shd w:val="clear" w:color="auto" w:fill="auto"/>
            <w:noWrap/>
            <w:vAlign w:val="center"/>
          </w:tcPr>
          <w:p w14:paraId="5FBA82D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1139D09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243</w:t>
            </w:r>
          </w:p>
        </w:tc>
      </w:tr>
      <w:tr w14:paraId="529C13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17CFFD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25</w:t>
            </w:r>
          </w:p>
        </w:tc>
        <w:tc>
          <w:tcPr>
            <w:tcW w:w="1982" w:type="pct"/>
            <w:shd w:val="clear" w:color="auto" w:fill="auto"/>
            <w:vAlign w:val="center"/>
          </w:tcPr>
          <w:p w14:paraId="737019A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新生代幼儿园</w:t>
            </w:r>
          </w:p>
        </w:tc>
        <w:tc>
          <w:tcPr>
            <w:tcW w:w="732" w:type="pct"/>
            <w:shd w:val="clear" w:color="auto" w:fill="auto"/>
            <w:vAlign w:val="center"/>
          </w:tcPr>
          <w:p w14:paraId="2E94CBC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1D5A361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3961</w:t>
            </w:r>
          </w:p>
        </w:tc>
        <w:tc>
          <w:tcPr>
            <w:tcW w:w="596" w:type="pct"/>
            <w:shd w:val="clear" w:color="auto" w:fill="auto"/>
            <w:noWrap/>
            <w:vAlign w:val="center"/>
          </w:tcPr>
          <w:p w14:paraId="28D9A49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408BE9F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245</w:t>
            </w:r>
          </w:p>
        </w:tc>
      </w:tr>
      <w:tr w14:paraId="3A9859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8ACD23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26</w:t>
            </w:r>
          </w:p>
        </w:tc>
        <w:tc>
          <w:tcPr>
            <w:tcW w:w="1982" w:type="pct"/>
            <w:shd w:val="clear" w:color="auto" w:fill="auto"/>
            <w:vAlign w:val="center"/>
          </w:tcPr>
          <w:p w14:paraId="290911B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小站第四小学</w:t>
            </w:r>
          </w:p>
        </w:tc>
        <w:tc>
          <w:tcPr>
            <w:tcW w:w="732" w:type="pct"/>
            <w:shd w:val="clear" w:color="auto" w:fill="auto"/>
            <w:vAlign w:val="center"/>
          </w:tcPr>
          <w:p w14:paraId="5BF9B13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151037A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4705</w:t>
            </w:r>
          </w:p>
        </w:tc>
        <w:tc>
          <w:tcPr>
            <w:tcW w:w="596" w:type="pct"/>
            <w:shd w:val="clear" w:color="auto" w:fill="auto"/>
            <w:noWrap/>
            <w:vAlign w:val="center"/>
          </w:tcPr>
          <w:p w14:paraId="2A334BF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CF553B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765</w:t>
            </w:r>
          </w:p>
        </w:tc>
      </w:tr>
      <w:tr w14:paraId="295182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1ABD0A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27</w:t>
            </w:r>
          </w:p>
        </w:tc>
        <w:tc>
          <w:tcPr>
            <w:tcW w:w="1982" w:type="pct"/>
            <w:shd w:val="clear" w:color="auto" w:fill="auto"/>
            <w:vAlign w:val="center"/>
          </w:tcPr>
          <w:p w14:paraId="376FEAD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北义小学</w:t>
            </w:r>
          </w:p>
        </w:tc>
        <w:tc>
          <w:tcPr>
            <w:tcW w:w="732" w:type="pct"/>
            <w:shd w:val="clear" w:color="auto" w:fill="auto"/>
            <w:vAlign w:val="center"/>
          </w:tcPr>
          <w:p w14:paraId="5B90E39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6079070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3911</w:t>
            </w:r>
          </w:p>
        </w:tc>
        <w:tc>
          <w:tcPr>
            <w:tcW w:w="596" w:type="pct"/>
            <w:shd w:val="clear" w:color="auto" w:fill="auto"/>
            <w:noWrap/>
            <w:vAlign w:val="center"/>
          </w:tcPr>
          <w:p w14:paraId="1E0E8CB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F3898F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685</w:t>
            </w:r>
          </w:p>
        </w:tc>
      </w:tr>
      <w:tr w14:paraId="414726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708D7A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28</w:t>
            </w:r>
          </w:p>
        </w:tc>
        <w:tc>
          <w:tcPr>
            <w:tcW w:w="1982" w:type="pct"/>
            <w:shd w:val="clear" w:color="auto" w:fill="auto"/>
            <w:vAlign w:val="center"/>
          </w:tcPr>
          <w:p w14:paraId="6946B38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爱心双语幼儿园</w:t>
            </w:r>
          </w:p>
        </w:tc>
        <w:tc>
          <w:tcPr>
            <w:tcW w:w="732" w:type="pct"/>
            <w:shd w:val="clear" w:color="auto" w:fill="auto"/>
            <w:vAlign w:val="center"/>
          </w:tcPr>
          <w:p w14:paraId="58623E4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4BFBE3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3503</w:t>
            </w:r>
          </w:p>
        </w:tc>
        <w:tc>
          <w:tcPr>
            <w:tcW w:w="596" w:type="pct"/>
            <w:shd w:val="clear" w:color="auto" w:fill="auto"/>
            <w:noWrap/>
            <w:vAlign w:val="center"/>
          </w:tcPr>
          <w:p w14:paraId="1950272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32FA241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243</w:t>
            </w:r>
          </w:p>
        </w:tc>
      </w:tr>
      <w:tr w14:paraId="5C640D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19FB34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29</w:t>
            </w:r>
          </w:p>
        </w:tc>
        <w:tc>
          <w:tcPr>
            <w:tcW w:w="1982" w:type="pct"/>
            <w:shd w:val="clear" w:color="auto" w:fill="auto"/>
            <w:vAlign w:val="center"/>
          </w:tcPr>
          <w:p w14:paraId="46ADE83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天津市津南区第一幼儿园</w:t>
            </w:r>
          </w:p>
        </w:tc>
        <w:tc>
          <w:tcPr>
            <w:tcW w:w="732" w:type="pct"/>
            <w:shd w:val="clear" w:color="auto" w:fill="auto"/>
            <w:vAlign w:val="center"/>
          </w:tcPr>
          <w:p w14:paraId="18B240A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096702C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4886</w:t>
            </w:r>
          </w:p>
        </w:tc>
        <w:tc>
          <w:tcPr>
            <w:tcW w:w="596" w:type="pct"/>
            <w:shd w:val="clear" w:color="auto" w:fill="auto"/>
            <w:noWrap/>
            <w:vAlign w:val="center"/>
          </w:tcPr>
          <w:p w14:paraId="4FE1C03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298D65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285</w:t>
            </w:r>
          </w:p>
        </w:tc>
      </w:tr>
      <w:tr w14:paraId="7AA068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56C295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30</w:t>
            </w:r>
          </w:p>
        </w:tc>
        <w:tc>
          <w:tcPr>
            <w:tcW w:w="1982" w:type="pct"/>
            <w:shd w:val="clear" w:color="auto" w:fill="auto"/>
            <w:vAlign w:val="center"/>
          </w:tcPr>
          <w:p w14:paraId="217AC38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北闸口第二小学</w:t>
            </w:r>
          </w:p>
        </w:tc>
        <w:tc>
          <w:tcPr>
            <w:tcW w:w="732" w:type="pct"/>
            <w:shd w:val="clear" w:color="auto" w:fill="auto"/>
            <w:vAlign w:val="center"/>
          </w:tcPr>
          <w:p w14:paraId="7DAAD79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1E1ECB9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454</w:t>
            </w:r>
          </w:p>
        </w:tc>
        <w:tc>
          <w:tcPr>
            <w:tcW w:w="596" w:type="pct"/>
            <w:shd w:val="clear" w:color="auto" w:fill="auto"/>
            <w:noWrap/>
            <w:vAlign w:val="center"/>
          </w:tcPr>
          <w:p w14:paraId="1E75888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1E032B4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953</w:t>
            </w:r>
          </w:p>
        </w:tc>
      </w:tr>
      <w:tr w14:paraId="6BA32B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6DA016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31</w:t>
            </w:r>
          </w:p>
        </w:tc>
        <w:tc>
          <w:tcPr>
            <w:tcW w:w="1982" w:type="pct"/>
            <w:shd w:val="clear" w:color="auto" w:fill="auto"/>
            <w:vAlign w:val="center"/>
          </w:tcPr>
          <w:p w14:paraId="24740F3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天津市津南区第四幼儿园</w:t>
            </w:r>
          </w:p>
        </w:tc>
        <w:tc>
          <w:tcPr>
            <w:tcW w:w="732" w:type="pct"/>
            <w:shd w:val="clear" w:color="auto" w:fill="auto"/>
            <w:vAlign w:val="center"/>
          </w:tcPr>
          <w:p w14:paraId="1378087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7EE8CCF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4197</w:t>
            </w:r>
          </w:p>
        </w:tc>
        <w:tc>
          <w:tcPr>
            <w:tcW w:w="596" w:type="pct"/>
            <w:shd w:val="clear" w:color="auto" w:fill="auto"/>
            <w:noWrap/>
            <w:vAlign w:val="center"/>
          </w:tcPr>
          <w:p w14:paraId="440CDC0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3C60E0F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200</w:t>
            </w:r>
          </w:p>
        </w:tc>
      </w:tr>
      <w:tr w14:paraId="2443F5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DDA5A1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32</w:t>
            </w:r>
          </w:p>
        </w:tc>
        <w:tc>
          <w:tcPr>
            <w:tcW w:w="1982" w:type="pct"/>
            <w:shd w:val="clear" w:color="auto" w:fill="auto"/>
            <w:vAlign w:val="center"/>
          </w:tcPr>
          <w:p w14:paraId="6CBF7A4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启蒙双语幼儿园</w:t>
            </w:r>
          </w:p>
        </w:tc>
        <w:tc>
          <w:tcPr>
            <w:tcW w:w="732" w:type="pct"/>
            <w:shd w:val="clear" w:color="auto" w:fill="auto"/>
            <w:vAlign w:val="center"/>
          </w:tcPr>
          <w:p w14:paraId="08C2BFC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3242E70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3373</w:t>
            </w:r>
          </w:p>
        </w:tc>
        <w:tc>
          <w:tcPr>
            <w:tcW w:w="596" w:type="pct"/>
            <w:shd w:val="clear" w:color="auto" w:fill="auto"/>
            <w:noWrap/>
            <w:vAlign w:val="center"/>
          </w:tcPr>
          <w:p w14:paraId="4BA55C1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1CBD8A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186</w:t>
            </w:r>
          </w:p>
        </w:tc>
      </w:tr>
      <w:tr w14:paraId="366CBD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E3E952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33</w:t>
            </w:r>
          </w:p>
        </w:tc>
        <w:tc>
          <w:tcPr>
            <w:tcW w:w="1982" w:type="pct"/>
            <w:shd w:val="clear" w:color="auto" w:fill="auto"/>
            <w:vAlign w:val="center"/>
          </w:tcPr>
          <w:p w14:paraId="21EE113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春蕾幼儿园</w:t>
            </w:r>
          </w:p>
        </w:tc>
        <w:tc>
          <w:tcPr>
            <w:tcW w:w="732" w:type="pct"/>
            <w:shd w:val="clear" w:color="auto" w:fill="auto"/>
            <w:vAlign w:val="center"/>
          </w:tcPr>
          <w:p w14:paraId="4517C02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3B33691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2985</w:t>
            </w:r>
          </w:p>
        </w:tc>
        <w:tc>
          <w:tcPr>
            <w:tcW w:w="596" w:type="pct"/>
            <w:shd w:val="clear" w:color="auto" w:fill="auto"/>
            <w:noWrap/>
            <w:vAlign w:val="center"/>
          </w:tcPr>
          <w:p w14:paraId="3E5377C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327517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253</w:t>
            </w:r>
          </w:p>
        </w:tc>
      </w:tr>
      <w:tr w14:paraId="604693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4AF136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34</w:t>
            </w:r>
          </w:p>
        </w:tc>
        <w:tc>
          <w:tcPr>
            <w:tcW w:w="1982" w:type="pct"/>
            <w:shd w:val="clear" w:color="auto" w:fill="auto"/>
            <w:vAlign w:val="center"/>
          </w:tcPr>
          <w:p w14:paraId="4B88DEF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大梦想家·国际主流婴幼园</w:t>
            </w:r>
          </w:p>
        </w:tc>
        <w:tc>
          <w:tcPr>
            <w:tcW w:w="732" w:type="pct"/>
            <w:shd w:val="clear" w:color="auto" w:fill="auto"/>
            <w:vAlign w:val="center"/>
          </w:tcPr>
          <w:p w14:paraId="5CDF780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40DC3B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3679</w:t>
            </w:r>
          </w:p>
        </w:tc>
        <w:tc>
          <w:tcPr>
            <w:tcW w:w="596" w:type="pct"/>
            <w:shd w:val="clear" w:color="auto" w:fill="auto"/>
            <w:noWrap/>
            <w:vAlign w:val="center"/>
          </w:tcPr>
          <w:p w14:paraId="1F1A55B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5058231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185</w:t>
            </w:r>
          </w:p>
        </w:tc>
      </w:tr>
      <w:tr w14:paraId="5AD1C7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EA5C6E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35</w:t>
            </w:r>
          </w:p>
        </w:tc>
        <w:tc>
          <w:tcPr>
            <w:tcW w:w="1982" w:type="pct"/>
            <w:shd w:val="clear" w:color="auto" w:fill="auto"/>
            <w:vAlign w:val="center"/>
          </w:tcPr>
          <w:p w14:paraId="08CBB98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悦美创幼儿园</w:t>
            </w:r>
          </w:p>
        </w:tc>
        <w:tc>
          <w:tcPr>
            <w:tcW w:w="732" w:type="pct"/>
            <w:shd w:val="clear" w:color="auto" w:fill="auto"/>
            <w:vAlign w:val="center"/>
          </w:tcPr>
          <w:p w14:paraId="0A981E7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08D5B99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1095</w:t>
            </w:r>
          </w:p>
        </w:tc>
        <w:tc>
          <w:tcPr>
            <w:tcW w:w="596" w:type="pct"/>
            <w:shd w:val="clear" w:color="auto" w:fill="auto"/>
            <w:noWrap/>
            <w:vAlign w:val="center"/>
          </w:tcPr>
          <w:p w14:paraId="0A3C863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4EF652C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170</w:t>
            </w:r>
          </w:p>
        </w:tc>
      </w:tr>
      <w:tr w14:paraId="2DD513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CE6F51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36</w:t>
            </w:r>
          </w:p>
        </w:tc>
        <w:tc>
          <w:tcPr>
            <w:tcW w:w="1982" w:type="pct"/>
            <w:shd w:val="clear" w:color="auto" w:fill="auto"/>
            <w:vAlign w:val="center"/>
          </w:tcPr>
          <w:p w14:paraId="0355761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天津市咸水沽第三中学</w:t>
            </w:r>
          </w:p>
        </w:tc>
        <w:tc>
          <w:tcPr>
            <w:tcW w:w="732" w:type="pct"/>
            <w:shd w:val="clear" w:color="auto" w:fill="auto"/>
            <w:vAlign w:val="center"/>
          </w:tcPr>
          <w:p w14:paraId="00A0C23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247EB6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3932</w:t>
            </w:r>
          </w:p>
        </w:tc>
        <w:tc>
          <w:tcPr>
            <w:tcW w:w="596" w:type="pct"/>
            <w:shd w:val="clear" w:color="auto" w:fill="auto"/>
            <w:noWrap/>
            <w:vAlign w:val="center"/>
          </w:tcPr>
          <w:p w14:paraId="0C1FDC4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3D52D57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2004</w:t>
            </w:r>
          </w:p>
        </w:tc>
      </w:tr>
      <w:tr w14:paraId="2025AD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25484A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37</w:t>
            </w:r>
          </w:p>
        </w:tc>
        <w:tc>
          <w:tcPr>
            <w:tcW w:w="1982" w:type="pct"/>
            <w:shd w:val="clear" w:color="auto" w:fill="auto"/>
            <w:vAlign w:val="center"/>
          </w:tcPr>
          <w:p w14:paraId="5F7167B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北闸口小学</w:t>
            </w:r>
          </w:p>
        </w:tc>
        <w:tc>
          <w:tcPr>
            <w:tcW w:w="732" w:type="pct"/>
            <w:shd w:val="clear" w:color="auto" w:fill="auto"/>
            <w:vAlign w:val="center"/>
          </w:tcPr>
          <w:p w14:paraId="1CA48CA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FB5C7B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1349</w:t>
            </w:r>
          </w:p>
        </w:tc>
        <w:tc>
          <w:tcPr>
            <w:tcW w:w="596" w:type="pct"/>
            <w:shd w:val="clear" w:color="auto" w:fill="auto"/>
            <w:noWrap/>
            <w:vAlign w:val="center"/>
          </w:tcPr>
          <w:p w14:paraId="2BBB0BB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41BD8F0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864</w:t>
            </w:r>
          </w:p>
        </w:tc>
      </w:tr>
      <w:tr w14:paraId="01B589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07288A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w:t>
            </w:r>
          </w:p>
        </w:tc>
        <w:tc>
          <w:tcPr>
            <w:tcW w:w="1982" w:type="pct"/>
            <w:shd w:val="clear" w:color="auto" w:fill="auto"/>
            <w:vAlign w:val="center"/>
          </w:tcPr>
          <w:p w14:paraId="24F1EDB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天津市北闸口中学</w:t>
            </w:r>
          </w:p>
        </w:tc>
        <w:tc>
          <w:tcPr>
            <w:tcW w:w="732" w:type="pct"/>
            <w:shd w:val="clear" w:color="auto" w:fill="auto"/>
            <w:vAlign w:val="center"/>
          </w:tcPr>
          <w:p w14:paraId="7039B7B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714A85D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1363</w:t>
            </w:r>
          </w:p>
        </w:tc>
        <w:tc>
          <w:tcPr>
            <w:tcW w:w="596" w:type="pct"/>
            <w:shd w:val="clear" w:color="auto" w:fill="auto"/>
            <w:noWrap/>
            <w:vAlign w:val="center"/>
          </w:tcPr>
          <w:p w14:paraId="52FE056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7621974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2598</w:t>
            </w:r>
          </w:p>
        </w:tc>
      </w:tr>
      <w:tr w14:paraId="71F3C4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C70DBF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w:t>
            </w:r>
          </w:p>
        </w:tc>
        <w:tc>
          <w:tcPr>
            <w:tcW w:w="1982" w:type="pct"/>
            <w:shd w:val="clear" w:color="auto" w:fill="auto"/>
            <w:vAlign w:val="center"/>
          </w:tcPr>
          <w:p w14:paraId="00B36C3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津南三幼丰达分园</w:t>
            </w:r>
          </w:p>
        </w:tc>
        <w:tc>
          <w:tcPr>
            <w:tcW w:w="732" w:type="pct"/>
            <w:shd w:val="clear" w:color="auto" w:fill="auto"/>
            <w:vAlign w:val="center"/>
          </w:tcPr>
          <w:p w14:paraId="7E4AA65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0DCFC5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4763</w:t>
            </w:r>
          </w:p>
        </w:tc>
        <w:tc>
          <w:tcPr>
            <w:tcW w:w="596" w:type="pct"/>
            <w:shd w:val="clear" w:color="auto" w:fill="auto"/>
            <w:noWrap/>
            <w:vAlign w:val="center"/>
          </w:tcPr>
          <w:p w14:paraId="08C9E17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43DC354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253</w:t>
            </w:r>
          </w:p>
        </w:tc>
      </w:tr>
      <w:tr w14:paraId="159DA0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FD84D7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40</w:t>
            </w:r>
          </w:p>
        </w:tc>
        <w:tc>
          <w:tcPr>
            <w:tcW w:w="1982" w:type="pct"/>
            <w:shd w:val="clear" w:color="auto" w:fill="auto"/>
            <w:vAlign w:val="center"/>
          </w:tcPr>
          <w:p w14:paraId="181F988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昇华幼儿园</w:t>
            </w:r>
          </w:p>
        </w:tc>
        <w:tc>
          <w:tcPr>
            <w:tcW w:w="732" w:type="pct"/>
            <w:shd w:val="clear" w:color="auto" w:fill="auto"/>
            <w:vAlign w:val="center"/>
          </w:tcPr>
          <w:p w14:paraId="0F2B60E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E30C93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3939</w:t>
            </w:r>
          </w:p>
        </w:tc>
        <w:tc>
          <w:tcPr>
            <w:tcW w:w="596" w:type="pct"/>
            <w:shd w:val="clear" w:color="auto" w:fill="auto"/>
            <w:noWrap/>
            <w:vAlign w:val="center"/>
          </w:tcPr>
          <w:p w14:paraId="00A5352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5CF3F22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210</w:t>
            </w:r>
          </w:p>
        </w:tc>
      </w:tr>
      <w:tr w14:paraId="1E4ABD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B2BEDB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41</w:t>
            </w:r>
          </w:p>
        </w:tc>
        <w:tc>
          <w:tcPr>
            <w:tcW w:w="1982" w:type="pct"/>
            <w:shd w:val="clear" w:color="auto" w:fill="auto"/>
            <w:vAlign w:val="center"/>
          </w:tcPr>
          <w:p w14:paraId="3F4B5FC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津南区北闸口第四小学(二小分校)</w:t>
            </w:r>
          </w:p>
        </w:tc>
        <w:tc>
          <w:tcPr>
            <w:tcW w:w="732" w:type="pct"/>
            <w:shd w:val="clear" w:color="auto" w:fill="auto"/>
            <w:vAlign w:val="center"/>
          </w:tcPr>
          <w:p w14:paraId="49A5DDA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7B36699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1684</w:t>
            </w:r>
          </w:p>
        </w:tc>
        <w:tc>
          <w:tcPr>
            <w:tcW w:w="596" w:type="pct"/>
            <w:shd w:val="clear" w:color="auto" w:fill="auto"/>
            <w:noWrap/>
            <w:vAlign w:val="center"/>
          </w:tcPr>
          <w:p w14:paraId="717E09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B3C2B0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765</w:t>
            </w:r>
          </w:p>
        </w:tc>
      </w:tr>
      <w:tr w14:paraId="13AE79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4482BD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w:t>
            </w:r>
          </w:p>
        </w:tc>
        <w:tc>
          <w:tcPr>
            <w:tcW w:w="1982" w:type="pct"/>
            <w:shd w:val="clear" w:color="auto" w:fill="auto"/>
            <w:vAlign w:val="center"/>
          </w:tcPr>
          <w:p w14:paraId="4FC664F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心宇幼儿园</w:t>
            </w:r>
          </w:p>
        </w:tc>
        <w:tc>
          <w:tcPr>
            <w:tcW w:w="732" w:type="pct"/>
            <w:shd w:val="clear" w:color="auto" w:fill="auto"/>
            <w:vAlign w:val="center"/>
          </w:tcPr>
          <w:p w14:paraId="091C48B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1D1EB7C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4147</w:t>
            </w:r>
          </w:p>
        </w:tc>
        <w:tc>
          <w:tcPr>
            <w:tcW w:w="596" w:type="pct"/>
            <w:shd w:val="clear" w:color="auto" w:fill="auto"/>
            <w:noWrap/>
            <w:vAlign w:val="center"/>
          </w:tcPr>
          <w:p w14:paraId="3E7C12B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38E7121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254</w:t>
            </w:r>
          </w:p>
        </w:tc>
      </w:tr>
      <w:tr w14:paraId="60171A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787D34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43</w:t>
            </w:r>
          </w:p>
        </w:tc>
        <w:tc>
          <w:tcPr>
            <w:tcW w:w="1982" w:type="pct"/>
            <w:shd w:val="clear" w:color="auto" w:fill="auto"/>
            <w:vAlign w:val="center"/>
          </w:tcPr>
          <w:p w14:paraId="20C06F3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天津师范大学教师教育津南分院</w:t>
            </w:r>
          </w:p>
        </w:tc>
        <w:tc>
          <w:tcPr>
            <w:tcW w:w="732" w:type="pct"/>
            <w:shd w:val="clear" w:color="auto" w:fill="auto"/>
            <w:vAlign w:val="center"/>
          </w:tcPr>
          <w:p w14:paraId="117805A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447C80C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3861</w:t>
            </w:r>
          </w:p>
        </w:tc>
        <w:tc>
          <w:tcPr>
            <w:tcW w:w="596" w:type="pct"/>
            <w:shd w:val="clear" w:color="auto" w:fill="auto"/>
            <w:noWrap/>
            <w:vAlign w:val="center"/>
          </w:tcPr>
          <w:p w14:paraId="776507D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79EBA49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800</w:t>
            </w:r>
          </w:p>
        </w:tc>
      </w:tr>
      <w:tr w14:paraId="709923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165C5F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44</w:t>
            </w:r>
          </w:p>
        </w:tc>
        <w:tc>
          <w:tcPr>
            <w:tcW w:w="1982" w:type="pct"/>
            <w:shd w:val="clear" w:color="auto" w:fill="auto"/>
            <w:vAlign w:val="center"/>
          </w:tcPr>
          <w:p w14:paraId="6867898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众明幼儿园</w:t>
            </w:r>
          </w:p>
        </w:tc>
        <w:tc>
          <w:tcPr>
            <w:tcW w:w="732" w:type="pct"/>
            <w:shd w:val="clear" w:color="auto" w:fill="auto"/>
            <w:vAlign w:val="center"/>
          </w:tcPr>
          <w:p w14:paraId="6713543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B926B7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4964</w:t>
            </w:r>
          </w:p>
        </w:tc>
        <w:tc>
          <w:tcPr>
            <w:tcW w:w="596" w:type="pct"/>
            <w:shd w:val="clear" w:color="auto" w:fill="auto"/>
            <w:noWrap/>
            <w:vAlign w:val="center"/>
          </w:tcPr>
          <w:p w14:paraId="6B328C6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D40235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185</w:t>
            </w:r>
          </w:p>
        </w:tc>
      </w:tr>
      <w:tr w14:paraId="676ADB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E01ABE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45</w:t>
            </w:r>
          </w:p>
        </w:tc>
        <w:tc>
          <w:tcPr>
            <w:tcW w:w="1982" w:type="pct"/>
            <w:shd w:val="clear" w:color="auto" w:fill="auto"/>
            <w:vAlign w:val="center"/>
          </w:tcPr>
          <w:p w14:paraId="612C95D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津南十幼分园</w:t>
            </w:r>
          </w:p>
        </w:tc>
        <w:tc>
          <w:tcPr>
            <w:tcW w:w="732" w:type="pct"/>
            <w:shd w:val="clear" w:color="auto" w:fill="auto"/>
            <w:vAlign w:val="center"/>
          </w:tcPr>
          <w:p w14:paraId="067DE3B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6952E8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1628</w:t>
            </w:r>
          </w:p>
        </w:tc>
        <w:tc>
          <w:tcPr>
            <w:tcW w:w="596" w:type="pct"/>
            <w:shd w:val="clear" w:color="auto" w:fill="auto"/>
            <w:noWrap/>
            <w:vAlign w:val="center"/>
          </w:tcPr>
          <w:p w14:paraId="4425FAF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01958A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230</w:t>
            </w:r>
          </w:p>
        </w:tc>
      </w:tr>
      <w:tr w14:paraId="75D9AA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97C5F5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46</w:t>
            </w:r>
          </w:p>
        </w:tc>
        <w:tc>
          <w:tcPr>
            <w:tcW w:w="1982" w:type="pct"/>
            <w:shd w:val="clear" w:color="auto" w:fill="auto"/>
            <w:vAlign w:val="center"/>
          </w:tcPr>
          <w:p w14:paraId="03625BE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欣园尚林学幼</w:t>
            </w:r>
          </w:p>
        </w:tc>
        <w:tc>
          <w:tcPr>
            <w:tcW w:w="732" w:type="pct"/>
            <w:shd w:val="clear" w:color="auto" w:fill="auto"/>
            <w:vAlign w:val="center"/>
          </w:tcPr>
          <w:p w14:paraId="6F6BA75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0FFED3C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363</w:t>
            </w:r>
          </w:p>
        </w:tc>
        <w:tc>
          <w:tcPr>
            <w:tcW w:w="596" w:type="pct"/>
            <w:shd w:val="clear" w:color="auto" w:fill="auto"/>
            <w:noWrap/>
            <w:vAlign w:val="center"/>
          </w:tcPr>
          <w:p w14:paraId="3E101F3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0B8B30B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254</w:t>
            </w:r>
          </w:p>
        </w:tc>
      </w:tr>
      <w:tr w14:paraId="21B7DB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A77D39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47</w:t>
            </w:r>
          </w:p>
        </w:tc>
        <w:tc>
          <w:tcPr>
            <w:tcW w:w="1982" w:type="pct"/>
            <w:shd w:val="clear" w:color="auto" w:fill="auto"/>
            <w:vAlign w:val="center"/>
          </w:tcPr>
          <w:p w14:paraId="21FD849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天津市海河技工学校(产教融合基地)</w:t>
            </w:r>
          </w:p>
        </w:tc>
        <w:tc>
          <w:tcPr>
            <w:tcW w:w="732" w:type="pct"/>
            <w:shd w:val="clear" w:color="auto" w:fill="auto"/>
            <w:vAlign w:val="center"/>
          </w:tcPr>
          <w:p w14:paraId="15D4D0A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20546B4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3842</w:t>
            </w:r>
          </w:p>
        </w:tc>
        <w:tc>
          <w:tcPr>
            <w:tcW w:w="596" w:type="pct"/>
            <w:shd w:val="clear" w:color="auto" w:fill="auto"/>
            <w:noWrap/>
            <w:vAlign w:val="center"/>
          </w:tcPr>
          <w:p w14:paraId="61A57FB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521EE1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2105</w:t>
            </w:r>
          </w:p>
        </w:tc>
      </w:tr>
      <w:tr w14:paraId="2773D2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564BE8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w:t>
            </w:r>
          </w:p>
        </w:tc>
        <w:tc>
          <w:tcPr>
            <w:tcW w:w="1982" w:type="pct"/>
            <w:shd w:val="clear" w:color="auto" w:fill="auto"/>
            <w:vAlign w:val="center"/>
          </w:tcPr>
          <w:p w14:paraId="24ED818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咸水沽第七小学</w:t>
            </w:r>
          </w:p>
        </w:tc>
        <w:tc>
          <w:tcPr>
            <w:tcW w:w="732" w:type="pct"/>
            <w:shd w:val="clear" w:color="auto" w:fill="auto"/>
            <w:vAlign w:val="center"/>
          </w:tcPr>
          <w:p w14:paraId="468E0A8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5235CC2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4306</w:t>
            </w:r>
          </w:p>
        </w:tc>
        <w:tc>
          <w:tcPr>
            <w:tcW w:w="596" w:type="pct"/>
            <w:shd w:val="clear" w:color="auto" w:fill="auto"/>
            <w:noWrap/>
            <w:vAlign w:val="center"/>
          </w:tcPr>
          <w:p w14:paraId="74E502F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10AF12E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1053</w:t>
            </w:r>
          </w:p>
        </w:tc>
      </w:tr>
      <w:tr w14:paraId="57BDD5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168CC2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w:t>
            </w:r>
          </w:p>
        </w:tc>
        <w:tc>
          <w:tcPr>
            <w:tcW w:w="1982" w:type="pct"/>
            <w:shd w:val="clear" w:color="auto" w:fill="auto"/>
            <w:vAlign w:val="center"/>
          </w:tcPr>
          <w:p w14:paraId="4C6C6A5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天津外国语大学爱国主义教育基地</w:t>
            </w:r>
          </w:p>
        </w:tc>
        <w:tc>
          <w:tcPr>
            <w:tcW w:w="732" w:type="pct"/>
            <w:shd w:val="clear" w:color="auto" w:fill="auto"/>
            <w:vAlign w:val="center"/>
          </w:tcPr>
          <w:p w14:paraId="7638E06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7F05A3D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3283</w:t>
            </w:r>
          </w:p>
        </w:tc>
        <w:tc>
          <w:tcPr>
            <w:tcW w:w="596" w:type="pct"/>
            <w:shd w:val="clear" w:color="auto" w:fill="auto"/>
            <w:noWrap/>
            <w:vAlign w:val="center"/>
          </w:tcPr>
          <w:p w14:paraId="166C240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4DAF438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100</w:t>
            </w:r>
          </w:p>
        </w:tc>
      </w:tr>
      <w:tr w14:paraId="389706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8A3331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50</w:t>
            </w:r>
          </w:p>
        </w:tc>
        <w:tc>
          <w:tcPr>
            <w:tcW w:w="1982" w:type="pct"/>
            <w:shd w:val="clear" w:color="auto" w:fill="auto"/>
            <w:vAlign w:val="center"/>
          </w:tcPr>
          <w:p w14:paraId="17EC756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育才幼儿园</w:t>
            </w:r>
          </w:p>
        </w:tc>
        <w:tc>
          <w:tcPr>
            <w:tcW w:w="732" w:type="pct"/>
            <w:shd w:val="clear" w:color="auto" w:fill="auto"/>
            <w:vAlign w:val="center"/>
          </w:tcPr>
          <w:p w14:paraId="65613ED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5EB4CE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3966</w:t>
            </w:r>
          </w:p>
        </w:tc>
        <w:tc>
          <w:tcPr>
            <w:tcW w:w="596" w:type="pct"/>
            <w:shd w:val="clear" w:color="auto" w:fill="auto"/>
            <w:noWrap/>
            <w:vAlign w:val="center"/>
          </w:tcPr>
          <w:p w14:paraId="595FB29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47523A6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304</w:t>
            </w:r>
          </w:p>
        </w:tc>
      </w:tr>
      <w:tr w14:paraId="17B880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4EA568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51</w:t>
            </w:r>
          </w:p>
        </w:tc>
        <w:tc>
          <w:tcPr>
            <w:tcW w:w="1982" w:type="pct"/>
            <w:shd w:val="clear" w:color="auto" w:fill="auto"/>
            <w:vAlign w:val="center"/>
          </w:tcPr>
          <w:p w14:paraId="7D06590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新启点幼儿园(丰收路)</w:t>
            </w:r>
          </w:p>
        </w:tc>
        <w:tc>
          <w:tcPr>
            <w:tcW w:w="732" w:type="pct"/>
            <w:shd w:val="clear" w:color="auto" w:fill="auto"/>
            <w:vAlign w:val="center"/>
          </w:tcPr>
          <w:p w14:paraId="77922F2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E28655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4513</w:t>
            </w:r>
          </w:p>
        </w:tc>
        <w:tc>
          <w:tcPr>
            <w:tcW w:w="596" w:type="pct"/>
            <w:shd w:val="clear" w:color="auto" w:fill="auto"/>
            <w:noWrap/>
            <w:vAlign w:val="center"/>
          </w:tcPr>
          <w:p w14:paraId="2EC51AB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5A9EC35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210</w:t>
            </w:r>
          </w:p>
        </w:tc>
      </w:tr>
      <w:tr w14:paraId="573BD4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C249D3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52</w:t>
            </w:r>
          </w:p>
        </w:tc>
        <w:tc>
          <w:tcPr>
            <w:tcW w:w="1982" w:type="pct"/>
            <w:shd w:val="clear" w:color="auto" w:fill="auto"/>
            <w:vAlign w:val="center"/>
          </w:tcPr>
          <w:p w14:paraId="43AEF30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津南二幼滟澜山苑园</w:t>
            </w:r>
          </w:p>
        </w:tc>
        <w:tc>
          <w:tcPr>
            <w:tcW w:w="732" w:type="pct"/>
            <w:shd w:val="clear" w:color="auto" w:fill="auto"/>
            <w:vAlign w:val="center"/>
          </w:tcPr>
          <w:p w14:paraId="29AD72E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E1D3C2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3834</w:t>
            </w:r>
          </w:p>
        </w:tc>
        <w:tc>
          <w:tcPr>
            <w:tcW w:w="596" w:type="pct"/>
            <w:shd w:val="clear" w:color="auto" w:fill="auto"/>
            <w:noWrap/>
            <w:vAlign w:val="center"/>
          </w:tcPr>
          <w:p w14:paraId="4299FEF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8D6E5D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205</w:t>
            </w:r>
          </w:p>
        </w:tc>
      </w:tr>
      <w:tr w14:paraId="4419A9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D4B6E9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53</w:t>
            </w:r>
          </w:p>
        </w:tc>
        <w:tc>
          <w:tcPr>
            <w:tcW w:w="1982" w:type="pct"/>
            <w:shd w:val="clear" w:color="auto" w:fill="auto"/>
            <w:vAlign w:val="center"/>
          </w:tcPr>
          <w:p w14:paraId="41DED65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天津市津南区睿之源幼儿园</w:t>
            </w:r>
          </w:p>
        </w:tc>
        <w:tc>
          <w:tcPr>
            <w:tcW w:w="732" w:type="pct"/>
            <w:shd w:val="clear" w:color="auto" w:fill="auto"/>
            <w:vAlign w:val="center"/>
          </w:tcPr>
          <w:p w14:paraId="1CD2DED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60BBC04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999</w:t>
            </w:r>
          </w:p>
        </w:tc>
        <w:tc>
          <w:tcPr>
            <w:tcW w:w="596" w:type="pct"/>
            <w:shd w:val="clear" w:color="auto" w:fill="auto"/>
            <w:noWrap/>
            <w:vAlign w:val="center"/>
          </w:tcPr>
          <w:p w14:paraId="1DCBA23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81B8DB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254</w:t>
            </w:r>
          </w:p>
        </w:tc>
      </w:tr>
      <w:tr w14:paraId="6E35CA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7953B3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54</w:t>
            </w:r>
          </w:p>
        </w:tc>
        <w:tc>
          <w:tcPr>
            <w:tcW w:w="1982" w:type="pct"/>
            <w:shd w:val="clear" w:color="auto" w:fill="auto"/>
            <w:vAlign w:val="center"/>
          </w:tcPr>
          <w:p w14:paraId="230DFAA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益华幼儿园</w:t>
            </w:r>
          </w:p>
        </w:tc>
        <w:tc>
          <w:tcPr>
            <w:tcW w:w="732" w:type="pct"/>
            <w:shd w:val="clear" w:color="auto" w:fill="auto"/>
            <w:vAlign w:val="center"/>
          </w:tcPr>
          <w:p w14:paraId="6A55F00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7DE5ECB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4470</w:t>
            </w:r>
          </w:p>
        </w:tc>
        <w:tc>
          <w:tcPr>
            <w:tcW w:w="596" w:type="pct"/>
            <w:shd w:val="clear" w:color="auto" w:fill="auto"/>
            <w:noWrap/>
            <w:vAlign w:val="center"/>
          </w:tcPr>
          <w:p w14:paraId="78B7472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2A327EC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256</w:t>
            </w:r>
          </w:p>
        </w:tc>
      </w:tr>
      <w:tr w14:paraId="28822D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0A9F53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55</w:t>
            </w:r>
          </w:p>
        </w:tc>
        <w:tc>
          <w:tcPr>
            <w:tcW w:w="1982" w:type="pct"/>
            <w:shd w:val="clear" w:color="auto" w:fill="auto"/>
            <w:vAlign w:val="center"/>
          </w:tcPr>
          <w:p w14:paraId="33306033">
            <w:pPr>
              <w:jc w:val="center"/>
              <w:rPr>
                <w:rFonts w:hint="default" w:ascii="仿宋" w:hAnsi="仿宋" w:eastAsia="仿宋" w:cs="宋体"/>
                <w:color w:val="000000"/>
                <w:kern w:val="0"/>
                <w:sz w:val="24"/>
                <w:szCs w:val="24"/>
                <w:lang w:val="en-US" w:eastAsia="zh-CN"/>
              </w:rPr>
            </w:pPr>
            <w:r>
              <w:rPr>
                <w:rFonts w:hint="eastAsia" w:ascii="宋体" w:hAnsi="宋体" w:eastAsia="宋体" w:cs="宋体"/>
                <w:color w:val="000000"/>
                <w:kern w:val="0"/>
                <w:sz w:val="24"/>
                <w:szCs w:val="24"/>
                <w:lang w:val="en-US" w:eastAsia="zh-CN"/>
              </w:rPr>
              <w:t>爱育幼儿园</w:t>
            </w:r>
          </w:p>
        </w:tc>
        <w:tc>
          <w:tcPr>
            <w:tcW w:w="732" w:type="pct"/>
            <w:shd w:val="clear" w:color="auto" w:fill="auto"/>
            <w:vAlign w:val="center"/>
          </w:tcPr>
          <w:p w14:paraId="61E7409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FA6E12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1866</w:t>
            </w:r>
          </w:p>
        </w:tc>
        <w:tc>
          <w:tcPr>
            <w:tcW w:w="596" w:type="pct"/>
            <w:shd w:val="clear" w:color="auto" w:fill="auto"/>
            <w:noWrap/>
            <w:vAlign w:val="center"/>
          </w:tcPr>
          <w:p w14:paraId="4018D41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学校</w:t>
            </w:r>
          </w:p>
        </w:tc>
        <w:tc>
          <w:tcPr>
            <w:tcW w:w="580" w:type="pct"/>
            <w:shd w:val="clear" w:color="auto" w:fill="auto"/>
            <w:noWrap/>
            <w:vAlign w:val="center"/>
          </w:tcPr>
          <w:p w14:paraId="138D22F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204</w:t>
            </w:r>
          </w:p>
        </w:tc>
      </w:tr>
      <w:tr w14:paraId="69C835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529982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56</w:t>
            </w:r>
          </w:p>
        </w:tc>
        <w:tc>
          <w:tcPr>
            <w:tcW w:w="1982" w:type="pct"/>
            <w:shd w:val="clear" w:color="auto" w:fill="auto"/>
            <w:vAlign w:val="center"/>
          </w:tcPr>
          <w:p w14:paraId="47BFA21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慈丰医院</w:t>
            </w:r>
          </w:p>
        </w:tc>
        <w:tc>
          <w:tcPr>
            <w:tcW w:w="732" w:type="pct"/>
            <w:shd w:val="clear" w:color="auto" w:fill="auto"/>
            <w:vAlign w:val="center"/>
          </w:tcPr>
          <w:p w14:paraId="1DBAC2A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20CA0FC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4440</w:t>
            </w:r>
          </w:p>
        </w:tc>
        <w:tc>
          <w:tcPr>
            <w:tcW w:w="596" w:type="pct"/>
            <w:shd w:val="clear" w:color="auto" w:fill="auto"/>
            <w:noWrap/>
            <w:vAlign w:val="center"/>
          </w:tcPr>
          <w:p w14:paraId="02CD1FD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124B31F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768</w:t>
            </w:r>
          </w:p>
        </w:tc>
      </w:tr>
      <w:tr w14:paraId="7DA49C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0CBD4F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57</w:t>
            </w:r>
          </w:p>
        </w:tc>
        <w:tc>
          <w:tcPr>
            <w:tcW w:w="1982" w:type="pct"/>
            <w:shd w:val="clear" w:color="auto" w:fill="auto"/>
            <w:vAlign w:val="center"/>
          </w:tcPr>
          <w:p w14:paraId="66B51DE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荣城中医医院</w:t>
            </w:r>
          </w:p>
        </w:tc>
        <w:tc>
          <w:tcPr>
            <w:tcW w:w="732" w:type="pct"/>
            <w:shd w:val="clear" w:color="auto" w:fill="auto"/>
            <w:vAlign w:val="center"/>
          </w:tcPr>
          <w:p w14:paraId="4D4A216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FEF71F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4834</w:t>
            </w:r>
          </w:p>
        </w:tc>
        <w:tc>
          <w:tcPr>
            <w:tcW w:w="596" w:type="pct"/>
            <w:shd w:val="clear" w:color="auto" w:fill="auto"/>
            <w:noWrap/>
            <w:vAlign w:val="center"/>
          </w:tcPr>
          <w:p w14:paraId="0FF4B20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395E9C7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753</w:t>
            </w:r>
          </w:p>
        </w:tc>
      </w:tr>
      <w:tr w14:paraId="5ED85B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F12DC3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58</w:t>
            </w:r>
          </w:p>
        </w:tc>
        <w:tc>
          <w:tcPr>
            <w:tcW w:w="1982" w:type="pct"/>
            <w:shd w:val="clear" w:color="auto" w:fill="auto"/>
            <w:vAlign w:val="center"/>
          </w:tcPr>
          <w:p w14:paraId="01970E5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津南精诚医院</w:t>
            </w:r>
          </w:p>
        </w:tc>
        <w:tc>
          <w:tcPr>
            <w:tcW w:w="732" w:type="pct"/>
            <w:shd w:val="clear" w:color="auto" w:fill="auto"/>
            <w:vAlign w:val="center"/>
          </w:tcPr>
          <w:p w14:paraId="1B0CCED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55687F7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4589</w:t>
            </w:r>
          </w:p>
        </w:tc>
        <w:tc>
          <w:tcPr>
            <w:tcW w:w="596" w:type="pct"/>
            <w:shd w:val="clear" w:color="auto" w:fill="auto"/>
            <w:noWrap/>
            <w:vAlign w:val="center"/>
          </w:tcPr>
          <w:p w14:paraId="24EE469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6416EEE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652</w:t>
            </w:r>
          </w:p>
        </w:tc>
      </w:tr>
      <w:tr w14:paraId="0EC9CD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D3EFF8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59</w:t>
            </w:r>
          </w:p>
        </w:tc>
        <w:tc>
          <w:tcPr>
            <w:tcW w:w="1982" w:type="pct"/>
            <w:shd w:val="clear" w:color="auto" w:fill="auto"/>
            <w:vAlign w:val="center"/>
          </w:tcPr>
          <w:p w14:paraId="64DED7E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北义心庄村委会</w:t>
            </w:r>
          </w:p>
        </w:tc>
        <w:tc>
          <w:tcPr>
            <w:tcW w:w="732" w:type="pct"/>
            <w:shd w:val="clear" w:color="auto" w:fill="auto"/>
            <w:vAlign w:val="center"/>
          </w:tcPr>
          <w:p w14:paraId="540DB9A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2D97CB0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3927</w:t>
            </w:r>
          </w:p>
        </w:tc>
        <w:tc>
          <w:tcPr>
            <w:tcW w:w="596" w:type="pct"/>
            <w:shd w:val="clear" w:color="auto" w:fill="auto"/>
            <w:noWrap/>
            <w:vAlign w:val="center"/>
          </w:tcPr>
          <w:p w14:paraId="3354AE7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群众组织</w:t>
            </w:r>
          </w:p>
        </w:tc>
        <w:tc>
          <w:tcPr>
            <w:tcW w:w="580" w:type="pct"/>
            <w:shd w:val="clear" w:color="auto" w:fill="auto"/>
            <w:noWrap/>
            <w:vAlign w:val="center"/>
          </w:tcPr>
          <w:p w14:paraId="52B542A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6A3EEB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EE0EF0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60</w:t>
            </w:r>
          </w:p>
        </w:tc>
        <w:tc>
          <w:tcPr>
            <w:tcW w:w="1982" w:type="pct"/>
            <w:shd w:val="clear" w:color="auto" w:fill="auto"/>
            <w:vAlign w:val="center"/>
          </w:tcPr>
          <w:p w14:paraId="463F8D5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益华里社区卫生服务站</w:t>
            </w:r>
          </w:p>
        </w:tc>
        <w:tc>
          <w:tcPr>
            <w:tcW w:w="732" w:type="pct"/>
            <w:shd w:val="clear" w:color="auto" w:fill="auto"/>
            <w:vAlign w:val="center"/>
          </w:tcPr>
          <w:p w14:paraId="0F1EA8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262FA18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4351</w:t>
            </w:r>
          </w:p>
        </w:tc>
        <w:tc>
          <w:tcPr>
            <w:tcW w:w="596" w:type="pct"/>
            <w:shd w:val="clear" w:color="auto" w:fill="auto"/>
            <w:noWrap/>
            <w:vAlign w:val="center"/>
          </w:tcPr>
          <w:p w14:paraId="0C53B82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02CC149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652</w:t>
            </w:r>
          </w:p>
        </w:tc>
      </w:tr>
      <w:tr w14:paraId="2FD0DE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ACC37C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61</w:t>
            </w:r>
          </w:p>
        </w:tc>
        <w:tc>
          <w:tcPr>
            <w:tcW w:w="1982" w:type="pct"/>
            <w:shd w:val="clear" w:color="auto" w:fill="auto"/>
            <w:vAlign w:val="center"/>
          </w:tcPr>
          <w:p w14:paraId="5784A6E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天津津南天同医院</w:t>
            </w:r>
          </w:p>
        </w:tc>
        <w:tc>
          <w:tcPr>
            <w:tcW w:w="732" w:type="pct"/>
            <w:shd w:val="clear" w:color="auto" w:fill="auto"/>
            <w:vAlign w:val="center"/>
          </w:tcPr>
          <w:p w14:paraId="1703F5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DEAA2E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4222</w:t>
            </w:r>
          </w:p>
        </w:tc>
        <w:tc>
          <w:tcPr>
            <w:tcW w:w="596" w:type="pct"/>
            <w:shd w:val="clear" w:color="auto" w:fill="auto"/>
            <w:noWrap/>
            <w:vAlign w:val="center"/>
          </w:tcPr>
          <w:p w14:paraId="7D781EA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043CE95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465</w:t>
            </w:r>
          </w:p>
        </w:tc>
      </w:tr>
      <w:tr w14:paraId="68518B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AFEBA1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62</w:t>
            </w:r>
          </w:p>
        </w:tc>
        <w:tc>
          <w:tcPr>
            <w:tcW w:w="1982" w:type="pct"/>
            <w:shd w:val="clear" w:color="auto" w:fill="auto"/>
            <w:vAlign w:val="center"/>
          </w:tcPr>
          <w:p w14:paraId="19365A6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天津市津南区疾病预防控制中心</w:t>
            </w:r>
          </w:p>
        </w:tc>
        <w:tc>
          <w:tcPr>
            <w:tcW w:w="732" w:type="pct"/>
            <w:shd w:val="clear" w:color="auto" w:fill="auto"/>
            <w:vAlign w:val="center"/>
          </w:tcPr>
          <w:p w14:paraId="5537DF7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5B859AB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4450</w:t>
            </w:r>
          </w:p>
        </w:tc>
        <w:tc>
          <w:tcPr>
            <w:tcW w:w="596" w:type="pct"/>
            <w:shd w:val="clear" w:color="auto" w:fill="auto"/>
            <w:noWrap/>
            <w:vAlign w:val="center"/>
          </w:tcPr>
          <w:p w14:paraId="2F8D7CA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61F3FD8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685</w:t>
            </w:r>
          </w:p>
        </w:tc>
      </w:tr>
      <w:tr w14:paraId="6991F6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B631E2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63</w:t>
            </w:r>
          </w:p>
        </w:tc>
        <w:tc>
          <w:tcPr>
            <w:tcW w:w="1982" w:type="pct"/>
            <w:shd w:val="clear" w:color="auto" w:fill="auto"/>
            <w:vAlign w:val="center"/>
          </w:tcPr>
          <w:p w14:paraId="4487882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津益医院</w:t>
            </w:r>
          </w:p>
        </w:tc>
        <w:tc>
          <w:tcPr>
            <w:tcW w:w="732" w:type="pct"/>
            <w:shd w:val="clear" w:color="auto" w:fill="auto"/>
            <w:vAlign w:val="center"/>
          </w:tcPr>
          <w:p w14:paraId="1E7FAB9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2E6B51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3966</w:t>
            </w:r>
          </w:p>
        </w:tc>
        <w:tc>
          <w:tcPr>
            <w:tcW w:w="596" w:type="pct"/>
            <w:shd w:val="clear" w:color="auto" w:fill="auto"/>
            <w:noWrap/>
            <w:vAlign w:val="center"/>
          </w:tcPr>
          <w:p w14:paraId="07BF240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4AD5079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685</w:t>
            </w:r>
          </w:p>
        </w:tc>
      </w:tr>
      <w:tr w14:paraId="1C358B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FA2501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64</w:t>
            </w:r>
          </w:p>
        </w:tc>
        <w:tc>
          <w:tcPr>
            <w:tcW w:w="1982" w:type="pct"/>
            <w:shd w:val="clear" w:color="auto" w:fill="auto"/>
            <w:vAlign w:val="center"/>
          </w:tcPr>
          <w:p w14:paraId="30E69E8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天同医院养老院</w:t>
            </w:r>
          </w:p>
        </w:tc>
        <w:tc>
          <w:tcPr>
            <w:tcW w:w="732" w:type="pct"/>
            <w:shd w:val="clear" w:color="auto" w:fill="auto"/>
            <w:vAlign w:val="center"/>
          </w:tcPr>
          <w:p w14:paraId="1A5D632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BB1F0D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4210</w:t>
            </w:r>
          </w:p>
        </w:tc>
        <w:tc>
          <w:tcPr>
            <w:tcW w:w="596" w:type="pct"/>
            <w:shd w:val="clear" w:color="auto" w:fill="auto"/>
            <w:noWrap/>
            <w:vAlign w:val="center"/>
          </w:tcPr>
          <w:p w14:paraId="4472276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6A5D669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753</w:t>
            </w:r>
          </w:p>
        </w:tc>
      </w:tr>
      <w:tr w14:paraId="6C78EF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D25E23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65</w:t>
            </w:r>
          </w:p>
        </w:tc>
        <w:tc>
          <w:tcPr>
            <w:tcW w:w="1982" w:type="pct"/>
            <w:shd w:val="clear" w:color="auto" w:fill="auto"/>
            <w:vAlign w:val="center"/>
          </w:tcPr>
          <w:p w14:paraId="4163872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小站医院</w:t>
            </w:r>
          </w:p>
        </w:tc>
        <w:tc>
          <w:tcPr>
            <w:tcW w:w="732" w:type="pct"/>
            <w:shd w:val="clear" w:color="auto" w:fill="auto"/>
            <w:vAlign w:val="center"/>
          </w:tcPr>
          <w:p w14:paraId="2243FD9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56371D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3632</w:t>
            </w:r>
          </w:p>
        </w:tc>
        <w:tc>
          <w:tcPr>
            <w:tcW w:w="596" w:type="pct"/>
            <w:shd w:val="clear" w:color="auto" w:fill="auto"/>
            <w:noWrap/>
            <w:vAlign w:val="center"/>
          </w:tcPr>
          <w:p w14:paraId="731296C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2B30069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652</w:t>
            </w:r>
          </w:p>
        </w:tc>
      </w:tr>
      <w:tr w14:paraId="735C59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68D85C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66</w:t>
            </w:r>
          </w:p>
        </w:tc>
        <w:tc>
          <w:tcPr>
            <w:tcW w:w="1982" w:type="pct"/>
            <w:shd w:val="clear" w:color="auto" w:fill="auto"/>
            <w:vAlign w:val="center"/>
          </w:tcPr>
          <w:p w14:paraId="2E51BCB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天津津南御惠医院</w:t>
            </w:r>
          </w:p>
        </w:tc>
        <w:tc>
          <w:tcPr>
            <w:tcW w:w="732" w:type="pct"/>
            <w:shd w:val="clear" w:color="auto" w:fill="auto"/>
            <w:vAlign w:val="center"/>
          </w:tcPr>
          <w:p w14:paraId="10C0C25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4DEB8C7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3929</w:t>
            </w:r>
          </w:p>
        </w:tc>
        <w:tc>
          <w:tcPr>
            <w:tcW w:w="596" w:type="pct"/>
            <w:shd w:val="clear" w:color="auto" w:fill="auto"/>
            <w:noWrap/>
            <w:vAlign w:val="center"/>
          </w:tcPr>
          <w:p w14:paraId="6078B8C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1255745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652</w:t>
            </w:r>
          </w:p>
        </w:tc>
      </w:tr>
      <w:tr w14:paraId="275CAC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8DB1EA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67</w:t>
            </w:r>
          </w:p>
        </w:tc>
        <w:tc>
          <w:tcPr>
            <w:tcW w:w="1982" w:type="pct"/>
            <w:shd w:val="clear" w:color="auto" w:fill="auto"/>
            <w:vAlign w:val="center"/>
          </w:tcPr>
          <w:p w14:paraId="493345A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小站镇卫生院</w:t>
            </w:r>
          </w:p>
        </w:tc>
        <w:tc>
          <w:tcPr>
            <w:tcW w:w="732" w:type="pct"/>
            <w:shd w:val="clear" w:color="auto" w:fill="auto"/>
            <w:vAlign w:val="center"/>
          </w:tcPr>
          <w:p w14:paraId="4F03195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44EFEF0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3998</w:t>
            </w:r>
          </w:p>
        </w:tc>
        <w:tc>
          <w:tcPr>
            <w:tcW w:w="596" w:type="pct"/>
            <w:shd w:val="clear" w:color="auto" w:fill="auto"/>
            <w:noWrap/>
            <w:vAlign w:val="center"/>
          </w:tcPr>
          <w:p w14:paraId="43B0CF6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7110AA2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842</w:t>
            </w:r>
          </w:p>
        </w:tc>
      </w:tr>
      <w:tr w14:paraId="187819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94A016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68</w:t>
            </w:r>
          </w:p>
        </w:tc>
        <w:tc>
          <w:tcPr>
            <w:tcW w:w="1982" w:type="pct"/>
            <w:shd w:val="clear" w:color="auto" w:fill="auto"/>
            <w:vAlign w:val="center"/>
          </w:tcPr>
          <w:p w14:paraId="1725801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宝业馨苑卫生室</w:t>
            </w:r>
          </w:p>
        </w:tc>
        <w:tc>
          <w:tcPr>
            <w:tcW w:w="732" w:type="pct"/>
            <w:shd w:val="clear" w:color="auto" w:fill="auto"/>
            <w:vAlign w:val="center"/>
          </w:tcPr>
          <w:p w14:paraId="14AF2BB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F2C40D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4367</w:t>
            </w:r>
          </w:p>
        </w:tc>
        <w:tc>
          <w:tcPr>
            <w:tcW w:w="596" w:type="pct"/>
            <w:shd w:val="clear" w:color="auto" w:fill="auto"/>
            <w:noWrap/>
            <w:vAlign w:val="center"/>
          </w:tcPr>
          <w:p w14:paraId="7FC0C85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21D2364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120</w:t>
            </w:r>
          </w:p>
        </w:tc>
      </w:tr>
      <w:tr w14:paraId="034560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26EA57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69</w:t>
            </w:r>
          </w:p>
        </w:tc>
        <w:tc>
          <w:tcPr>
            <w:tcW w:w="1982" w:type="pct"/>
            <w:shd w:val="clear" w:color="auto" w:fill="auto"/>
            <w:vAlign w:val="center"/>
          </w:tcPr>
          <w:p w14:paraId="79CDA20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天津市津南区颐养院</w:t>
            </w:r>
          </w:p>
        </w:tc>
        <w:tc>
          <w:tcPr>
            <w:tcW w:w="732" w:type="pct"/>
            <w:shd w:val="clear" w:color="auto" w:fill="auto"/>
            <w:vAlign w:val="center"/>
          </w:tcPr>
          <w:p w14:paraId="60CF1AA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43D4BA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4122</w:t>
            </w:r>
          </w:p>
        </w:tc>
        <w:tc>
          <w:tcPr>
            <w:tcW w:w="596" w:type="pct"/>
            <w:shd w:val="clear" w:color="auto" w:fill="auto"/>
            <w:noWrap/>
            <w:vAlign w:val="center"/>
          </w:tcPr>
          <w:p w14:paraId="3E8C5C9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29C8468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74FCE4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7A0BE6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70</w:t>
            </w:r>
          </w:p>
        </w:tc>
        <w:tc>
          <w:tcPr>
            <w:tcW w:w="1982" w:type="pct"/>
            <w:shd w:val="clear" w:color="auto" w:fill="auto"/>
            <w:vAlign w:val="center"/>
          </w:tcPr>
          <w:p w14:paraId="0CB4FB9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天津市津南医院</w:t>
            </w:r>
          </w:p>
        </w:tc>
        <w:tc>
          <w:tcPr>
            <w:tcW w:w="732" w:type="pct"/>
            <w:shd w:val="clear" w:color="auto" w:fill="auto"/>
            <w:vAlign w:val="center"/>
          </w:tcPr>
          <w:p w14:paraId="1623B01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227F21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4287</w:t>
            </w:r>
          </w:p>
        </w:tc>
        <w:tc>
          <w:tcPr>
            <w:tcW w:w="596" w:type="pct"/>
            <w:shd w:val="clear" w:color="auto" w:fill="auto"/>
            <w:noWrap/>
            <w:vAlign w:val="center"/>
          </w:tcPr>
          <w:p w14:paraId="018061D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353608D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754</w:t>
            </w:r>
          </w:p>
        </w:tc>
      </w:tr>
      <w:tr w14:paraId="1DD303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4DC14B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71</w:t>
            </w:r>
          </w:p>
        </w:tc>
        <w:tc>
          <w:tcPr>
            <w:tcW w:w="1982" w:type="pct"/>
            <w:shd w:val="clear" w:color="auto" w:fill="auto"/>
            <w:vAlign w:val="center"/>
          </w:tcPr>
          <w:p w14:paraId="2A13D4C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项氏正骨</w:t>
            </w:r>
          </w:p>
        </w:tc>
        <w:tc>
          <w:tcPr>
            <w:tcW w:w="732" w:type="pct"/>
            <w:shd w:val="clear" w:color="auto" w:fill="auto"/>
            <w:vAlign w:val="center"/>
          </w:tcPr>
          <w:p w14:paraId="55D77CE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46DFD89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4876</w:t>
            </w:r>
          </w:p>
        </w:tc>
        <w:tc>
          <w:tcPr>
            <w:tcW w:w="596" w:type="pct"/>
            <w:shd w:val="clear" w:color="auto" w:fill="auto"/>
            <w:noWrap/>
            <w:vAlign w:val="center"/>
          </w:tcPr>
          <w:p w14:paraId="148468C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36B3766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70</w:t>
            </w:r>
          </w:p>
        </w:tc>
      </w:tr>
      <w:tr w14:paraId="589F1C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34A43C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72</w:t>
            </w:r>
          </w:p>
        </w:tc>
        <w:tc>
          <w:tcPr>
            <w:tcW w:w="1982" w:type="pct"/>
            <w:shd w:val="clear" w:color="auto" w:fill="auto"/>
            <w:vAlign w:val="center"/>
          </w:tcPr>
          <w:p w14:paraId="131741B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天津市津南区精神卫生中心</w:t>
            </w:r>
          </w:p>
        </w:tc>
        <w:tc>
          <w:tcPr>
            <w:tcW w:w="732" w:type="pct"/>
            <w:shd w:val="clear" w:color="auto" w:fill="auto"/>
            <w:vAlign w:val="center"/>
          </w:tcPr>
          <w:p w14:paraId="7E40350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003F7F4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4458</w:t>
            </w:r>
          </w:p>
        </w:tc>
        <w:tc>
          <w:tcPr>
            <w:tcW w:w="596" w:type="pct"/>
            <w:shd w:val="clear" w:color="auto" w:fill="auto"/>
            <w:noWrap/>
            <w:vAlign w:val="center"/>
          </w:tcPr>
          <w:p w14:paraId="1F02749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3C3F049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985</w:t>
            </w:r>
          </w:p>
        </w:tc>
      </w:tr>
      <w:tr w14:paraId="2652A8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B1E9EB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73</w:t>
            </w:r>
          </w:p>
        </w:tc>
        <w:tc>
          <w:tcPr>
            <w:tcW w:w="1982" w:type="pct"/>
            <w:shd w:val="clear" w:color="auto" w:fill="auto"/>
            <w:vAlign w:val="center"/>
          </w:tcPr>
          <w:p w14:paraId="10BB5EF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金悦社区老年日间照料服务中心</w:t>
            </w:r>
          </w:p>
        </w:tc>
        <w:tc>
          <w:tcPr>
            <w:tcW w:w="732" w:type="pct"/>
            <w:shd w:val="clear" w:color="auto" w:fill="auto"/>
            <w:vAlign w:val="center"/>
          </w:tcPr>
          <w:p w14:paraId="7F381CF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26BD63F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4796</w:t>
            </w:r>
          </w:p>
        </w:tc>
        <w:tc>
          <w:tcPr>
            <w:tcW w:w="596" w:type="pct"/>
            <w:shd w:val="clear" w:color="auto" w:fill="auto"/>
            <w:noWrap/>
            <w:vAlign w:val="center"/>
          </w:tcPr>
          <w:p w14:paraId="4AB0C1F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7A0ED6C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245</w:t>
            </w:r>
          </w:p>
        </w:tc>
      </w:tr>
      <w:tr w14:paraId="74997A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C1BC03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74</w:t>
            </w:r>
          </w:p>
        </w:tc>
        <w:tc>
          <w:tcPr>
            <w:tcW w:w="1982" w:type="pct"/>
            <w:shd w:val="clear" w:color="auto" w:fill="auto"/>
            <w:vAlign w:val="center"/>
          </w:tcPr>
          <w:p w14:paraId="5FAAD44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社区医疗卫生服务站</w:t>
            </w:r>
          </w:p>
        </w:tc>
        <w:tc>
          <w:tcPr>
            <w:tcW w:w="732" w:type="pct"/>
            <w:shd w:val="clear" w:color="auto" w:fill="auto"/>
            <w:vAlign w:val="center"/>
          </w:tcPr>
          <w:p w14:paraId="379D914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2DA946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4852</w:t>
            </w:r>
          </w:p>
        </w:tc>
        <w:tc>
          <w:tcPr>
            <w:tcW w:w="596" w:type="pct"/>
            <w:shd w:val="clear" w:color="auto" w:fill="auto"/>
            <w:noWrap/>
            <w:vAlign w:val="center"/>
          </w:tcPr>
          <w:p w14:paraId="067BFDD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5DC5494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60B30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EF2841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75</w:t>
            </w:r>
          </w:p>
        </w:tc>
        <w:tc>
          <w:tcPr>
            <w:tcW w:w="1982" w:type="pct"/>
            <w:shd w:val="clear" w:color="auto" w:fill="auto"/>
            <w:vAlign w:val="center"/>
          </w:tcPr>
          <w:p w14:paraId="78C361B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北闸口镇卫生院</w:t>
            </w:r>
          </w:p>
        </w:tc>
        <w:tc>
          <w:tcPr>
            <w:tcW w:w="732" w:type="pct"/>
            <w:shd w:val="clear" w:color="auto" w:fill="auto"/>
            <w:vAlign w:val="center"/>
          </w:tcPr>
          <w:p w14:paraId="7A889C1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65DA27C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1215</w:t>
            </w:r>
          </w:p>
        </w:tc>
        <w:tc>
          <w:tcPr>
            <w:tcW w:w="596" w:type="pct"/>
            <w:shd w:val="clear" w:color="auto" w:fill="auto"/>
            <w:noWrap/>
            <w:vAlign w:val="center"/>
          </w:tcPr>
          <w:p w14:paraId="7D35DBE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164142F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658</w:t>
            </w:r>
          </w:p>
        </w:tc>
      </w:tr>
      <w:tr w14:paraId="64A080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EB600A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76</w:t>
            </w:r>
          </w:p>
        </w:tc>
        <w:tc>
          <w:tcPr>
            <w:tcW w:w="1982" w:type="pct"/>
            <w:shd w:val="clear" w:color="auto" w:fill="auto"/>
            <w:vAlign w:val="center"/>
          </w:tcPr>
          <w:p w14:paraId="37431F5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天津津南博能康复医疗中心</w:t>
            </w:r>
          </w:p>
        </w:tc>
        <w:tc>
          <w:tcPr>
            <w:tcW w:w="732" w:type="pct"/>
            <w:shd w:val="clear" w:color="auto" w:fill="auto"/>
            <w:vAlign w:val="center"/>
          </w:tcPr>
          <w:p w14:paraId="25163A4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0C772D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4121</w:t>
            </w:r>
          </w:p>
        </w:tc>
        <w:tc>
          <w:tcPr>
            <w:tcW w:w="596" w:type="pct"/>
            <w:shd w:val="clear" w:color="auto" w:fill="auto"/>
            <w:noWrap/>
            <w:vAlign w:val="center"/>
          </w:tcPr>
          <w:p w14:paraId="5E8C836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4F9A118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452</w:t>
            </w:r>
          </w:p>
        </w:tc>
      </w:tr>
      <w:tr w14:paraId="7402D3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C7086B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77</w:t>
            </w:r>
          </w:p>
        </w:tc>
        <w:tc>
          <w:tcPr>
            <w:tcW w:w="1982" w:type="pct"/>
            <w:shd w:val="clear" w:color="auto" w:fill="auto"/>
            <w:vAlign w:val="center"/>
          </w:tcPr>
          <w:p w14:paraId="03EE525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北义刘大夫卫生所</w:t>
            </w:r>
          </w:p>
        </w:tc>
        <w:tc>
          <w:tcPr>
            <w:tcW w:w="732" w:type="pct"/>
            <w:shd w:val="clear" w:color="auto" w:fill="auto"/>
            <w:vAlign w:val="center"/>
          </w:tcPr>
          <w:p w14:paraId="68D8838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553AC24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3877</w:t>
            </w:r>
          </w:p>
        </w:tc>
        <w:tc>
          <w:tcPr>
            <w:tcW w:w="596" w:type="pct"/>
            <w:shd w:val="clear" w:color="auto" w:fill="auto"/>
            <w:noWrap/>
            <w:vAlign w:val="center"/>
          </w:tcPr>
          <w:p w14:paraId="4A3C481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医院</w:t>
            </w:r>
          </w:p>
        </w:tc>
        <w:tc>
          <w:tcPr>
            <w:tcW w:w="580" w:type="pct"/>
            <w:shd w:val="clear" w:color="auto" w:fill="auto"/>
            <w:noWrap/>
            <w:vAlign w:val="center"/>
          </w:tcPr>
          <w:p w14:paraId="05A708A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462</w:t>
            </w:r>
          </w:p>
        </w:tc>
      </w:tr>
      <w:tr w14:paraId="78D0CB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B7E1B8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78</w:t>
            </w:r>
          </w:p>
        </w:tc>
        <w:tc>
          <w:tcPr>
            <w:tcW w:w="1982" w:type="pct"/>
            <w:shd w:val="clear" w:color="auto" w:fill="auto"/>
            <w:vAlign w:val="center"/>
          </w:tcPr>
          <w:p w14:paraId="1FF3326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福堤园</w:t>
            </w:r>
          </w:p>
        </w:tc>
        <w:tc>
          <w:tcPr>
            <w:tcW w:w="732" w:type="pct"/>
            <w:shd w:val="clear" w:color="auto" w:fill="auto"/>
            <w:vAlign w:val="center"/>
          </w:tcPr>
          <w:p w14:paraId="4FE19F3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1DA6D0B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3604</w:t>
            </w:r>
          </w:p>
        </w:tc>
        <w:tc>
          <w:tcPr>
            <w:tcW w:w="596" w:type="pct"/>
            <w:shd w:val="clear" w:color="auto" w:fill="auto"/>
            <w:noWrap/>
            <w:vAlign w:val="center"/>
          </w:tcPr>
          <w:p w14:paraId="23A2938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F01F2E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854</w:t>
            </w:r>
          </w:p>
        </w:tc>
      </w:tr>
      <w:tr w14:paraId="5E6191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D0F8B2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79</w:t>
            </w:r>
          </w:p>
        </w:tc>
        <w:tc>
          <w:tcPr>
            <w:tcW w:w="1982" w:type="pct"/>
            <w:shd w:val="clear" w:color="auto" w:fill="auto"/>
            <w:vAlign w:val="center"/>
          </w:tcPr>
          <w:p w14:paraId="585B846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兆和园</w:t>
            </w:r>
          </w:p>
        </w:tc>
        <w:tc>
          <w:tcPr>
            <w:tcW w:w="732" w:type="pct"/>
            <w:shd w:val="clear" w:color="auto" w:fill="auto"/>
            <w:vAlign w:val="center"/>
          </w:tcPr>
          <w:p w14:paraId="49F461A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F52260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4508</w:t>
            </w:r>
          </w:p>
        </w:tc>
        <w:tc>
          <w:tcPr>
            <w:tcW w:w="596" w:type="pct"/>
            <w:shd w:val="clear" w:color="auto" w:fill="auto"/>
            <w:noWrap/>
            <w:vAlign w:val="center"/>
          </w:tcPr>
          <w:p w14:paraId="4D89611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A5D751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2046</w:t>
            </w:r>
          </w:p>
        </w:tc>
      </w:tr>
      <w:tr w14:paraId="6D0408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013F00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80</w:t>
            </w:r>
          </w:p>
        </w:tc>
        <w:tc>
          <w:tcPr>
            <w:tcW w:w="1982" w:type="pct"/>
            <w:shd w:val="clear" w:color="auto" w:fill="auto"/>
            <w:vAlign w:val="center"/>
          </w:tcPr>
          <w:p w14:paraId="77EC7E6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信和园</w:t>
            </w:r>
          </w:p>
        </w:tc>
        <w:tc>
          <w:tcPr>
            <w:tcW w:w="732" w:type="pct"/>
            <w:shd w:val="clear" w:color="auto" w:fill="auto"/>
            <w:vAlign w:val="center"/>
          </w:tcPr>
          <w:p w14:paraId="46B94BC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4D9C9A3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4602</w:t>
            </w:r>
          </w:p>
        </w:tc>
        <w:tc>
          <w:tcPr>
            <w:tcW w:w="596" w:type="pct"/>
            <w:shd w:val="clear" w:color="auto" w:fill="auto"/>
            <w:noWrap/>
            <w:vAlign w:val="center"/>
          </w:tcPr>
          <w:p w14:paraId="0BD4D4B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EF08AA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1536</w:t>
            </w:r>
          </w:p>
        </w:tc>
      </w:tr>
      <w:tr w14:paraId="7DC626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EBE5CF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81</w:t>
            </w:r>
          </w:p>
        </w:tc>
        <w:tc>
          <w:tcPr>
            <w:tcW w:w="1982" w:type="pct"/>
            <w:shd w:val="clear" w:color="auto" w:fill="auto"/>
            <w:vAlign w:val="center"/>
          </w:tcPr>
          <w:p w14:paraId="7800589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普明南里</w:t>
            </w:r>
          </w:p>
        </w:tc>
        <w:tc>
          <w:tcPr>
            <w:tcW w:w="732" w:type="pct"/>
            <w:shd w:val="clear" w:color="auto" w:fill="auto"/>
            <w:vAlign w:val="center"/>
          </w:tcPr>
          <w:p w14:paraId="4053D7A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6B83DA4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4739</w:t>
            </w:r>
          </w:p>
        </w:tc>
        <w:tc>
          <w:tcPr>
            <w:tcW w:w="596" w:type="pct"/>
            <w:shd w:val="clear" w:color="auto" w:fill="auto"/>
            <w:noWrap/>
            <w:vAlign w:val="center"/>
          </w:tcPr>
          <w:p w14:paraId="3C59EF1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1365E2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840</w:t>
            </w:r>
          </w:p>
        </w:tc>
      </w:tr>
      <w:tr w14:paraId="5B069B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5B4694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82</w:t>
            </w:r>
          </w:p>
        </w:tc>
        <w:tc>
          <w:tcPr>
            <w:tcW w:w="1982" w:type="pct"/>
            <w:shd w:val="clear" w:color="auto" w:fill="auto"/>
            <w:vAlign w:val="center"/>
          </w:tcPr>
          <w:p w14:paraId="653811F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龙湖·紫宸</w:t>
            </w:r>
          </w:p>
        </w:tc>
        <w:tc>
          <w:tcPr>
            <w:tcW w:w="732" w:type="pct"/>
            <w:shd w:val="clear" w:color="auto" w:fill="auto"/>
            <w:vAlign w:val="center"/>
          </w:tcPr>
          <w:p w14:paraId="3316725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F2D819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3956</w:t>
            </w:r>
          </w:p>
        </w:tc>
        <w:tc>
          <w:tcPr>
            <w:tcW w:w="596" w:type="pct"/>
            <w:shd w:val="clear" w:color="auto" w:fill="auto"/>
            <w:noWrap/>
            <w:vAlign w:val="center"/>
          </w:tcPr>
          <w:p w14:paraId="0FD1861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411696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4052</w:t>
            </w:r>
          </w:p>
        </w:tc>
      </w:tr>
      <w:tr w14:paraId="3AE88C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78FC38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83</w:t>
            </w:r>
          </w:p>
        </w:tc>
        <w:tc>
          <w:tcPr>
            <w:tcW w:w="1982" w:type="pct"/>
            <w:shd w:val="clear" w:color="auto" w:fill="auto"/>
            <w:vAlign w:val="center"/>
          </w:tcPr>
          <w:p w14:paraId="514CA69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芙蓉公馆(建设中)</w:t>
            </w:r>
          </w:p>
        </w:tc>
        <w:tc>
          <w:tcPr>
            <w:tcW w:w="732" w:type="pct"/>
            <w:shd w:val="clear" w:color="auto" w:fill="auto"/>
            <w:vAlign w:val="center"/>
          </w:tcPr>
          <w:p w14:paraId="049F266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6890FE7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2362</w:t>
            </w:r>
          </w:p>
        </w:tc>
        <w:tc>
          <w:tcPr>
            <w:tcW w:w="596" w:type="pct"/>
            <w:shd w:val="clear" w:color="auto" w:fill="auto"/>
            <w:noWrap/>
            <w:vAlign w:val="center"/>
          </w:tcPr>
          <w:p w14:paraId="1D7E9B7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D1E9FE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1108</w:t>
            </w:r>
          </w:p>
        </w:tc>
      </w:tr>
      <w:tr w14:paraId="470565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66D627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84</w:t>
            </w:r>
          </w:p>
        </w:tc>
        <w:tc>
          <w:tcPr>
            <w:tcW w:w="1982" w:type="pct"/>
            <w:shd w:val="clear" w:color="auto" w:fill="auto"/>
            <w:vAlign w:val="center"/>
          </w:tcPr>
          <w:p w14:paraId="2D66731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天地源欧筑1898尚智园</w:t>
            </w:r>
          </w:p>
        </w:tc>
        <w:tc>
          <w:tcPr>
            <w:tcW w:w="732" w:type="pct"/>
            <w:shd w:val="clear" w:color="auto" w:fill="auto"/>
            <w:vAlign w:val="center"/>
          </w:tcPr>
          <w:p w14:paraId="4E597A9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59BFDE4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670</w:t>
            </w:r>
          </w:p>
        </w:tc>
        <w:tc>
          <w:tcPr>
            <w:tcW w:w="596" w:type="pct"/>
            <w:shd w:val="clear" w:color="auto" w:fill="auto"/>
            <w:noWrap/>
            <w:vAlign w:val="center"/>
          </w:tcPr>
          <w:p w14:paraId="30BEF5D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8EA7E8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2524</w:t>
            </w:r>
          </w:p>
        </w:tc>
      </w:tr>
      <w:tr w14:paraId="39C434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52211E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85</w:t>
            </w:r>
          </w:p>
        </w:tc>
        <w:tc>
          <w:tcPr>
            <w:tcW w:w="1982" w:type="pct"/>
            <w:shd w:val="clear" w:color="auto" w:fill="auto"/>
            <w:vAlign w:val="center"/>
          </w:tcPr>
          <w:p w14:paraId="77148D7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道科国际</w:t>
            </w:r>
          </w:p>
        </w:tc>
        <w:tc>
          <w:tcPr>
            <w:tcW w:w="732" w:type="pct"/>
            <w:shd w:val="clear" w:color="auto" w:fill="auto"/>
            <w:vAlign w:val="center"/>
          </w:tcPr>
          <w:p w14:paraId="6A853A2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41484C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3787</w:t>
            </w:r>
          </w:p>
        </w:tc>
        <w:tc>
          <w:tcPr>
            <w:tcW w:w="596" w:type="pct"/>
            <w:shd w:val="clear" w:color="auto" w:fill="auto"/>
            <w:noWrap/>
            <w:vAlign w:val="center"/>
          </w:tcPr>
          <w:p w14:paraId="72363F8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630D0B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743</w:t>
            </w:r>
          </w:p>
        </w:tc>
      </w:tr>
      <w:tr w14:paraId="2C2BD1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721F6C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86</w:t>
            </w:r>
          </w:p>
        </w:tc>
        <w:tc>
          <w:tcPr>
            <w:tcW w:w="1982" w:type="pct"/>
            <w:shd w:val="clear" w:color="auto" w:fill="auto"/>
            <w:vAlign w:val="center"/>
          </w:tcPr>
          <w:p w14:paraId="2D04B7B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天地源·津九轩</w:t>
            </w:r>
          </w:p>
        </w:tc>
        <w:tc>
          <w:tcPr>
            <w:tcW w:w="732" w:type="pct"/>
            <w:shd w:val="clear" w:color="auto" w:fill="auto"/>
            <w:vAlign w:val="center"/>
          </w:tcPr>
          <w:p w14:paraId="29089A4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4A139BD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4501</w:t>
            </w:r>
          </w:p>
        </w:tc>
        <w:tc>
          <w:tcPr>
            <w:tcW w:w="596" w:type="pct"/>
            <w:shd w:val="clear" w:color="auto" w:fill="auto"/>
            <w:noWrap/>
            <w:vAlign w:val="center"/>
          </w:tcPr>
          <w:p w14:paraId="6D4E5F3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2A7D88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853</w:t>
            </w:r>
          </w:p>
        </w:tc>
      </w:tr>
      <w:tr w14:paraId="663E68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80FDB9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87</w:t>
            </w:r>
          </w:p>
        </w:tc>
        <w:tc>
          <w:tcPr>
            <w:tcW w:w="1982" w:type="pct"/>
            <w:shd w:val="clear" w:color="auto" w:fill="auto"/>
            <w:vAlign w:val="center"/>
          </w:tcPr>
          <w:p w14:paraId="0368C28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和盛里</w:t>
            </w:r>
          </w:p>
        </w:tc>
        <w:tc>
          <w:tcPr>
            <w:tcW w:w="732" w:type="pct"/>
            <w:shd w:val="clear" w:color="auto" w:fill="auto"/>
            <w:vAlign w:val="center"/>
          </w:tcPr>
          <w:p w14:paraId="64FC244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380903E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1154</w:t>
            </w:r>
          </w:p>
        </w:tc>
        <w:tc>
          <w:tcPr>
            <w:tcW w:w="596" w:type="pct"/>
            <w:shd w:val="clear" w:color="auto" w:fill="auto"/>
            <w:noWrap/>
            <w:vAlign w:val="center"/>
          </w:tcPr>
          <w:p w14:paraId="4CE7604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3664A5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3D4581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34E57A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88</w:t>
            </w:r>
          </w:p>
        </w:tc>
        <w:tc>
          <w:tcPr>
            <w:tcW w:w="1982" w:type="pct"/>
            <w:shd w:val="clear" w:color="auto" w:fill="auto"/>
            <w:vAlign w:val="center"/>
          </w:tcPr>
          <w:p w14:paraId="6F86504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龙居园</w:t>
            </w:r>
          </w:p>
        </w:tc>
        <w:tc>
          <w:tcPr>
            <w:tcW w:w="732" w:type="pct"/>
            <w:shd w:val="clear" w:color="auto" w:fill="auto"/>
            <w:vAlign w:val="center"/>
          </w:tcPr>
          <w:p w14:paraId="0EC38C9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7EF6508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4857</w:t>
            </w:r>
          </w:p>
        </w:tc>
        <w:tc>
          <w:tcPr>
            <w:tcW w:w="596" w:type="pct"/>
            <w:shd w:val="clear" w:color="auto" w:fill="auto"/>
            <w:noWrap/>
            <w:vAlign w:val="center"/>
          </w:tcPr>
          <w:p w14:paraId="4A7B4D2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74C181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1685</w:t>
            </w:r>
          </w:p>
        </w:tc>
      </w:tr>
      <w:tr w14:paraId="05217A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E768C6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89</w:t>
            </w:r>
          </w:p>
        </w:tc>
        <w:tc>
          <w:tcPr>
            <w:tcW w:w="1982" w:type="pct"/>
            <w:shd w:val="clear" w:color="auto" w:fill="auto"/>
            <w:vAlign w:val="center"/>
          </w:tcPr>
          <w:p w14:paraId="14F5099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天北里</w:t>
            </w:r>
          </w:p>
        </w:tc>
        <w:tc>
          <w:tcPr>
            <w:tcW w:w="732" w:type="pct"/>
            <w:shd w:val="clear" w:color="auto" w:fill="auto"/>
            <w:vAlign w:val="center"/>
          </w:tcPr>
          <w:p w14:paraId="177E765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698FE60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3682</w:t>
            </w:r>
          </w:p>
        </w:tc>
        <w:tc>
          <w:tcPr>
            <w:tcW w:w="596" w:type="pct"/>
            <w:shd w:val="clear" w:color="auto" w:fill="auto"/>
            <w:noWrap/>
            <w:vAlign w:val="center"/>
          </w:tcPr>
          <w:p w14:paraId="5078EB1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9DED86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1045</w:t>
            </w:r>
          </w:p>
        </w:tc>
      </w:tr>
      <w:tr w14:paraId="006160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06A52B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90</w:t>
            </w:r>
          </w:p>
        </w:tc>
        <w:tc>
          <w:tcPr>
            <w:tcW w:w="1982" w:type="pct"/>
            <w:shd w:val="clear" w:color="auto" w:fill="auto"/>
            <w:vAlign w:val="center"/>
          </w:tcPr>
          <w:p w14:paraId="39F3593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吕坨子3区</w:t>
            </w:r>
          </w:p>
        </w:tc>
        <w:tc>
          <w:tcPr>
            <w:tcW w:w="732" w:type="pct"/>
            <w:shd w:val="clear" w:color="auto" w:fill="auto"/>
            <w:vAlign w:val="center"/>
          </w:tcPr>
          <w:p w14:paraId="47B1A79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0577DA5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2386</w:t>
            </w:r>
          </w:p>
        </w:tc>
        <w:tc>
          <w:tcPr>
            <w:tcW w:w="596" w:type="pct"/>
            <w:shd w:val="clear" w:color="auto" w:fill="auto"/>
            <w:noWrap/>
            <w:vAlign w:val="center"/>
          </w:tcPr>
          <w:p w14:paraId="6200578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22AD60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7C327F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2D109A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91</w:t>
            </w:r>
          </w:p>
        </w:tc>
        <w:tc>
          <w:tcPr>
            <w:tcW w:w="1982" w:type="pct"/>
            <w:shd w:val="clear" w:color="auto" w:fill="auto"/>
            <w:vAlign w:val="center"/>
          </w:tcPr>
          <w:p w14:paraId="186CB23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润淼佳苑</w:t>
            </w:r>
          </w:p>
        </w:tc>
        <w:tc>
          <w:tcPr>
            <w:tcW w:w="732" w:type="pct"/>
            <w:shd w:val="clear" w:color="auto" w:fill="auto"/>
            <w:vAlign w:val="center"/>
          </w:tcPr>
          <w:p w14:paraId="1CFE19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5B21AFC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4347</w:t>
            </w:r>
          </w:p>
        </w:tc>
        <w:tc>
          <w:tcPr>
            <w:tcW w:w="596" w:type="pct"/>
            <w:shd w:val="clear" w:color="auto" w:fill="auto"/>
            <w:noWrap/>
            <w:vAlign w:val="center"/>
          </w:tcPr>
          <w:p w14:paraId="36614EF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E1E51B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1685</w:t>
            </w:r>
          </w:p>
        </w:tc>
      </w:tr>
      <w:tr w14:paraId="719C23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852220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92</w:t>
            </w:r>
          </w:p>
        </w:tc>
        <w:tc>
          <w:tcPr>
            <w:tcW w:w="1982" w:type="pct"/>
            <w:shd w:val="clear" w:color="auto" w:fill="auto"/>
            <w:vAlign w:val="center"/>
          </w:tcPr>
          <w:p w14:paraId="41F10A6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通安里</w:t>
            </w:r>
          </w:p>
        </w:tc>
        <w:tc>
          <w:tcPr>
            <w:tcW w:w="732" w:type="pct"/>
            <w:shd w:val="clear" w:color="auto" w:fill="auto"/>
            <w:vAlign w:val="center"/>
          </w:tcPr>
          <w:p w14:paraId="5728649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43A89D0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865</w:t>
            </w:r>
          </w:p>
        </w:tc>
        <w:tc>
          <w:tcPr>
            <w:tcW w:w="596" w:type="pct"/>
            <w:shd w:val="clear" w:color="auto" w:fill="auto"/>
            <w:noWrap/>
            <w:vAlign w:val="center"/>
          </w:tcPr>
          <w:p w14:paraId="369DB02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A7C678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4A6D17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E0A923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93</w:t>
            </w:r>
          </w:p>
        </w:tc>
        <w:tc>
          <w:tcPr>
            <w:tcW w:w="1982" w:type="pct"/>
            <w:shd w:val="clear" w:color="auto" w:fill="auto"/>
            <w:vAlign w:val="center"/>
          </w:tcPr>
          <w:p w14:paraId="4698CC3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吕坨子6区</w:t>
            </w:r>
          </w:p>
        </w:tc>
        <w:tc>
          <w:tcPr>
            <w:tcW w:w="732" w:type="pct"/>
            <w:shd w:val="clear" w:color="auto" w:fill="auto"/>
            <w:vAlign w:val="center"/>
          </w:tcPr>
          <w:p w14:paraId="6EDEE0D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7765C01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2089</w:t>
            </w:r>
          </w:p>
        </w:tc>
        <w:tc>
          <w:tcPr>
            <w:tcW w:w="596" w:type="pct"/>
            <w:shd w:val="clear" w:color="auto" w:fill="auto"/>
            <w:noWrap/>
            <w:vAlign w:val="center"/>
          </w:tcPr>
          <w:p w14:paraId="158861D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C1F5E3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245</w:t>
            </w:r>
          </w:p>
        </w:tc>
      </w:tr>
      <w:tr w14:paraId="04C666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6288F1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94</w:t>
            </w:r>
          </w:p>
        </w:tc>
        <w:tc>
          <w:tcPr>
            <w:tcW w:w="1982" w:type="pct"/>
            <w:shd w:val="clear" w:color="auto" w:fill="auto"/>
            <w:vAlign w:val="center"/>
          </w:tcPr>
          <w:p w14:paraId="6D05F45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天山·水榭花都</w:t>
            </w:r>
          </w:p>
        </w:tc>
        <w:tc>
          <w:tcPr>
            <w:tcW w:w="732" w:type="pct"/>
            <w:shd w:val="clear" w:color="auto" w:fill="auto"/>
            <w:vAlign w:val="center"/>
          </w:tcPr>
          <w:p w14:paraId="187B940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57EADC6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3514</w:t>
            </w:r>
          </w:p>
        </w:tc>
        <w:tc>
          <w:tcPr>
            <w:tcW w:w="596" w:type="pct"/>
            <w:shd w:val="clear" w:color="auto" w:fill="auto"/>
            <w:noWrap/>
            <w:vAlign w:val="center"/>
          </w:tcPr>
          <w:p w14:paraId="68176CE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5B8FCC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658</w:t>
            </w:r>
          </w:p>
        </w:tc>
      </w:tr>
      <w:tr w14:paraId="2DCA73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A68D13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95</w:t>
            </w:r>
          </w:p>
        </w:tc>
        <w:tc>
          <w:tcPr>
            <w:tcW w:w="1982" w:type="pct"/>
            <w:shd w:val="clear" w:color="auto" w:fill="auto"/>
            <w:vAlign w:val="center"/>
          </w:tcPr>
          <w:p w14:paraId="322E3F3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紫淼馨苑</w:t>
            </w:r>
          </w:p>
        </w:tc>
        <w:tc>
          <w:tcPr>
            <w:tcW w:w="732" w:type="pct"/>
            <w:shd w:val="clear" w:color="auto" w:fill="auto"/>
            <w:vAlign w:val="center"/>
          </w:tcPr>
          <w:p w14:paraId="333CB2F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3AAB9E1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4372</w:t>
            </w:r>
          </w:p>
        </w:tc>
        <w:tc>
          <w:tcPr>
            <w:tcW w:w="596" w:type="pct"/>
            <w:shd w:val="clear" w:color="auto" w:fill="auto"/>
            <w:noWrap/>
            <w:vAlign w:val="center"/>
          </w:tcPr>
          <w:p w14:paraId="64DC3D0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01D441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853</w:t>
            </w:r>
          </w:p>
        </w:tc>
      </w:tr>
      <w:tr w14:paraId="46CF77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6FB09F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96</w:t>
            </w:r>
          </w:p>
        </w:tc>
        <w:tc>
          <w:tcPr>
            <w:tcW w:w="1982" w:type="pct"/>
            <w:shd w:val="clear" w:color="auto" w:fill="auto"/>
            <w:vAlign w:val="center"/>
          </w:tcPr>
          <w:p w14:paraId="054735F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康乐职工公寓</w:t>
            </w:r>
          </w:p>
        </w:tc>
        <w:tc>
          <w:tcPr>
            <w:tcW w:w="732" w:type="pct"/>
            <w:shd w:val="clear" w:color="auto" w:fill="auto"/>
            <w:vAlign w:val="center"/>
          </w:tcPr>
          <w:p w14:paraId="7ECFEEF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5923888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3519</w:t>
            </w:r>
          </w:p>
        </w:tc>
        <w:tc>
          <w:tcPr>
            <w:tcW w:w="596" w:type="pct"/>
            <w:shd w:val="clear" w:color="auto" w:fill="auto"/>
            <w:noWrap/>
            <w:vAlign w:val="center"/>
          </w:tcPr>
          <w:p w14:paraId="1A08EAB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D2A732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402</w:t>
            </w:r>
          </w:p>
        </w:tc>
      </w:tr>
      <w:tr w14:paraId="0CDF5B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5BF15B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97</w:t>
            </w:r>
          </w:p>
        </w:tc>
        <w:tc>
          <w:tcPr>
            <w:tcW w:w="1982" w:type="pct"/>
            <w:shd w:val="clear" w:color="auto" w:fill="auto"/>
            <w:vAlign w:val="center"/>
          </w:tcPr>
          <w:p w14:paraId="19A69C8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富兴楼(新兴南路)</w:t>
            </w:r>
          </w:p>
        </w:tc>
        <w:tc>
          <w:tcPr>
            <w:tcW w:w="732" w:type="pct"/>
            <w:shd w:val="clear" w:color="auto" w:fill="auto"/>
            <w:vAlign w:val="center"/>
          </w:tcPr>
          <w:p w14:paraId="12A32E0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20C1F7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4576</w:t>
            </w:r>
          </w:p>
        </w:tc>
        <w:tc>
          <w:tcPr>
            <w:tcW w:w="596" w:type="pct"/>
            <w:shd w:val="clear" w:color="auto" w:fill="auto"/>
            <w:noWrap/>
            <w:vAlign w:val="center"/>
          </w:tcPr>
          <w:p w14:paraId="291E618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E2A1E0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23DFD5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FE7B59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98</w:t>
            </w:r>
          </w:p>
        </w:tc>
        <w:tc>
          <w:tcPr>
            <w:tcW w:w="1982" w:type="pct"/>
            <w:shd w:val="clear" w:color="auto" w:fill="auto"/>
            <w:vAlign w:val="center"/>
          </w:tcPr>
          <w:p w14:paraId="53C99CB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和枫园</w:t>
            </w:r>
          </w:p>
        </w:tc>
        <w:tc>
          <w:tcPr>
            <w:tcW w:w="732" w:type="pct"/>
            <w:shd w:val="clear" w:color="auto" w:fill="auto"/>
            <w:vAlign w:val="center"/>
          </w:tcPr>
          <w:p w14:paraId="68AC282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6128354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4110</w:t>
            </w:r>
          </w:p>
        </w:tc>
        <w:tc>
          <w:tcPr>
            <w:tcW w:w="596" w:type="pct"/>
            <w:shd w:val="clear" w:color="auto" w:fill="auto"/>
            <w:noWrap/>
            <w:vAlign w:val="center"/>
          </w:tcPr>
          <w:p w14:paraId="142C2C8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E6A805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034AA1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5F2B57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99</w:t>
            </w:r>
          </w:p>
        </w:tc>
        <w:tc>
          <w:tcPr>
            <w:tcW w:w="1982" w:type="pct"/>
            <w:shd w:val="clear" w:color="auto" w:fill="auto"/>
            <w:vAlign w:val="center"/>
          </w:tcPr>
          <w:p w14:paraId="038365E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天山·水榭花都怡润轩</w:t>
            </w:r>
          </w:p>
        </w:tc>
        <w:tc>
          <w:tcPr>
            <w:tcW w:w="732" w:type="pct"/>
            <w:shd w:val="clear" w:color="auto" w:fill="auto"/>
            <w:vAlign w:val="center"/>
          </w:tcPr>
          <w:p w14:paraId="7E21BF4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566AD3B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3339</w:t>
            </w:r>
          </w:p>
        </w:tc>
        <w:tc>
          <w:tcPr>
            <w:tcW w:w="596" w:type="pct"/>
            <w:shd w:val="clear" w:color="auto" w:fill="auto"/>
            <w:noWrap/>
            <w:vAlign w:val="center"/>
          </w:tcPr>
          <w:p w14:paraId="491892C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E6B47E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4062</w:t>
            </w:r>
          </w:p>
        </w:tc>
      </w:tr>
      <w:tr w14:paraId="483DB5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FCB63B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100</w:t>
            </w:r>
          </w:p>
        </w:tc>
        <w:tc>
          <w:tcPr>
            <w:tcW w:w="1982" w:type="pct"/>
            <w:shd w:val="clear" w:color="auto" w:fill="auto"/>
            <w:vAlign w:val="center"/>
          </w:tcPr>
          <w:p w14:paraId="160EF9B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众祥园小区</w:t>
            </w:r>
          </w:p>
        </w:tc>
        <w:tc>
          <w:tcPr>
            <w:tcW w:w="732" w:type="pct"/>
            <w:shd w:val="clear" w:color="auto" w:fill="auto"/>
            <w:vAlign w:val="center"/>
          </w:tcPr>
          <w:p w14:paraId="1F4339B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058200D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4952</w:t>
            </w:r>
          </w:p>
        </w:tc>
        <w:tc>
          <w:tcPr>
            <w:tcW w:w="596" w:type="pct"/>
            <w:shd w:val="clear" w:color="auto" w:fill="auto"/>
            <w:noWrap/>
            <w:vAlign w:val="center"/>
          </w:tcPr>
          <w:p w14:paraId="2E69DD3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193035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853</w:t>
            </w:r>
          </w:p>
        </w:tc>
      </w:tr>
      <w:tr w14:paraId="21CB33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652D21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101</w:t>
            </w:r>
          </w:p>
        </w:tc>
        <w:tc>
          <w:tcPr>
            <w:tcW w:w="1982" w:type="pct"/>
            <w:shd w:val="clear" w:color="auto" w:fill="auto"/>
            <w:vAlign w:val="center"/>
          </w:tcPr>
          <w:p w14:paraId="3CE455F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福泽园</w:t>
            </w:r>
          </w:p>
        </w:tc>
        <w:tc>
          <w:tcPr>
            <w:tcW w:w="732" w:type="pct"/>
            <w:shd w:val="clear" w:color="auto" w:fill="auto"/>
            <w:vAlign w:val="center"/>
          </w:tcPr>
          <w:p w14:paraId="65244A3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5F83D56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3805</w:t>
            </w:r>
          </w:p>
        </w:tc>
        <w:tc>
          <w:tcPr>
            <w:tcW w:w="596" w:type="pct"/>
            <w:shd w:val="clear" w:color="auto" w:fill="auto"/>
            <w:noWrap/>
            <w:vAlign w:val="center"/>
          </w:tcPr>
          <w:p w14:paraId="50CF021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7F08E3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953</w:t>
            </w:r>
          </w:p>
        </w:tc>
      </w:tr>
      <w:tr w14:paraId="194A6A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9183AD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102</w:t>
            </w:r>
          </w:p>
        </w:tc>
        <w:tc>
          <w:tcPr>
            <w:tcW w:w="1982" w:type="pct"/>
            <w:shd w:val="clear" w:color="auto" w:fill="auto"/>
            <w:vAlign w:val="center"/>
          </w:tcPr>
          <w:p w14:paraId="09A5CCF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丰达园</w:t>
            </w:r>
          </w:p>
        </w:tc>
        <w:tc>
          <w:tcPr>
            <w:tcW w:w="732" w:type="pct"/>
            <w:shd w:val="clear" w:color="auto" w:fill="auto"/>
            <w:vAlign w:val="center"/>
          </w:tcPr>
          <w:p w14:paraId="0270207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5072F01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4679</w:t>
            </w:r>
          </w:p>
        </w:tc>
        <w:tc>
          <w:tcPr>
            <w:tcW w:w="596" w:type="pct"/>
            <w:shd w:val="clear" w:color="auto" w:fill="auto"/>
            <w:noWrap/>
            <w:vAlign w:val="center"/>
          </w:tcPr>
          <w:p w14:paraId="6B0CDDB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6EFAE6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1953</w:t>
            </w:r>
          </w:p>
        </w:tc>
      </w:tr>
      <w:tr w14:paraId="72BDFD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3CEB5A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103</w:t>
            </w:r>
          </w:p>
        </w:tc>
        <w:tc>
          <w:tcPr>
            <w:tcW w:w="1982" w:type="pct"/>
            <w:shd w:val="clear" w:color="auto" w:fill="auto"/>
            <w:vAlign w:val="center"/>
          </w:tcPr>
          <w:p w14:paraId="03839D9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银信里</w:t>
            </w:r>
          </w:p>
        </w:tc>
        <w:tc>
          <w:tcPr>
            <w:tcW w:w="732" w:type="pct"/>
            <w:shd w:val="clear" w:color="auto" w:fill="auto"/>
            <w:vAlign w:val="center"/>
          </w:tcPr>
          <w:p w14:paraId="6360EC4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4DA4884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4213</w:t>
            </w:r>
          </w:p>
        </w:tc>
        <w:tc>
          <w:tcPr>
            <w:tcW w:w="596" w:type="pct"/>
            <w:shd w:val="clear" w:color="auto" w:fill="auto"/>
            <w:noWrap/>
            <w:vAlign w:val="center"/>
          </w:tcPr>
          <w:p w14:paraId="13652E4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FF66F8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7CA3E4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489C92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104</w:t>
            </w:r>
          </w:p>
        </w:tc>
        <w:tc>
          <w:tcPr>
            <w:tcW w:w="1982" w:type="pct"/>
            <w:shd w:val="clear" w:color="auto" w:fill="auto"/>
            <w:vAlign w:val="center"/>
          </w:tcPr>
          <w:p w14:paraId="050A5E4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鸿泽园</w:t>
            </w:r>
          </w:p>
        </w:tc>
        <w:tc>
          <w:tcPr>
            <w:tcW w:w="732" w:type="pct"/>
            <w:shd w:val="clear" w:color="auto" w:fill="auto"/>
            <w:vAlign w:val="center"/>
          </w:tcPr>
          <w:p w14:paraId="188F9C3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3847734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3712</w:t>
            </w:r>
          </w:p>
        </w:tc>
        <w:tc>
          <w:tcPr>
            <w:tcW w:w="596" w:type="pct"/>
            <w:shd w:val="clear" w:color="auto" w:fill="auto"/>
            <w:noWrap/>
            <w:vAlign w:val="center"/>
          </w:tcPr>
          <w:p w14:paraId="0783AFB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5E6FB3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854</w:t>
            </w:r>
          </w:p>
        </w:tc>
      </w:tr>
      <w:tr w14:paraId="5517EA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56E093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105</w:t>
            </w:r>
          </w:p>
        </w:tc>
        <w:tc>
          <w:tcPr>
            <w:tcW w:w="1982" w:type="pct"/>
            <w:shd w:val="clear" w:color="auto" w:fill="auto"/>
            <w:vAlign w:val="center"/>
          </w:tcPr>
          <w:p w14:paraId="31B9922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紫鼎御苑</w:t>
            </w:r>
          </w:p>
        </w:tc>
        <w:tc>
          <w:tcPr>
            <w:tcW w:w="732" w:type="pct"/>
            <w:shd w:val="clear" w:color="auto" w:fill="auto"/>
            <w:vAlign w:val="center"/>
          </w:tcPr>
          <w:p w14:paraId="33A95E1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28CACD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3575</w:t>
            </w:r>
          </w:p>
        </w:tc>
        <w:tc>
          <w:tcPr>
            <w:tcW w:w="596" w:type="pct"/>
            <w:shd w:val="clear" w:color="auto" w:fill="auto"/>
            <w:noWrap/>
            <w:vAlign w:val="center"/>
          </w:tcPr>
          <w:p w14:paraId="5E6CD79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86A123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652</w:t>
            </w:r>
          </w:p>
        </w:tc>
      </w:tr>
      <w:tr w14:paraId="4D0C9C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2C9ABA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106</w:t>
            </w:r>
          </w:p>
        </w:tc>
        <w:tc>
          <w:tcPr>
            <w:tcW w:w="1982" w:type="pct"/>
            <w:shd w:val="clear" w:color="auto" w:fill="auto"/>
            <w:vAlign w:val="center"/>
          </w:tcPr>
          <w:p w14:paraId="3FDBF75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天山·水榭花都西区</w:t>
            </w:r>
          </w:p>
        </w:tc>
        <w:tc>
          <w:tcPr>
            <w:tcW w:w="732" w:type="pct"/>
            <w:shd w:val="clear" w:color="auto" w:fill="auto"/>
            <w:vAlign w:val="center"/>
          </w:tcPr>
          <w:p w14:paraId="6D39F05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74A8F06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3527</w:t>
            </w:r>
          </w:p>
        </w:tc>
        <w:tc>
          <w:tcPr>
            <w:tcW w:w="596" w:type="pct"/>
            <w:shd w:val="clear" w:color="auto" w:fill="auto"/>
            <w:noWrap/>
            <w:vAlign w:val="center"/>
          </w:tcPr>
          <w:p w14:paraId="029E51F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18951C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953</w:t>
            </w:r>
          </w:p>
        </w:tc>
      </w:tr>
      <w:tr w14:paraId="7E5811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461D33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107</w:t>
            </w:r>
          </w:p>
        </w:tc>
        <w:tc>
          <w:tcPr>
            <w:tcW w:w="1982" w:type="pct"/>
            <w:shd w:val="clear" w:color="auto" w:fill="auto"/>
            <w:vAlign w:val="center"/>
          </w:tcPr>
          <w:p w14:paraId="26B5DCF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慧林园</w:t>
            </w:r>
          </w:p>
        </w:tc>
        <w:tc>
          <w:tcPr>
            <w:tcW w:w="732" w:type="pct"/>
            <w:shd w:val="clear" w:color="auto" w:fill="auto"/>
            <w:vAlign w:val="center"/>
          </w:tcPr>
          <w:p w14:paraId="27237CE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0E0DCF4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4038</w:t>
            </w:r>
          </w:p>
        </w:tc>
        <w:tc>
          <w:tcPr>
            <w:tcW w:w="596" w:type="pct"/>
            <w:shd w:val="clear" w:color="auto" w:fill="auto"/>
            <w:noWrap/>
            <w:vAlign w:val="center"/>
          </w:tcPr>
          <w:p w14:paraId="43F0691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0BFA53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1035</w:t>
            </w:r>
          </w:p>
        </w:tc>
      </w:tr>
      <w:tr w14:paraId="265D3E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003920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108</w:t>
            </w:r>
          </w:p>
        </w:tc>
        <w:tc>
          <w:tcPr>
            <w:tcW w:w="1982" w:type="pct"/>
            <w:shd w:val="clear" w:color="auto" w:fill="auto"/>
            <w:vAlign w:val="center"/>
          </w:tcPr>
          <w:p w14:paraId="55C7530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盛禧园</w:t>
            </w:r>
          </w:p>
        </w:tc>
        <w:tc>
          <w:tcPr>
            <w:tcW w:w="732" w:type="pct"/>
            <w:shd w:val="clear" w:color="auto" w:fill="auto"/>
            <w:vAlign w:val="center"/>
          </w:tcPr>
          <w:p w14:paraId="1CE17DE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4646E1F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4936</w:t>
            </w:r>
          </w:p>
        </w:tc>
        <w:tc>
          <w:tcPr>
            <w:tcW w:w="596" w:type="pct"/>
            <w:shd w:val="clear" w:color="auto" w:fill="auto"/>
            <w:noWrap/>
            <w:vAlign w:val="center"/>
          </w:tcPr>
          <w:p w14:paraId="35587D6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549932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5D36EF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FBFEAA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109</w:t>
            </w:r>
          </w:p>
        </w:tc>
        <w:tc>
          <w:tcPr>
            <w:tcW w:w="1982" w:type="pct"/>
            <w:shd w:val="clear" w:color="auto" w:fill="auto"/>
            <w:vAlign w:val="center"/>
          </w:tcPr>
          <w:p w14:paraId="160E317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荷信苑小区</w:t>
            </w:r>
          </w:p>
        </w:tc>
        <w:tc>
          <w:tcPr>
            <w:tcW w:w="732" w:type="pct"/>
            <w:shd w:val="clear" w:color="auto" w:fill="auto"/>
            <w:vAlign w:val="center"/>
          </w:tcPr>
          <w:p w14:paraId="38472CC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50A2CC2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2849</w:t>
            </w:r>
          </w:p>
        </w:tc>
        <w:tc>
          <w:tcPr>
            <w:tcW w:w="596" w:type="pct"/>
            <w:shd w:val="clear" w:color="auto" w:fill="auto"/>
            <w:noWrap/>
            <w:vAlign w:val="center"/>
          </w:tcPr>
          <w:p w14:paraId="1B12E0A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D74901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37B083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D2E06C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110</w:t>
            </w:r>
          </w:p>
        </w:tc>
        <w:tc>
          <w:tcPr>
            <w:tcW w:w="1982" w:type="pct"/>
            <w:shd w:val="clear" w:color="auto" w:fill="auto"/>
            <w:vAlign w:val="center"/>
          </w:tcPr>
          <w:p w14:paraId="03D8700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福润庭苑</w:t>
            </w:r>
          </w:p>
        </w:tc>
        <w:tc>
          <w:tcPr>
            <w:tcW w:w="732" w:type="pct"/>
            <w:shd w:val="clear" w:color="auto" w:fill="auto"/>
            <w:vAlign w:val="center"/>
          </w:tcPr>
          <w:p w14:paraId="38C6EB8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5CFAD6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3548</w:t>
            </w:r>
          </w:p>
        </w:tc>
        <w:tc>
          <w:tcPr>
            <w:tcW w:w="596" w:type="pct"/>
            <w:shd w:val="clear" w:color="auto" w:fill="auto"/>
            <w:noWrap/>
            <w:vAlign w:val="center"/>
          </w:tcPr>
          <w:p w14:paraId="6B8AD60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A2DF3A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1086</w:t>
            </w:r>
          </w:p>
        </w:tc>
      </w:tr>
      <w:tr w14:paraId="5C49BF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274BFF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111</w:t>
            </w:r>
          </w:p>
        </w:tc>
        <w:tc>
          <w:tcPr>
            <w:tcW w:w="1982" w:type="pct"/>
            <w:shd w:val="clear" w:color="auto" w:fill="auto"/>
            <w:vAlign w:val="center"/>
          </w:tcPr>
          <w:p w14:paraId="15463CB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紫江馨苑A区</w:t>
            </w:r>
          </w:p>
        </w:tc>
        <w:tc>
          <w:tcPr>
            <w:tcW w:w="732" w:type="pct"/>
            <w:shd w:val="clear" w:color="auto" w:fill="auto"/>
            <w:vAlign w:val="center"/>
          </w:tcPr>
          <w:p w14:paraId="2EDF823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5C28B69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4763</w:t>
            </w:r>
          </w:p>
        </w:tc>
        <w:tc>
          <w:tcPr>
            <w:tcW w:w="596" w:type="pct"/>
            <w:shd w:val="clear" w:color="auto" w:fill="auto"/>
            <w:noWrap/>
            <w:vAlign w:val="center"/>
          </w:tcPr>
          <w:p w14:paraId="5B263B5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8AEB02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853</w:t>
            </w:r>
          </w:p>
        </w:tc>
      </w:tr>
      <w:tr w14:paraId="4DDC0C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CC155D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112</w:t>
            </w:r>
          </w:p>
        </w:tc>
        <w:tc>
          <w:tcPr>
            <w:tcW w:w="1982" w:type="pct"/>
            <w:shd w:val="clear" w:color="auto" w:fill="auto"/>
            <w:vAlign w:val="center"/>
          </w:tcPr>
          <w:p w14:paraId="53F370F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仁安西里东区</w:t>
            </w:r>
          </w:p>
        </w:tc>
        <w:tc>
          <w:tcPr>
            <w:tcW w:w="732" w:type="pct"/>
            <w:shd w:val="clear" w:color="auto" w:fill="auto"/>
            <w:vAlign w:val="center"/>
          </w:tcPr>
          <w:p w14:paraId="13C9653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258C16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1215</w:t>
            </w:r>
          </w:p>
        </w:tc>
        <w:tc>
          <w:tcPr>
            <w:tcW w:w="596" w:type="pct"/>
            <w:shd w:val="clear" w:color="auto" w:fill="auto"/>
            <w:noWrap/>
            <w:vAlign w:val="center"/>
          </w:tcPr>
          <w:p w14:paraId="20F277B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571FBB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253</w:t>
            </w:r>
          </w:p>
        </w:tc>
      </w:tr>
      <w:tr w14:paraId="5DB5C4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16DC0E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113</w:t>
            </w:r>
          </w:p>
        </w:tc>
        <w:tc>
          <w:tcPr>
            <w:tcW w:w="1982" w:type="pct"/>
            <w:shd w:val="clear" w:color="auto" w:fill="auto"/>
            <w:vAlign w:val="center"/>
          </w:tcPr>
          <w:p w14:paraId="6AAD0A5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新旭园</w:t>
            </w:r>
          </w:p>
        </w:tc>
        <w:tc>
          <w:tcPr>
            <w:tcW w:w="732" w:type="pct"/>
            <w:shd w:val="clear" w:color="auto" w:fill="auto"/>
            <w:vAlign w:val="center"/>
          </w:tcPr>
          <w:p w14:paraId="55036E4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5E53442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4403</w:t>
            </w:r>
          </w:p>
        </w:tc>
        <w:tc>
          <w:tcPr>
            <w:tcW w:w="596" w:type="pct"/>
            <w:shd w:val="clear" w:color="auto" w:fill="auto"/>
            <w:noWrap/>
            <w:vAlign w:val="center"/>
          </w:tcPr>
          <w:p w14:paraId="20429A7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95B3A1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853</w:t>
            </w:r>
          </w:p>
        </w:tc>
      </w:tr>
      <w:tr w14:paraId="7F4207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97F0D5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114</w:t>
            </w:r>
          </w:p>
        </w:tc>
        <w:tc>
          <w:tcPr>
            <w:tcW w:w="1982" w:type="pct"/>
            <w:shd w:val="clear" w:color="auto" w:fill="auto"/>
            <w:vAlign w:val="center"/>
          </w:tcPr>
          <w:p w14:paraId="2607555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桃园三章</w:t>
            </w:r>
          </w:p>
        </w:tc>
        <w:tc>
          <w:tcPr>
            <w:tcW w:w="732" w:type="pct"/>
            <w:shd w:val="clear" w:color="auto" w:fill="auto"/>
            <w:vAlign w:val="center"/>
          </w:tcPr>
          <w:p w14:paraId="137FCC9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42ED390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4834</w:t>
            </w:r>
          </w:p>
        </w:tc>
        <w:tc>
          <w:tcPr>
            <w:tcW w:w="596" w:type="pct"/>
            <w:shd w:val="clear" w:color="auto" w:fill="auto"/>
            <w:noWrap/>
            <w:vAlign w:val="center"/>
          </w:tcPr>
          <w:p w14:paraId="787F536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1AF59C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853</w:t>
            </w:r>
          </w:p>
        </w:tc>
      </w:tr>
      <w:tr w14:paraId="05E68C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CACBE5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115</w:t>
            </w:r>
          </w:p>
        </w:tc>
        <w:tc>
          <w:tcPr>
            <w:tcW w:w="1982" w:type="pct"/>
            <w:shd w:val="clear" w:color="auto" w:fill="auto"/>
            <w:vAlign w:val="center"/>
          </w:tcPr>
          <w:p w14:paraId="78E8597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宝业馨苑</w:t>
            </w:r>
          </w:p>
        </w:tc>
        <w:tc>
          <w:tcPr>
            <w:tcW w:w="732" w:type="pct"/>
            <w:shd w:val="clear" w:color="auto" w:fill="auto"/>
            <w:vAlign w:val="center"/>
          </w:tcPr>
          <w:p w14:paraId="1037DE5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217434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4130</w:t>
            </w:r>
          </w:p>
        </w:tc>
        <w:tc>
          <w:tcPr>
            <w:tcW w:w="596" w:type="pct"/>
            <w:shd w:val="clear" w:color="auto" w:fill="auto"/>
            <w:noWrap/>
            <w:vAlign w:val="center"/>
          </w:tcPr>
          <w:p w14:paraId="3A9EB4F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F484A1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752</w:t>
            </w:r>
          </w:p>
        </w:tc>
      </w:tr>
      <w:tr w14:paraId="4FF106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75E58C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116</w:t>
            </w:r>
          </w:p>
        </w:tc>
        <w:tc>
          <w:tcPr>
            <w:tcW w:w="1982" w:type="pct"/>
            <w:shd w:val="clear" w:color="auto" w:fill="auto"/>
            <w:vAlign w:val="center"/>
          </w:tcPr>
          <w:p w14:paraId="7ADBDE8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紫江馨苑</w:t>
            </w:r>
          </w:p>
        </w:tc>
        <w:tc>
          <w:tcPr>
            <w:tcW w:w="732" w:type="pct"/>
            <w:shd w:val="clear" w:color="auto" w:fill="auto"/>
            <w:vAlign w:val="center"/>
          </w:tcPr>
          <w:p w14:paraId="104C256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6087FF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4789</w:t>
            </w:r>
          </w:p>
        </w:tc>
        <w:tc>
          <w:tcPr>
            <w:tcW w:w="596" w:type="pct"/>
            <w:shd w:val="clear" w:color="auto" w:fill="auto"/>
            <w:noWrap/>
            <w:vAlign w:val="center"/>
          </w:tcPr>
          <w:p w14:paraId="7DB1A5B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A90C01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7022C4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A2C77C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117</w:t>
            </w:r>
          </w:p>
        </w:tc>
        <w:tc>
          <w:tcPr>
            <w:tcW w:w="1982" w:type="pct"/>
            <w:shd w:val="clear" w:color="auto" w:fill="auto"/>
            <w:vAlign w:val="center"/>
          </w:tcPr>
          <w:p w14:paraId="780B7E3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吕坨子7区</w:t>
            </w:r>
          </w:p>
        </w:tc>
        <w:tc>
          <w:tcPr>
            <w:tcW w:w="732" w:type="pct"/>
            <w:shd w:val="clear" w:color="auto" w:fill="auto"/>
            <w:vAlign w:val="center"/>
          </w:tcPr>
          <w:p w14:paraId="4E35857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415E014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2019</w:t>
            </w:r>
          </w:p>
        </w:tc>
        <w:tc>
          <w:tcPr>
            <w:tcW w:w="596" w:type="pct"/>
            <w:shd w:val="clear" w:color="auto" w:fill="auto"/>
            <w:noWrap/>
            <w:vAlign w:val="center"/>
          </w:tcPr>
          <w:p w14:paraId="0757219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BEF893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253</w:t>
            </w:r>
          </w:p>
        </w:tc>
      </w:tr>
      <w:tr w14:paraId="416B9F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B60F92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118</w:t>
            </w:r>
          </w:p>
        </w:tc>
        <w:tc>
          <w:tcPr>
            <w:tcW w:w="1982" w:type="pct"/>
            <w:shd w:val="clear" w:color="auto" w:fill="auto"/>
            <w:vAlign w:val="center"/>
          </w:tcPr>
          <w:p w14:paraId="6878469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金谷园</w:t>
            </w:r>
          </w:p>
        </w:tc>
        <w:tc>
          <w:tcPr>
            <w:tcW w:w="732" w:type="pct"/>
            <w:shd w:val="clear" w:color="auto" w:fill="auto"/>
            <w:vAlign w:val="center"/>
          </w:tcPr>
          <w:p w14:paraId="3ADE26F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39C5D36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3930</w:t>
            </w:r>
          </w:p>
        </w:tc>
        <w:tc>
          <w:tcPr>
            <w:tcW w:w="596" w:type="pct"/>
            <w:shd w:val="clear" w:color="auto" w:fill="auto"/>
            <w:noWrap/>
            <w:vAlign w:val="center"/>
          </w:tcPr>
          <w:p w14:paraId="7B60800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31DDB0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452</w:t>
            </w:r>
          </w:p>
        </w:tc>
      </w:tr>
      <w:tr w14:paraId="58C0FF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98361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119</w:t>
            </w:r>
          </w:p>
        </w:tc>
        <w:tc>
          <w:tcPr>
            <w:tcW w:w="1982" w:type="pct"/>
            <w:shd w:val="clear" w:color="auto" w:fill="auto"/>
            <w:vAlign w:val="center"/>
          </w:tcPr>
          <w:p w14:paraId="38A5005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盛字营西1区</w:t>
            </w:r>
          </w:p>
        </w:tc>
        <w:tc>
          <w:tcPr>
            <w:tcW w:w="732" w:type="pct"/>
            <w:shd w:val="clear" w:color="auto" w:fill="auto"/>
            <w:vAlign w:val="center"/>
          </w:tcPr>
          <w:p w14:paraId="52519D5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026E1F0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3950</w:t>
            </w:r>
          </w:p>
        </w:tc>
        <w:tc>
          <w:tcPr>
            <w:tcW w:w="596" w:type="pct"/>
            <w:shd w:val="clear" w:color="auto" w:fill="auto"/>
            <w:noWrap/>
            <w:vAlign w:val="center"/>
          </w:tcPr>
          <w:p w14:paraId="24606B2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7ACA37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108</w:t>
            </w:r>
          </w:p>
        </w:tc>
      </w:tr>
      <w:tr w14:paraId="2B9FCE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335ACA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120</w:t>
            </w:r>
          </w:p>
        </w:tc>
        <w:tc>
          <w:tcPr>
            <w:tcW w:w="1982" w:type="pct"/>
            <w:shd w:val="clear" w:color="auto" w:fill="auto"/>
            <w:vAlign w:val="center"/>
          </w:tcPr>
          <w:p w14:paraId="06955B8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众合里小区</w:t>
            </w:r>
          </w:p>
        </w:tc>
        <w:tc>
          <w:tcPr>
            <w:tcW w:w="732" w:type="pct"/>
            <w:shd w:val="clear" w:color="auto" w:fill="auto"/>
            <w:vAlign w:val="center"/>
          </w:tcPr>
          <w:p w14:paraId="4EA969D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313FBB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4846</w:t>
            </w:r>
          </w:p>
        </w:tc>
        <w:tc>
          <w:tcPr>
            <w:tcW w:w="596" w:type="pct"/>
            <w:shd w:val="clear" w:color="auto" w:fill="auto"/>
            <w:noWrap/>
            <w:vAlign w:val="center"/>
          </w:tcPr>
          <w:p w14:paraId="1D0B904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1271FD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4830E4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13C085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121</w:t>
            </w:r>
          </w:p>
        </w:tc>
        <w:tc>
          <w:tcPr>
            <w:tcW w:w="1982" w:type="pct"/>
            <w:shd w:val="clear" w:color="auto" w:fill="auto"/>
            <w:vAlign w:val="center"/>
          </w:tcPr>
          <w:p w14:paraId="33A5DCC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吕坨子5区</w:t>
            </w:r>
          </w:p>
        </w:tc>
        <w:tc>
          <w:tcPr>
            <w:tcW w:w="732" w:type="pct"/>
            <w:shd w:val="clear" w:color="auto" w:fill="auto"/>
            <w:vAlign w:val="center"/>
          </w:tcPr>
          <w:p w14:paraId="6654E1D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2014E53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2585</w:t>
            </w:r>
          </w:p>
        </w:tc>
        <w:tc>
          <w:tcPr>
            <w:tcW w:w="596" w:type="pct"/>
            <w:shd w:val="clear" w:color="auto" w:fill="auto"/>
            <w:noWrap/>
            <w:vAlign w:val="center"/>
          </w:tcPr>
          <w:p w14:paraId="4CBC258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876C27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245</w:t>
            </w:r>
          </w:p>
        </w:tc>
      </w:tr>
      <w:tr w14:paraId="7192A9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AE20D7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122</w:t>
            </w:r>
          </w:p>
        </w:tc>
        <w:tc>
          <w:tcPr>
            <w:tcW w:w="1982" w:type="pct"/>
            <w:shd w:val="clear" w:color="auto" w:fill="auto"/>
            <w:vAlign w:val="center"/>
          </w:tcPr>
          <w:p w14:paraId="05B6505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津南新丰里</w:t>
            </w:r>
          </w:p>
        </w:tc>
        <w:tc>
          <w:tcPr>
            <w:tcW w:w="732" w:type="pct"/>
            <w:shd w:val="clear" w:color="auto" w:fill="auto"/>
            <w:vAlign w:val="center"/>
          </w:tcPr>
          <w:p w14:paraId="50706A4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77BEC4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4819</w:t>
            </w:r>
          </w:p>
        </w:tc>
        <w:tc>
          <w:tcPr>
            <w:tcW w:w="596" w:type="pct"/>
            <w:shd w:val="clear" w:color="auto" w:fill="auto"/>
            <w:noWrap/>
            <w:vAlign w:val="center"/>
          </w:tcPr>
          <w:p w14:paraId="4C97FB1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C0081E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556A80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FC21A6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123</w:t>
            </w:r>
          </w:p>
        </w:tc>
        <w:tc>
          <w:tcPr>
            <w:tcW w:w="1982" w:type="pct"/>
            <w:shd w:val="clear" w:color="auto" w:fill="auto"/>
            <w:vAlign w:val="center"/>
          </w:tcPr>
          <w:p w14:paraId="2B8EFFC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竹新苑小区</w:t>
            </w:r>
          </w:p>
        </w:tc>
        <w:tc>
          <w:tcPr>
            <w:tcW w:w="732" w:type="pct"/>
            <w:shd w:val="clear" w:color="auto" w:fill="auto"/>
            <w:vAlign w:val="center"/>
          </w:tcPr>
          <w:p w14:paraId="39DFF24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5041469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3253</w:t>
            </w:r>
          </w:p>
        </w:tc>
        <w:tc>
          <w:tcPr>
            <w:tcW w:w="596" w:type="pct"/>
            <w:shd w:val="clear" w:color="auto" w:fill="auto"/>
            <w:noWrap/>
            <w:vAlign w:val="center"/>
          </w:tcPr>
          <w:p w14:paraId="7940BAE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02521D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853</w:t>
            </w:r>
          </w:p>
        </w:tc>
      </w:tr>
      <w:tr w14:paraId="4EE399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AB821F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124</w:t>
            </w:r>
          </w:p>
        </w:tc>
        <w:tc>
          <w:tcPr>
            <w:tcW w:w="1982" w:type="pct"/>
            <w:shd w:val="clear" w:color="auto" w:fill="auto"/>
            <w:vAlign w:val="center"/>
          </w:tcPr>
          <w:p w14:paraId="05A3C17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华远景瑞海蓝城</w:t>
            </w:r>
          </w:p>
        </w:tc>
        <w:tc>
          <w:tcPr>
            <w:tcW w:w="732" w:type="pct"/>
            <w:shd w:val="clear" w:color="auto" w:fill="auto"/>
            <w:vAlign w:val="center"/>
          </w:tcPr>
          <w:p w14:paraId="19CE5B6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385C1C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4289</w:t>
            </w:r>
          </w:p>
        </w:tc>
        <w:tc>
          <w:tcPr>
            <w:tcW w:w="596" w:type="pct"/>
            <w:shd w:val="clear" w:color="auto" w:fill="auto"/>
            <w:noWrap/>
            <w:vAlign w:val="center"/>
          </w:tcPr>
          <w:p w14:paraId="0190416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B9CC39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3520</w:t>
            </w:r>
          </w:p>
        </w:tc>
      </w:tr>
      <w:tr w14:paraId="2735EE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A0ADAE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125</w:t>
            </w:r>
          </w:p>
        </w:tc>
        <w:tc>
          <w:tcPr>
            <w:tcW w:w="1982" w:type="pct"/>
            <w:shd w:val="clear" w:color="auto" w:fill="auto"/>
            <w:vAlign w:val="center"/>
          </w:tcPr>
          <w:p w14:paraId="3C46EDF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新兴楼(荣城中医医院东)</w:t>
            </w:r>
          </w:p>
        </w:tc>
        <w:tc>
          <w:tcPr>
            <w:tcW w:w="732" w:type="pct"/>
            <w:shd w:val="clear" w:color="auto" w:fill="auto"/>
            <w:vAlign w:val="center"/>
          </w:tcPr>
          <w:p w14:paraId="382D55A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B35354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4826</w:t>
            </w:r>
          </w:p>
        </w:tc>
        <w:tc>
          <w:tcPr>
            <w:tcW w:w="596" w:type="pct"/>
            <w:shd w:val="clear" w:color="auto" w:fill="auto"/>
            <w:noWrap/>
            <w:vAlign w:val="center"/>
          </w:tcPr>
          <w:p w14:paraId="3611C24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B480C3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685</w:t>
            </w:r>
          </w:p>
        </w:tc>
      </w:tr>
      <w:tr w14:paraId="5A9954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AB40A4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126</w:t>
            </w:r>
          </w:p>
        </w:tc>
        <w:tc>
          <w:tcPr>
            <w:tcW w:w="1982" w:type="pct"/>
            <w:shd w:val="clear" w:color="auto" w:fill="auto"/>
            <w:vAlign w:val="center"/>
          </w:tcPr>
          <w:p w14:paraId="645FD2C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新祥园</w:t>
            </w:r>
          </w:p>
        </w:tc>
        <w:tc>
          <w:tcPr>
            <w:tcW w:w="732" w:type="pct"/>
            <w:shd w:val="clear" w:color="auto" w:fill="auto"/>
            <w:vAlign w:val="center"/>
          </w:tcPr>
          <w:p w14:paraId="264E36D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58D4150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4470</w:t>
            </w:r>
          </w:p>
        </w:tc>
        <w:tc>
          <w:tcPr>
            <w:tcW w:w="596" w:type="pct"/>
            <w:shd w:val="clear" w:color="auto" w:fill="auto"/>
            <w:noWrap/>
            <w:vAlign w:val="center"/>
          </w:tcPr>
          <w:p w14:paraId="260FC6E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76C1FB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653</w:t>
            </w:r>
          </w:p>
        </w:tc>
      </w:tr>
      <w:tr w14:paraId="20655A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4563DE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127</w:t>
            </w:r>
          </w:p>
        </w:tc>
        <w:tc>
          <w:tcPr>
            <w:tcW w:w="1982" w:type="pct"/>
            <w:shd w:val="clear" w:color="auto" w:fill="auto"/>
            <w:vAlign w:val="center"/>
          </w:tcPr>
          <w:p w14:paraId="192253D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富源里</w:t>
            </w:r>
          </w:p>
        </w:tc>
        <w:tc>
          <w:tcPr>
            <w:tcW w:w="732" w:type="pct"/>
            <w:shd w:val="clear" w:color="auto" w:fill="auto"/>
            <w:vAlign w:val="center"/>
          </w:tcPr>
          <w:p w14:paraId="4DBC91C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53A5706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4274</w:t>
            </w:r>
          </w:p>
        </w:tc>
        <w:tc>
          <w:tcPr>
            <w:tcW w:w="596" w:type="pct"/>
            <w:shd w:val="clear" w:color="auto" w:fill="auto"/>
            <w:noWrap/>
            <w:vAlign w:val="center"/>
          </w:tcPr>
          <w:p w14:paraId="757D247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AD80AB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6CEA65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8ED145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128</w:t>
            </w:r>
          </w:p>
        </w:tc>
        <w:tc>
          <w:tcPr>
            <w:tcW w:w="1982" w:type="pct"/>
            <w:shd w:val="clear" w:color="auto" w:fill="auto"/>
            <w:vAlign w:val="center"/>
          </w:tcPr>
          <w:p w14:paraId="04F21D5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菊香园小区</w:t>
            </w:r>
          </w:p>
        </w:tc>
        <w:tc>
          <w:tcPr>
            <w:tcW w:w="732" w:type="pct"/>
            <w:shd w:val="clear" w:color="auto" w:fill="auto"/>
            <w:vAlign w:val="center"/>
          </w:tcPr>
          <w:p w14:paraId="787281B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6115A73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3485</w:t>
            </w:r>
          </w:p>
        </w:tc>
        <w:tc>
          <w:tcPr>
            <w:tcW w:w="596" w:type="pct"/>
            <w:shd w:val="clear" w:color="auto" w:fill="auto"/>
            <w:noWrap/>
            <w:vAlign w:val="center"/>
          </w:tcPr>
          <w:p w14:paraId="20DF6EB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929D52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452</w:t>
            </w:r>
          </w:p>
        </w:tc>
      </w:tr>
      <w:tr w14:paraId="033DB9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DCB9CF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129</w:t>
            </w:r>
          </w:p>
        </w:tc>
        <w:tc>
          <w:tcPr>
            <w:tcW w:w="1982" w:type="pct"/>
            <w:shd w:val="clear" w:color="auto" w:fill="auto"/>
            <w:vAlign w:val="center"/>
          </w:tcPr>
          <w:p w14:paraId="4403CE1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盛字营西3区</w:t>
            </w:r>
          </w:p>
        </w:tc>
        <w:tc>
          <w:tcPr>
            <w:tcW w:w="732" w:type="pct"/>
            <w:shd w:val="clear" w:color="auto" w:fill="auto"/>
            <w:vAlign w:val="center"/>
          </w:tcPr>
          <w:p w14:paraId="233EADF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30D2929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4327</w:t>
            </w:r>
          </w:p>
        </w:tc>
        <w:tc>
          <w:tcPr>
            <w:tcW w:w="596" w:type="pct"/>
            <w:shd w:val="clear" w:color="auto" w:fill="auto"/>
            <w:noWrap/>
            <w:vAlign w:val="center"/>
          </w:tcPr>
          <w:p w14:paraId="39256D1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22D88E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75524C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82F8D9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130</w:t>
            </w:r>
          </w:p>
        </w:tc>
        <w:tc>
          <w:tcPr>
            <w:tcW w:w="1982" w:type="pct"/>
            <w:shd w:val="clear" w:color="auto" w:fill="auto"/>
            <w:vAlign w:val="center"/>
          </w:tcPr>
          <w:p w14:paraId="41CDBF5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文化里</w:t>
            </w:r>
          </w:p>
        </w:tc>
        <w:tc>
          <w:tcPr>
            <w:tcW w:w="732" w:type="pct"/>
            <w:shd w:val="clear" w:color="auto" w:fill="auto"/>
            <w:vAlign w:val="center"/>
          </w:tcPr>
          <w:p w14:paraId="21C2824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3C01D7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4065</w:t>
            </w:r>
          </w:p>
        </w:tc>
        <w:tc>
          <w:tcPr>
            <w:tcW w:w="596" w:type="pct"/>
            <w:shd w:val="clear" w:color="auto" w:fill="auto"/>
            <w:noWrap/>
            <w:vAlign w:val="center"/>
          </w:tcPr>
          <w:p w14:paraId="5C83573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6B078E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852</w:t>
            </w:r>
          </w:p>
        </w:tc>
      </w:tr>
      <w:tr w14:paraId="2C9F14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C140B9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131</w:t>
            </w:r>
          </w:p>
        </w:tc>
        <w:tc>
          <w:tcPr>
            <w:tcW w:w="1982" w:type="pct"/>
            <w:shd w:val="clear" w:color="auto" w:fill="auto"/>
            <w:vAlign w:val="center"/>
          </w:tcPr>
          <w:p w14:paraId="71B85CD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莲香园小区东区</w:t>
            </w:r>
          </w:p>
        </w:tc>
        <w:tc>
          <w:tcPr>
            <w:tcW w:w="732" w:type="pct"/>
            <w:shd w:val="clear" w:color="auto" w:fill="auto"/>
            <w:vAlign w:val="center"/>
          </w:tcPr>
          <w:p w14:paraId="0A4E1CE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783F7DC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3249</w:t>
            </w:r>
          </w:p>
        </w:tc>
        <w:tc>
          <w:tcPr>
            <w:tcW w:w="596" w:type="pct"/>
            <w:shd w:val="clear" w:color="auto" w:fill="auto"/>
            <w:noWrap/>
            <w:vAlign w:val="center"/>
          </w:tcPr>
          <w:p w14:paraId="16D320D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5C714F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652</w:t>
            </w:r>
          </w:p>
        </w:tc>
      </w:tr>
      <w:tr w14:paraId="3F29C4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72892D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132</w:t>
            </w:r>
          </w:p>
        </w:tc>
        <w:tc>
          <w:tcPr>
            <w:tcW w:w="1982" w:type="pct"/>
            <w:shd w:val="clear" w:color="auto" w:fill="auto"/>
            <w:vAlign w:val="center"/>
          </w:tcPr>
          <w:p w14:paraId="79F2C34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新城财智中心</w:t>
            </w:r>
          </w:p>
        </w:tc>
        <w:tc>
          <w:tcPr>
            <w:tcW w:w="732" w:type="pct"/>
            <w:shd w:val="clear" w:color="auto" w:fill="auto"/>
            <w:vAlign w:val="center"/>
          </w:tcPr>
          <w:p w14:paraId="15AEBBD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5DC93A2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4897</w:t>
            </w:r>
          </w:p>
        </w:tc>
        <w:tc>
          <w:tcPr>
            <w:tcW w:w="596" w:type="pct"/>
            <w:shd w:val="clear" w:color="auto" w:fill="auto"/>
            <w:noWrap/>
            <w:vAlign w:val="center"/>
          </w:tcPr>
          <w:p w14:paraId="373DA1D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A7960B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7C38A0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1D3D7D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133</w:t>
            </w:r>
          </w:p>
        </w:tc>
        <w:tc>
          <w:tcPr>
            <w:tcW w:w="1982" w:type="pct"/>
            <w:shd w:val="clear" w:color="auto" w:fill="auto"/>
            <w:vAlign w:val="center"/>
          </w:tcPr>
          <w:p w14:paraId="1B903F9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东风里(南付营路)</w:t>
            </w:r>
          </w:p>
        </w:tc>
        <w:tc>
          <w:tcPr>
            <w:tcW w:w="732" w:type="pct"/>
            <w:shd w:val="clear" w:color="auto" w:fill="auto"/>
            <w:vAlign w:val="center"/>
          </w:tcPr>
          <w:p w14:paraId="218B1D9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C7B243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3790</w:t>
            </w:r>
          </w:p>
        </w:tc>
        <w:tc>
          <w:tcPr>
            <w:tcW w:w="596" w:type="pct"/>
            <w:shd w:val="clear" w:color="auto" w:fill="auto"/>
            <w:noWrap/>
            <w:vAlign w:val="center"/>
          </w:tcPr>
          <w:p w14:paraId="3622355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8AB6EA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985</w:t>
            </w:r>
          </w:p>
        </w:tc>
      </w:tr>
      <w:tr w14:paraId="0D460E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B0F514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134</w:t>
            </w:r>
          </w:p>
        </w:tc>
        <w:tc>
          <w:tcPr>
            <w:tcW w:w="1982" w:type="pct"/>
            <w:shd w:val="clear" w:color="auto" w:fill="auto"/>
            <w:vAlign w:val="center"/>
          </w:tcPr>
          <w:p w14:paraId="2E5A6AD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紫江馨苑B区</w:t>
            </w:r>
          </w:p>
        </w:tc>
        <w:tc>
          <w:tcPr>
            <w:tcW w:w="732" w:type="pct"/>
            <w:shd w:val="clear" w:color="auto" w:fill="auto"/>
            <w:vAlign w:val="center"/>
          </w:tcPr>
          <w:p w14:paraId="052C558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244363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4833</w:t>
            </w:r>
          </w:p>
        </w:tc>
        <w:tc>
          <w:tcPr>
            <w:tcW w:w="596" w:type="pct"/>
            <w:shd w:val="clear" w:color="auto" w:fill="auto"/>
            <w:noWrap/>
            <w:vAlign w:val="center"/>
          </w:tcPr>
          <w:p w14:paraId="4BCB3BC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B8FAC1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854</w:t>
            </w:r>
          </w:p>
        </w:tc>
      </w:tr>
      <w:tr w14:paraId="3CF39E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01359D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135</w:t>
            </w:r>
          </w:p>
        </w:tc>
        <w:tc>
          <w:tcPr>
            <w:tcW w:w="1982" w:type="pct"/>
            <w:shd w:val="clear" w:color="auto" w:fill="auto"/>
            <w:vAlign w:val="center"/>
          </w:tcPr>
          <w:p w14:paraId="5733003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盛字营东6区</w:t>
            </w:r>
          </w:p>
        </w:tc>
        <w:tc>
          <w:tcPr>
            <w:tcW w:w="732" w:type="pct"/>
            <w:shd w:val="clear" w:color="auto" w:fill="auto"/>
            <w:vAlign w:val="center"/>
          </w:tcPr>
          <w:p w14:paraId="1A83788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0F78819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3529</w:t>
            </w:r>
          </w:p>
        </w:tc>
        <w:tc>
          <w:tcPr>
            <w:tcW w:w="596" w:type="pct"/>
            <w:shd w:val="clear" w:color="auto" w:fill="auto"/>
            <w:noWrap/>
            <w:vAlign w:val="center"/>
          </w:tcPr>
          <w:p w14:paraId="31DDCE9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CF4776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525</w:t>
            </w:r>
          </w:p>
        </w:tc>
      </w:tr>
      <w:tr w14:paraId="39CC86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84D7A8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136</w:t>
            </w:r>
          </w:p>
        </w:tc>
        <w:tc>
          <w:tcPr>
            <w:tcW w:w="1982" w:type="pct"/>
            <w:shd w:val="clear" w:color="auto" w:fill="auto"/>
            <w:vAlign w:val="center"/>
          </w:tcPr>
          <w:p w14:paraId="70B0EE9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天山·水榭花都怡泽轩</w:t>
            </w:r>
          </w:p>
        </w:tc>
        <w:tc>
          <w:tcPr>
            <w:tcW w:w="732" w:type="pct"/>
            <w:shd w:val="clear" w:color="auto" w:fill="auto"/>
            <w:vAlign w:val="center"/>
          </w:tcPr>
          <w:p w14:paraId="080EE97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D110A0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3416</w:t>
            </w:r>
          </w:p>
        </w:tc>
        <w:tc>
          <w:tcPr>
            <w:tcW w:w="596" w:type="pct"/>
            <w:shd w:val="clear" w:color="auto" w:fill="auto"/>
            <w:noWrap/>
            <w:vAlign w:val="center"/>
          </w:tcPr>
          <w:p w14:paraId="4C0FA21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E4E4D2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652</w:t>
            </w:r>
          </w:p>
        </w:tc>
      </w:tr>
      <w:tr w14:paraId="5A0761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C123F0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137</w:t>
            </w:r>
          </w:p>
        </w:tc>
        <w:tc>
          <w:tcPr>
            <w:tcW w:w="1982" w:type="pct"/>
            <w:shd w:val="clear" w:color="auto" w:fill="auto"/>
            <w:vAlign w:val="center"/>
          </w:tcPr>
          <w:p w14:paraId="54B5E69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利民里小区</w:t>
            </w:r>
          </w:p>
        </w:tc>
        <w:tc>
          <w:tcPr>
            <w:tcW w:w="732" w:type="pct"/>
            <w:shd w:val="clear" w:color="auto" w:fill="auto"/>
            <w:vAlign w:val="center"/>
          </w:tcPr>
          <w:p w14:paraId="5071484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D78F56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3741</w:t>
            </w:r>
          </w:p>
        </w:tc>
        <w:tc>
          <w:tcPr>
            <w:tcW w:w="596" w:type="pct"/>
            <w:shd w:val="clear" w:color="auto" w:fill="auto"/>
            <w:noWrap/>
            <w:vAlign w:val="center"/>
          </w:tcPr>
          <w:p w14:paraId="386D636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D20AA8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365</w:t>
            </w:r>
          </w:p>
        </w:tc>
      </w:tr>
      <w:tr w14:paraId="4A5462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F2C3E8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138</w:t>
            </w:r>
          </w:p>
        </w:tc>
        <w:tc>
          <w:tcPr>
            <w:tcW w:w="1982" w:type="pct"/>
            <w:shd w:val="clear" w:color="auto" w:fill="auto"/>
            <w:vAlign w:val="center"/>
          </w:tcPr>
          <w:p w14:paraId="1E9E0FB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吕坨子4区</w:t>
            </w:r>
          </w:p>
        </w:tc>
        <w:tc>
          <w:tcPr>
            <w:tcW w:w="732" w:type="pct"/>
            <w:shd w:val="clear" w:color="auto" w:fill="auto"/>
            <w:vAlign w:val="center"/>
          </w:tcPr>
          <w:p w14:paraId="3C4C852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2EFABD2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2352</w:t>
            </w:r>
          </w:p>
        </w:tc>
        <w:tc>
          <w:tcPr>
            <w:tcW w:w="596" w:type="pct"/>
            <w:shd w:val="clear" w:color="auto" w:fill="auto"/>
            <w:noWrap/>
            <w:vAlign w:val="center"/>
          </w:tcPr>
          <w:p w14:paraId="2D4B239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A0D4F4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643</w:t>
            </w:r>
          </w:p>
        </w:tc>
      </w:tr>
      <w:tr w14:paraId="77772B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3FE1EC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139</w:t>
            </w:r>
          </w:p>
        </w:tc>
        <w:tc>
          <w:tcPr>
            <w:tcW w:w="1982" w:type="pct"/>
            <w:shd w:val="clear" w:color="auto" w:fill="auto"/>
            <w:vAlign w:val="center"/>
          </w:tcPr>
          <w:p w14:paraId="7C6A4A5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稻香园</w:t>
            </w:r>
          </w:p>
        </w:tc>
        <w:tc>
          <w:tcPr>
            <w:tcW w:w="732" w:type="pct"/>
            <w:shd w:val="clear" w:color="auto" w:fill="auto"/>
            <w:vAlign w:val="center"/>
          </w:tcPr>
          <w:p w14:paraId="5F04664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3B101A7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4124</w:t>
            </w:r>
          </w:p>
        </w:tc>
        <w:tc>
          <w:tcPr>
            <w:tcW w:w="596" w:type="pct"/>
            <w:shd w:val="clear" w:color="auto" w:fill="auto"/>
            <w:noWrap/>
            <w:vAlign w:val="center"/>
          </w:tcPr>
          <w:p w14:paraId="227B7AD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DC48FB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986</w:t>
            </w:r>
          </w:p>
        </w:tc>
      </w:tr>
      <w:tr w14:paraId="07D09D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FA8E30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140</w:t>
            </w:r>
          </w:p>
        </w:tc>
        <w:tc>
          <w:tcPr>
            <w:tcW w:w="1982" w:type="pct"/>
            <w:shd w:val="clear" w:color="auto" w:fill="auto"/>
            <w:vAlign w:val="center"/>
          </w:tcPr>
          <w:p w14:paraId="171D6E3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旭日园小区</w:t>
            </w:r>
          </w:p>
        </w:tc>
        <w:tc>
          <w:tcPr>
            <w:tcW w:w="732" w:type="pct"/>
            <w:shd w:val="clear" w:color="auto" w:fill="auto"/>
            <w:vAlign w:val="center"/>
          </w:tcPr>
          <w:p w14:paraId="3B3B8A0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35E4B98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3834</w:t>
            </w:r>
          </w:p>
        </w:tc>
        <w:tc>
          <w:tcPr>
            <w:tcW w:w="596" w:type="pct"/>
            <w:shd w:val="clear" w:color="auto" w:fill="auto"/>
            <w:noWrap/>
            <w:vAlign w:val="center"/>
          </w:tcPr>
          <w:p w14:paraId="098948B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6742BA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1684</w:t>
            </w:r>
          </w:p>
        </w:tc>
      </w:tr>
      <w:tr w14:paraId="09CE89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AACB8D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141</w:t>
            </w:r>
          </w:p>
        </w:tc>
        <w:tc>
          <w:tcPr>
            <w:tcW w:w="1982" w:type="pct"/>
            <w:shd w:val="clear" w:color="auto" w:fill="auto"/>
            <w:vAlign w:val="center"/>
          </w:tcPr>
          <w:p w14:paraId="72E937F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大唐盛世观雅庭院</w:t>
            </w:r>
          </w:p>
        </w:tc>
        <w:tc>
          <w:tcPr>
            <w:tcW w:w="732" w:type="pct"/>
            <w:shd w:val="clear" w:color="auto" w:fill="auto"/>
            <w:vAlign w:val="center"/>
          </w:tcPr>
          <w:p w14:paraId="4771F60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5DC49F7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4881</w:t>
            </w:r>
          </w:p>
        </w:tc>
        <w:tc>
          <w:tcPr>
            <w:tcW w:w="596" w:type="pct"/>
            <w:shd w:val="clear" w:color="auto" w:fill="auto"/>
            <w:noWrap/>
            <w:vAlign w:val="center"/>
          </w:tcPr>
          <w:p w14:paraId="75DE9A4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D56153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1052</w:t>
            </w:r>
          </w:p>
        </w:tc>
      </w:tr>
      <w:tr w14:paraId="6AE6A1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E3E649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142</w:t>
            </w:r>
          </w:p>
        </w:tc>
        <w:tc>
          <w:tcPr>
            <w:tcW w:w="1982" w:type="pct"/>
            <w:shd w:val="clear" w:color="auto" w:fill="auto"/>
            <w:vAlign w:val="center"/>
          </w:tcPr>
          <w:p w14:paraId="6DB18B0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新兴东里</w:t>
            </w:r>
          </w:p>
        </w:tc>
        <w:tc>
          <w:tcPr>
            <w:tcW w:w="732" w:type="pct"/>
            <w:shd w:val="clear" w:color="auto" w:fill="auto"/>
            <w:vAlign w:val="center"/>
          </w:tcPr>
          <w:p w14:paraId="4B74304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53790C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4748</w:t>
            </w:r>
          </w:p>
        </w:tc>
        <w:tc>
          <w:tcPr>
            <w:tcW w:w="596" w:type="pct"/>
            <w:shd w:val="clear" w:color="auto" w:fill="auto"/>
            <w:noWrap/>
            <w:vAlign w:val="center"/>
          </w:tcPr>
          <w:p w14:paraId="3101727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43020A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243</w:t>
            </w:r>
          </w:p>
        </w:tc>
      </w:tr>
      <w:tr w14:paraId="5BC972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499D09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143</w:t>
            </w:r>
          </w:p>
        </w:tc>
        <w:tc>
          <w:tcPr>
            <w:tcW w:w="1982" w:type="pct"/>
            <w:shd w:val="clear" w:color="auto" w:fill="auto"/>
            <w:vAlign w:val="center"/>
          </w:tcPr>
          <w:p w14:paraId="659405E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阳光新城</w:t>
            </w:r>
          </w:p>
        </w:tc>
        <w:tc>
          <w:tcPr>
            <w:tcW w:w="732" w:type="pct"/>
            <w:shd w:val="clear" w:color="auto" w:fill="auto"/>
            <w:vAlign w:val="center"/>
          </w:tcPr>
          <w:p w14:paraId="4745A80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6772F4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4698</w:t>
            </w:r>
          </w:p>
        </w:tc>
        <w:tc>
          <w:tcPr>
            <w:tcW w:w="596" w:type="pct"/>
            <w:shd w:val="clear" w:color="auto" w:fill="auto"/>
            <w:noWrap/>
            <w:vAlign w:val="center"/>
          </w:tcPr>
          <w:p w14:paraId="5A35DC5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D464A6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842</w:t>
            </w:r>
          </w:p>
        </w:tc>
      </w:tr>
      <w:tr w14:paraId="1E832E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7537F0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144</w:t>
            </w:r>
          </w:p>
        </w:tc>
        <w:tc>
          <w:tcPr>
            <w:tcW w:w="1982" w:type="pct"/>
            <w:shd w:val="clear" w:color="auto" w:fill="auto"/>
            <w:vAlign w:val="center"/>
          </w:tcPr>
          <w:p w14:paraId="08CFC96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华盛里</w:t>
            </w:r>
          </w:p>
        </w:tc>
        <w:tc>
          <w:tcPr>
            <w:tcW w:w="732" w:type="pct"/>
            <w:shd w:val="clear" w:color="auto" w:fill="auto"/>
            <w:vAlign w:val="center"/>
          </w:tcPr>
          <w:p w14:paraId="2FEC941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7DFCEFB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3897</w:t>
            </w:r>
          </w:p>
        </w:tc>
        <w:tc>
          <w:tcPr>
            <w:tcW w:w="596" w:type="pct"/>
            <w:shd w:val="clear" w:color="auto" w:fill="auto"/>
            <w:noWrap/>
            <w:vAlign w:val="center"/>
          </w:tcPr>
          <w:p w14:paraId="49FE2C9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3530A2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453</w:t>
            </w:r>
          </w:p>
        </w:tc>
      </w:tr>
      <w:tr w14:paraId="653CE1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7291CC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145</w:t>
            </w:r>
          </w:p>
        </w:tc>
        <w:tc>
          <w:tcPr>
            <w:tcW w:w="1982" w:type="pct"/>
            <w:shd w:val="clear" w:color="auto" w:fill="auto"/>
            <w:vAlign w:val="center"/>
          </w:tcPr>
          <w:p w14:paraId="594BFA5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从舜城</w:t>
            </w:r>
          </w:p>
        </w:tc>
        <w:tc>
          <w:tcPr>
            <w:tcW w:w="732" w:type="pct"/>
            <w:shd w:val="clear" w:color="auto" w:fill="auto"/>
            <w:vAlign w:val="center"/>
          </w:tcPr>
          <w:p w14:paraId="22B8DB8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EECEF1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4342</w:t>
            </w:r>
          </w:p>
        </w:tc>
        <w:tc>
          <w:tcPr>
            <w:tcW w:w="596" w:type="pct"/>
            <w:shd w:val="clear" w:color="auto" w:fill="auto"/>
            <w:noWrap/>
            <w:vAlign w:val="center"/>
          </w:tcPr>
          <w:p w14:paraId="657FF69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706D82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365</w:t>
            </w:r>
          </w:p>
        </w:tc>
      </w:tr>
      <w:tr w14:paraId="135FA9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B05ACA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146</w:t>
            </w:r>
          </w:p>
        </w:tc>
        <w:tc>
          <w:tcPr>
            <w:tcW w:w="1982" w:type="pct"/>
            <w:shd w:val="clear" w:color="auto" w:fill="auto"/>
            <w:vAlign w:val="center"/>
          </w:tcPr>
          <w:p w14:paraId="0281925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天山怡润轩</w:t>
            </w:r>
          </w:p>
        </w:tc>
        <w:tc>
          <w:tcPr>
            <w:tcW w:w="732" w:type="pct"/>
            <w:shd w:val="clear" w:color="auto" w:fill="auto"/>
            <w:vAlign w:val="center"/>
          </w:tcPr>
          <w:p w14:paraId="753FE96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7A681DA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3288</w:t>
            </w:r>
          </w:p>
        </w:tc>
        <w:tc>
          <w:tcPr>
            <w:tcW w:w="596" w:type="pct"/>
            <w:shd w:val="clear" w:color="auto" w:fill="auto"/>
            <w:noWrap/>
            <w:vAlign w:val="center"/>
          </w:tcPr>
          <w:p w14:paraId="50F2803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3C1975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768</w:t>
            </w:r>
          </w:p>
        </w:tc>
      </w:tr>
      <w:tr w14:paraId="402D54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3C1E7F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147</w:t>
            </w:r>
          </w:p>
        </w:tc>
        <w:tc>
          <w:tcPr>
            <w:tcW w:w="1982" w:type="pct"/>
            <w:shd w:val="clear" w:color="auto" w:fill="auto"/>
            <w:vAlign w:val="center"/>
          </w:tcPr>
          <w:p w14:paraId="42AECF0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御惠园</w:t>
            </w:r>
          </w:p>
        </w:tc>
        <w:tc>
          <w:tcPr>
            <w:tcW w:w="732" w:type="pct"/>
            <w:shd w:val="clear" w:color="auto" w:fill="auto"/>
            <w:vAlign w:val="center"/>
          </w:tcPr>
          <w:p w14:paraId="5E978D8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05EA7E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1464</w:t>
            </w:r>
          </w:p>
        </w:tc>
        <w:tc>
          <w:tcPr>
            <w:tcW w:w="596" w:type="pct"/>
            <w:shd w:val="clear" w:color="auto" w:fill="auto"/>
            <w:noWrap/>
            <w:vAlign w:val="center"/>
          </w:tcPr>
          <w:p w14:paraId="6351C86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FB9969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3952</w:t>
            </w:r>
          </w:p>
        </w:tc>
      </w:tr>
      <w:tr w14:paraId="3D83B1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CD2B97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148</w:t>
            </w:r>
          </w:p>
        </w:tc>
        <w:tc>
          <w:tcPr>
            <w:tcW w:w="1982" w:type="pct"/>
            <w:shd w:val="clear" w:color="auto" w:fill="auto"/>
            <w:vAlign w:val="center"/>
          </w:tcPr>
          <w:p w14:paraId="6A41170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锦尚豪庭</w:t>
            </w:r>
          </w:p>
        </w:tc>
        <w:tc>
          <w:tcPr>
            <w:tcW w:w="732" w:type="pct"/>
            <w:shd w:val="clear" w:color="auto" w:fill="auto"/>
            <w:vAlign w:val="center"/>
          </w:tcPr>
          <w:p w14:paraId="23600DB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51AE679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3295</w:t>
            </w:r>
          </w:p>
        </w:tc>
        <w:tc>
          <w:tcPr>
            <w:tcW w:w="596" w:type="pct"/>
            <w:shd w:val="clear" w:color="auto" w:fill="auto"/>
            <w:noWrap/>
            <w:vAlign w:val="center"/>
          </w:tcPr>
          <w:p w14:paraId="77269AC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BC7B37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4520</w:t>
            </w:r>
          </w:p>
        </w:tc>
      </w:tr>
      <w:tr w14:paraId="32629E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916A14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149</w:t>
            </w:r>
          </w:p>
        </w:tc>
        <w:tc>
          <w:tcPr>
            <w:tcW w:w="1982" w:type="pct"/>
            <w:shd w:val="clear" w:color="auto" w:fill="auto"/>
            <w:vAlign w:val="center"/>
          </w:tcPr>
          <w:p w14:paraId="3E60D4D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鑫苑里</w:t>
            </w:r>
          </w:p>
        </w:tc>
        <w:tc>
          <w:tcPr>
            <w:tcW w:w="732" w:type="pct"/>
            <w:shd w:val="clear" w:color="auto" w:fill="auto"/>
            <w:vAlign w:val="center"/>
          </w:tcPr>
          <w:p w14:paraId="15270AE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45A2D23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4222</w:t>
            </w:r>
          </w:p>
        </w:tc>
        <w:tc>
          <w:tcPr>
            <w:tcW w:w="596" w:type="pct"/>
            <w:shd w:val="clear" w:color="auto" w:fill="auto"/>
            <w:noWrap/>
            <w:vAlign w:val="center"/>
          </w:tcPr>
          <w:p w14:paraId="6DC294B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5E2FB9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962</w:t>
            </w:r>
          </w:p>
        </w:tc>
      </w:tr>
      <w:tr w14:paraId="4C4003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A39419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150</w:t>
            </w:r>
          </w:p>
        </w:tc>
        <w:tc>
          <w:tcPr>
            <w:tcW w:w="1982" w:type="pct"/>
            <w:shd w:val="clear" w:color="auto" w:fill="auto"/>
            <w:vAlign w:val="center"/>
          </w:tcPr>
          <w:p w14:paraId="699CCC9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亭榭园</w:t>
            </w:r>
          </w:p>
        </w:tc>
        <w:tc>
          <w:tcPr>
            <w:tcW w:w="732" w:type="pct"/>
            <w:shd w:val="clear" w:color="auto" w:fill="auto"/>
            <w:vAlign w:val="center"/>
          </w:tcPr>
          <w:p w14:paraId="6D1E2D6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7000892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3938</w:t>
            </w:r>
          </w:p>
        </w:tc>
        <w:tc>
          <w:tcPr>
            <w:tcW w:w="596" w:type="pct"/>
            <w:shd w:val="clear" w:color="auto" w:fill="auto"/>
            <w:noWrap/>
            <w:vAlign w:val="center"/>
          </w:tcPr>
          <w:p w14:paraId="16382F1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D35123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684</w:t>
            </w:r>
          </w:p>
        </w:tc>
      </w:tr>
      <w:tr w14:paraId="67A51B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A3DB6C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151</w:t>
            </w:r>
          </w:p>
        </w:tc>
        <w:tc>
          <w:tcPr>
            <w:tcW w:w="1982" w:type="pct"/>
            <w:shd w:val="clear" w:color="auto" w:fill="auto"/>
            <w:vAlign w:val="center"/>
          </w:tcPr>
          <w:p w14:paraId="28D00EA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幸福里小区</w:t>
            </w:r>
          </w:p>
        </w:tc>
        <w:tc>
          <w:tcPr>
            <w:tcW w:w="732" w:type="pct"/>
            <w:shd w:val="clear" w:color="auto" w:fill="auto"/>
            <w:vAlign w:val="center"/>
          </w:tcPr>
          <w:p w14:paraId="2F8CCB9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3BF433D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3813</w:t>
            </w:r>
          </w:p>
        </w:tc>
        <w:tc>
          <w:tcPr>
            <w:tcW w:w="596" w:type="pct"/>
            <w:shd w:val="clear" w:color="auto" w:fill="auto"/>
            <w:noWrap/>
            <w:vAlign w:val="center"/>
          </w:tcPr>
          <w:p w14:paraId="3C69D6B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67611F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985</w:t>
            </w:r>
          </w:p>
        </w:tc>
      </w:tr>
      <w:tr w14:paraId="578D45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DF4AAA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152</w:t>
            </w:r>
          </w:p>
        </w:tc>
        <w:tc>
          <w:tcPr>
            <w:tcW w:w="1982" w:type="pct"/>
            <w:shd w:val="clear" w:color="auto" w:fill="auto"/>
            <w:vAlign w:val="center"/>
          </w:tcPr>
          <w:p w14:paraId="66880A9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天地源欧筑1898尚礼园</w:t>
            </w:r>
          </w:p>
        </w:tc>
        <w:tc>
          <w:tcPr>
            <w:tcW w:w="732" w:type="pct"/>
            <w:shd w:val="clear" w:color="auto" w:fill="auto"/>
            <w:vAlign w:val="center"/>
          </w:tcPr>
          <w:p w14:paraId="56B3DCE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41016C3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726</w:t>
            </w:r>
          </w:p>
        </w:tc>
        <w:tc>
          <w:tcPr>
            <w:tcW w:w="596" w:type="pct"/>
            <w:shd w:val="clear" w:color="auto" w:fill="auto"/>
            <w:noWrap/>
            <w:vAlign w:val="center"/>
          </w:tcPr>
          <w:p w14:paraId="22DA778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3F8689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2543</w:t>
            </w:r>
          </w:p>
        </w:tc>
      </w:tr>
      <w:tr w14:paraId="4D7F30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66689F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153</w:t>
            </w:r>
          </w:p>
        </w:tc>
        <w:tc>
          <w:tcPr>
            <w:tcW w:w="1982" w:type="pct"/>
            <w:shd w:val="clear" w:color="auto" w:fill="auto"/>
            <w:vAlign w:val="center"/>
          </w:tcPr>
          <w:p w14:paraId="7904595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富源别墅</w:t>
            </w:r>
          </w:p>
        </w:tc>
        <w:tc>
          <w:tcPr>
            <w:tcW w:w="732" w:type="pct"/>
            <w:shd w:val="clear" w:color="auto" w:fill="auto"/>
            <w:vAlign w:val="center"/>
          </w:tcPr>
          <w:p w14:paraId="6FF936B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2594EA8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3992</w:t>
            </w:r>
          </w:p>
        </w:tc>
        <w:tc>
          <w:tcPr>
            <w:tcW w:w="596" w:type="pct"/>
            <w:shd w:val="clear" w:color="auto" w:fill="auto"/>
            <w:noWrap/>
            <w:vAlign w:val="center"/>
          </w:tcPr>
          <w:p w14:paraId="229F035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EAC8A2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3981</w:t>
            </w:r>
          </w:p>
        </w:tc>
      </w:tr>
      <w:tr w14:paraId="526439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FC01AE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154</w:t>
            </w:r>
          </w:p>
        </w:tc>
        <w:tc>
          <w:tcPr>
            <w:tcW w:w="1982" w:type="pct"/>
            <w:shd w:val="clear" w:color="auto" w:fill="auto"/>
            <w:vAlign w:val="center"/>
          </w:tcPr>
          <w:p w14:paraId="23938B2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金水园小区</w:t>
            </w:r>
          </w:p>
        </w:tc>
        <w:tc>
          <w:tcPr>
            <w:tcW w:w="732" w:type="pct"/>
            <w:shd w:val="clear" w:color="auto" w:fill="auto"/>
            <w:vAlign w:val="center"/>
          </w:tcPr>
          <w:p w14:paraId="50D8101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50281F0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3907</w:t>
            </w:r>
          </w:p>
        </w:tc>
        <w:tc>
          <w:tcPr>
            <w:tcW w:w="596" w:type="pct"/>
            <w:shd w:val="clear" w:color="auto" w:fill="auto"/>
            <w:noWrap/>
            <w:vAlign w:val="center"/>
          </w:tcPr>
          <w:p w14:paraId="74B516C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044DA8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452</w:t>
            </w:r>
          </w:p>
        </w:tc>
      </w:tr>
      <w:tr w14:paraId="752845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F76D19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155</w:t>
            </w:r>
          </w:p>
        </w:tc>
        <w:tc>
          <w:tcPr>
            <w:tcW w:w="1982" w:type="pct"/>
            <w:shd w:val="clear" w:color="auto" w:fill="auto"/>
            <w:vAlign w:val="center"/>
          </w:tcPr>
          <w:p w14:paraId="1CD7AF8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政安里</w:t>
            </w:r>
          </w:p>
        </w:tc>
        <w:tc>
          <w:tcPr>
            <w:tcW w:w="732" w:type="pct"/>
            <w:shd w:val="clear" w:color="auto" w:fill="auto"/>
            <w:vAlign w:val="center"/>
          </w:tcPr>
          <w:p w14:paraId="2887690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5917505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1022</w:t>
            </w:r>
          </w:p>
        </w:tc>
        <w:tc>
          <w:tcPr>
            <w:tcW w:w="596" w:type="pct"/>
            <w:shd w:val="clear" w:color="auto" w:fill="auto"/>
            <w:noWrap/>
            <w:vAlign w:val="center"/>
          </w:tcPr>
          <w:p w14:paraId="2CCEC3C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6D167E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753</w:t>
            </w:r>
          </w:p>
        </w:tc>
      </w:tr>
      <w:tr w14:paraId="5AAD25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39E48D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156</w:t>
            </w:r>
          </w:p>
        </w:tc>
        <w:tc>
          <w:tcPr>
            <w:tcW w:w="1982" w:type="pct"/>
            <w:shd w:val="clear" w:color="auto" w:fill="auto"/>
            <w:vAlign w:val="center"/>
          </w:tcPr>
          <w:p w14:paraId="774B22E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育德里</w:t>
            </w:r>
          </w:p>
        </w:tc>
        <w:tc>
          <w:tcPr>
            <w:tcW w:w="732" w:type="pct"/>
            <w:shd w:val="clear" w:color="auto" w:fill="auto"/>
            <w:vAlign w:val="center"/>
          </w:tcPr>
          <w:p w14:paraId="1F346FF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69010A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4944</w:t>
            </w:r>
          </w:p>
        </w:tc>
        <w:tc>
          <w:tcPr>
            <w:tcW w:w="596" w:type="pct"/>
            <w:shd w:val="clear" w:color="auto" w:fill="auto"/>
            <w:noWrap/>
            <w:vAlign w:val="center"/>
          </w:tcPr>
          <w:p w14:paraId="0527418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8AA1C0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159</w:t>
            </w:r>
          </w:p>
        </w:tc>
      </w:tr>
      <w:tr w14:paraId="060237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81E977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157</w:t>
            </w:r>
          </w:p>
        </w:tc>
        <w:tc>
          <w:tcPr>
            <w:tcW w:w="1982" w:type="pct"/>
            <w:shd w:val="clear" w:color="auto" w:fill="auto"/>
            <w:vAlign w:val="center"/>
          </w:tcPr>
          <w:p w14:paraId="2DF46DE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正营工业园职工公寓</w:t>
            </w:r>
          </w:p>
        </w:tc>
        <w:tc>
          <w:tcPr>
            <w:tcW w:w="732" w:type="pct"/>
            <w:shd w:val="clear" w:color="auto" w:fill="auto"/>
            <w:vAlign w:val="center"/>
          </w:tcPr>
          <w:p w14:paraId="0DC0AA8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21284DA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2795</w:t>
            </w:r>
          </w:p>
        </w:tc>
        <w:tc>
          <w:tcPr>
            <w:tcW w:w="596" w:type="pct"/>
            <w:shd w:val="clear" w:color="auto" w:fill="auto"/>
            <w:noWrap/>
            <w:vAlign w:val="center"/>
          </w:tcPr>
          <w:p w14:paraId="03C7AE5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68C52C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159</w:t>
            </w:r>
          </w:p>
        </w:tc>
      </w:tr>
      <w:tr w14:paraId="30A810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5D8710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158</w:t>
            </w:r>
          </w:p>
        </w:tc>
        <w:tc>
          <w:tcPr>
            <w:tcW w:w="1982" w:type="pct"/>
            <w:shd w:val="clear" w:color="auto" w:fill="auto"/>
            <w:vAlign w:val="center"/>
          </w:tcPr>
          <w:p w14:paraId="0346F8A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恒大悦府</w:t>
            </w:r>
          </w:p>
        </w:tc>
        <w:tc>
          <w:tcPr>
            <w:tcW w:w="732" w:type="pct"/>
            <w:shd w:val="clear" w:color="auto" w:fill="auto"/>
            <w:vAlign w:val="center"/>
          </w:tcPr>
          <w:p w14:paraId="3FF3B1B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641D7A9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4945</w:t>
            </w:r>
          </w:p>
        </w:tc>
        <w:tc>
          <w:tcPr>
            <w:tcW w:w="596" w:type="pct"/>
            <w:shd w:val="clear" w:color="auto" w:fill="auto"/>
            <w:noWrap/>
            <w:vAlign w:val="center"/>
          </w:tcPr>
          <w:p w14:paraId="4685D4F8">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1D2127A">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253</w:t>
            </w:r>
          </w:p>
        </w:tc>
      </w:tr>
      <w:tr w14:paraId="5A7979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753D64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159</w:t>
            </w:r>
          </w:p>
        </w:tc>
        <w:tc>
          <w:tcPr>
            <w:tcW w:w="1982" w:type="pct"/>
            <w:shd w:val="clear" w:color="auto" w:fill="auto"/>
            <w:vAlign w:val="center"/>
          </w:tcPr>
          <w:p w14:paraId="31EF02E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鑫苑花园</w:t>
            </w:r>
          </w:p>
        </w:tc>
        <w:tc>
          <w:tcPr>
            <w:tcW w:w="732" w:type="pct"/>
            <w:shd w:val="clear" w:color="auto" w:fill="auto"/>
            <w:vAlign w:val="center"/>
          </w:tcPr>
          <w:p w14:paraId="3613B597">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E89944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4207</w:t>
            </w:r>
          </w:p>
        </w:tc>
        <w:tc>
          <w:tcPr>
            <w:tcW w:w="596" w:type="pct"/>
            <w:shd w:val="clear" w:color="auto" w:fill="auto"/>
            <w:noWrap/>
            <w:vAlign w:val="center"/>
          </w:tcPr>
          <w:p w14:paraId="2EED82C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F662D3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652</w:t>
            </w:r>
          </w:p>
        </w:tc>
      </w:tr>
      <w:tr w14:paraId="0F7EC5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74C0D9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160</w:t>
            </w:r>
          </w:p>
        </w:tc>
        <w:tc>
          <w:tcPr>
            <w:tcW w:w="1982" w:type="pct"/>
            <w:shd w:val="clear" w:color="auto" w:fill="auto"/>
            <w:vAlign w:val="center"/>
          </w:tcPr>
          <w:p w14:paraId="20F67B7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御和新苑</w:t>
            </w:r>
          </w:p>
        </w:tc>
        <w:tc>
          <w:tcPr>
            <w:tcW w:w="732" w:type="pct"/>
            <w:shd w:val="clear" w:color="auto" w:fill="auto"/>
            <w:vAlign w:val="center"/>
          </w:tcPr>
          <w:p w14:paraId="07C6E39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991191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969</w:t>
            </w:r>
          </w:p>
        </w:tc>
        <w:tc>
          <w:tcPr>
            <w:tcW w:w="596" w:type="pct"/>
            <w:shd w:val="clear" w:color="auto" w:fill="auto"/>
            <w:noWrap/>
            <w:vAlign w:val="center"/>
          </w:tcPr>
          <w:p w14:paraId="0C7103D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008DAD9">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463</w:t>
            </w:r>
          </w:p>
        </w:tc>
      </w:tr>
      <w:tr w14:paraId="0617F8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15EF51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161</w:t>
            </w:r>
          </w:p>
        </w:tc>
        <w:tc>
          <w:tcPr>
            <w:tcW w:w="1982" w:type="pct"/>
            <w:shd w:val="clear" w:color="auto" w:fill="auto"/>
            <w:vAlign w:val="center"/>
          </w:tcPr>
          <w:p w14:paraId="56E164BB">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幸福公寓</w:t>
            </w:r>
          </w:p>
        </w:tc>
        <w:tc>
          <w:tcPr>
            <w:tcW w:w="732" w:type="pct"/>
            <w:shd w:val="clear" w:color="auto" w:fill="auto"/>
            <w:vAlign w:val="center"/>
          </w:tcPr>
          <w:p w14:paraId="5A3727A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28334AC">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4010</w:t>
            </w:r>
          </w:p>
        </w:tc>
        <w:tc>
          <w:tcPr>
            <w:tcW w:w="596" w:type="pct"/>
            <w:shd w:val="clear" w:color="auto" w:fill="auto"/>
            <w:noWrap/>
            <w:vAlign w:val="center"/>
          </w:tcPr>
          <w:p w14:paraId="22C68D4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61A4D6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853</w:t>
            </w:r>
          </w:p>
        </w:tc>
      </w:tr>
      <w:tr w14:paraId="5C3A23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09E505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162</w:t>
            </w:r>
          </w:p>
        </w:tc>
        <w:tc>
          <w:tcPr>
            <w:tcW w:w="1982" w:type="pct"/>
            <w:shd w:val="clear" w:color="auto" w:fill="auto"/>
            <w:vAlign w:val="center"/>
          </w:tcPr>
          <w:p w14:paraId="68295036">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浩泽园小区</w:t>
            </w:r>
          </w:p>
        </w:tc>
        <w:tc>
          <w:tcPr>
            <w:tcW w:w="732" w:type="pct"/>
            <w:shd w:val="clear" w:color="auto" w:fill="auto"/>
            <w:vAlign w:val="center"/>
          </w:tcPr>
          <w:p w14:paraId="6DCC936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62085D20">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3814</w:t>
            </w:r>
          </w:p>
        </w:tc>
        <w:tc>
          <w:tcPr>
            <w:tcW w:w="596" w:type="pct"/>
            <w:shd w:val="clear" w:color="auto" w:fill="auto"/>
            <w:noWrap/>
            <w:vAlign w:val="center"/>
          </w:tcPr>
          <w:p w14:paraId="0C76781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4D02A34">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254</w:t>
            </w:r>
          </w:p>
        </w:tc>
      </w:tr>
      <w:tr w14:paraId="767547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D049FB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163</w:t>
            </w:r>
          </w:p>
        </w:tc>
        <w:tc>
          <w:tcPr>
            <w:tcW w:w="1982" w:type="pct"/>
            <w:shd w:val="clear" w:color="auto" w:fill="auto"/>
            <w:vAlign w:val="center"/>
          </w:tcPr>
          <w:p w14:paraId="6C78224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吾悦华府</w:t>
            </w:r>
          </w:p>
        </w:tc>
        <w:tc>
          <w:tcPr>
            <w:tcW w:w="732" w:type="pct"/>
            <w:shd w:val="clear" w:color="auto" w:fill="auto"/>
            <w:vAlign w:val="center"/>
          </w:tcPr>
          <w:p w14:paraId="108A02F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429D2DF3">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4651</w:t>
            </w:r>
          </w:p>
        </w:tc>
        <w:tc>
          <w:tcPr>
            <w:tcW w:w="596" w:type="pct"/>
            <w:shd w:val="clear" w:color="auto" w:fill="auto"/>
            <w:noWrap/>
            <w:vAlign w:val="center"/>
          </w:tcPr>
          <w:p w14:paraId="7616FE82">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B556FDD">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2086</w:t>
            </w:r>
          </w:p>
        </w:tc>
      </w:tr>
      <w:tr w14:paraId="1C0282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8A97F7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164</w:t>
            </w:r>
          </w:p>
        </w:tc>
        <w:tc>
          <w:tcPr>
            <w:tcW w:w="1982" w:type="pct"/>
            <w:shd w:val="clear" w:color="auto" w:fill="auto"/>
            <w:vAlign w:val="center"/>
          </w:tcPr>
          <w:p w14:paraId="582FACEE">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众惠里小区</w:t>
            </w:r>
          </w:p>
        </w:tc>
        <w:tc>
          <w:tcPr>
            <w:tcW w:w="732" w:type="pct"/>
            <w:shd w:val="clear" w:color="auto" w:fill="auto"/>
            <w:vAlign w:val="center"/>
          </w:tcPr>
          <w:p w14:paraId="16B7A091">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0ACF0A75">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4907</w:t>
            </w:r>
          </w:p>
        </w:tc>
        <w:tc>
          <w:tcPr>
            <w:tcW w:w="596" w:type="pct"/>
            <w:shd w:val="clear" w:color="auto" w:fill="auto"/>
            <w:noWrap/>
            <w:vAlign w:val="center"/>
          </w:tcPr>
          <w:p w14:paraId="229E468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F0F89CF">
            <w:pPr>
              <w:keepNext w:val="0"/>
              <w:keepLines w:val="0"/>
              <w:widowControl/>
              <w:suppressLineNumbers w:val="0"/>
              <w:jc w:val="center"/>
              <w:textAlignment w:val="center"/>
              <w:rPr>
                <w:rFonts w:hint="eastAsia" w:ascii="仿宋" w:hAnsi="仿宋" w:eastAsia="仿宋" w:cs="宋体"/>
                <w:color w:val="000000"/>
                <w:kern w:val="0"/>
                <w:sz w:val="24"/>
                <w:szCs w:val="24"/>
              </w:rPr>
            </w:pPr>
            <w:r>
              <w:rPr>
                <w:rFonts w:hint="eastAsia" w:ascii="宋体" w:hAnsi="宋体" w:eastAsia="宋体" w:cs="宋体"/>
                <w:i w:val="0"/>
                <w:iCs w:val="0"/>
                <w:color w:val="000000"/>
                <w:kern w:val="0"/>
                <w:sz w:val="24"/>
                <w:szCs w:val="24"/>
                <w:u w:val="none"/>
                <w:lang w:val="en-US" w:eastAsia="zh-CN" w:bidi="ar"/>
              </w:rPr>
              <w:t>352</w:t>
            </w:r>
          </w:p>
        </w:tc>
      </w:tr>
      <w:tr w14:paraId="7ECE51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065E21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165</w:t>
            </w:r>
          </w:p>
        </w:tc>
        <w:tc>
          <w:tcPr>
            <w:tcW w:w="1982" w:type="pct"/>
            <w:shd w:val="clear" w:color="auto" w:fill="auto"/>
            <w:vAlign w:val="center"/>
          </w:tcPr>
          <w:p w14:paraId="0946116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广建里小区</w:t>
            </w:r>
          </w:p>
        </w:tc>
        <w:tc>
          <w:tcPr>
            <w:tcW w:w="732" w:type="pct"/>
            <w:shd w:val="clear" w:color="auto" w:fill="auto"/>
            <w:vAlign w:val="center"/>
          </w:tcPr>
          <w:p w14:paraId="1E51D5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B310FF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4880</w:t>
            </w:r>
          </w:p>
        </w:tc>
        <w:tc>
          <w:tcPr>
            <w:tcW w:w="596" w:type="pct"/>
            <w:shd w:val="clear" w:color="auto" w:fill="auto"/>
            <w:noWrap/>
            <w:vAlign w:val="center"/>
          </w:tcPr>
          <w:p w14:paraId="08F1F9A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6B93B9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453</w:t>
            </w:r>
          </w:p>
        </w:tc>
      </w:tr>
      <w:tr w14:paraId="634497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1D9F1A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166</w:t>
            </w:r>
          </w:p>
        </w:tc>
        <w:tc>
          <w:tcPr>
            <w:tcW w:w="1982" w:type="pct"/>
            <w:shd w:val="clear" w:color="auto" w:fill="auto"/>
            <w:vAlign w:val="center"/>
          </w:tcPr>
          <w:p w14:paraId="1F2D617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谷香园</w:t>
            </w:r>
          </w:p>
        </w:tc>
        <w:tc>
          <w:tcPr>
            <w:tcW w:w="732" w:type="pct"/>
            <w:shd w:val="clear" w:color="auto" w:fill="auto"/>
            <w:vAlign w:val="center"/>
          </w:tcPr>
          <w:p w14:paraId="20880AC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E163EC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3983</w:t>
            </w:r>
          </w:p>
        </w:tc>
        <w:tc>
          <w:tcPr>
            <w:tcW w:w="596" w:type="pct"/>
            <w:shd w:val="clear" w:color="auto" w:fill="auto"/>
            <w:noWrap/>
            <w:vAlign w:val="center"/>
          </w:tcPr>
          <w:p w14:paraId="1405DCB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308380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1258</w:t>
            </w:r>
          </w:p>
        </w:tc>
      </w:tr>
      <w:tr w14:paraId="3559AE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1910A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167</w:t>
            </w:r>
          </w:p>
        </w:tc>
        <w:tc>
          <w:tcPr>
            <w:tcW w:w="1982" w:type="pct"/>
            <w:shd w:val="clear" w:color="auto" w:fill="auto"/>
            <w:vAlign w:val="center"/>
          </w:tcPr>
          <w:p w14:paraId="316C5A6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经财里</w:t>
            </w:r>
          </w:p>
        </w:tc>
        <w:tc>
          <w:tcPr>
            <w:tcW w:w="732" w:type="pct"/>
            <w:shd w:val="clear" w:color="auto" w:fill="auto"/>
            <w:vAlign w:val="center"/>
          </w:tcPr>
          <w:p w14:paraId="222AF82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34372EB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4958</w:t>
            </w:r>
          </w:p>
        </w:tc>
        <w:tc>
          <w:tcPr>
            <w:tcW w:w="596" w:type="pct"/>
            <w:shd w:val="clear" w:color="auto" w:fill="auto"/>
            <w:noWrap/>
            <w:vAlign w:val="center"/>
          </w:tcPr>
          <w:p w14:paraId="647B3E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5E053D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352</w:t>
            </w:r>
          </w:p>
        </w:tc>
      </w:tr>
      <w:tr w14:paraId="7B1093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8CBD52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168</w:t>
            </w:r>
          </w:p>
        </w:tc>
        <w:tc>
          <w:tcPr>
            <w:tcW w:w="1982" w:type="pct"/>
            <w:shd w:val="clear" w:color="auto" w:fill="auto"/>
            <w:vAlign w:val="center"/>
          </w:tcPr>
          <w:p w14:paraId="1A0E95F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丽水新苑</w:t>
            </w:r>
          </w:p>
        </w:tc>
        <w:tc>
          <w:tcPr>
            <w:tcW w:w="732" w:type="pct"/>
            <w:shd w:val="clear" w:color="auto" w:fill="auto"/>
            <w:vAlign w:val="center"/>
          </w:tcPr>
          <w:p w14:paraId="776F032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1E1843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4182</w:t>
            </w:r>
          </w:p>
        </w:tc>
        <w:tc>
          <w:tcPr>
            <w:tcW w:w="596" w:type="pct"/>
            <w:shd w:val="clear" w:color="auto" w:fill="auto"/>
            <w:noWrap/>
            <w:vAlign w:val="center"/>
          </w:tcPr>
          <w:p w14:paraId="7DF2C86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EA1596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785</w:t>
            </w:r>
          </w:p>
        </w:tc>
      </w:tr>
      <w:tr w14:paraId="588C68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29632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169</w:t>
            </w:r>
          </w:p>
        </w:tc>
        <w:tc>
          <w:tcPr>
            <w:tcW w:w="1982" w:type="pct"/>
            <w:shd w:val="clear" w:color="auto" w:fill="auto"/>
            <w:vAlign w:val="center"/>
          </w:tcPr>
          <w:p w14:paraId="74D9539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盛坤新苑</w:t>
            </w:r>
          </w:p>
        </w:tc>
        <w:tc>
          <w:tcPr>
            <w:tcW w:w="732" w:type="pct"/>
            <w:shd w:val="clear" w:color="auto" w:fill="auto"/>
            <w:vAlign w:val="center"/>
          </w:tcPr>
          <w:p w14:paraId="5183A01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6FB5CF9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4206</w:t>
            </w:r>
          </w:p>
        </w:tc>
        <w:tc>
          <w:tcPr>
            <w:tcW w:w="596" w:type="pct"/>
            <w:shd w:val="clear" w:color="auto" w:fill="auto"/>
            <w:noWrap/>
            <w:vAlign w:val="center"/>
          </w:tcPr>
          <w:p w14:paraId="5272CAF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97B11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1865</w:t>
            </w:r>
          </w:p>
        </w:tc>
      </w:tr>
      <w:tr w14:paraId="09DB81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1E4BCB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170</w:t>
            </w:r>
          </w:p>
        </w:tc>
        <w:tc>
          <w:tcPr>
            <w:tcW w:w="1982" w:type="pct"/>
            <w:shd w:val="clear" w:color="auto" w:fill="auto"/>
            <w:vAlign w:val="center"/>
          </w:tcPr>
          <w:p w14:paraId="5CB670A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天地源欧筑1898小区</w:t>
            </w:r>
          </w:p>
        </w:tc>
        <w:tc>
          <w:tcPr>
            <w:tcW w:w="732" w:type="pct"/>
            <w:shd w:val="clear" w:color="auto" w:fill="auto"/>
            <w:vAlign w:val="center"/>
          </w:tcPr>
          <w:p w14:paraId="3BAE437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072B5F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271</w:t>
            </w:r>
          </w:p>
        </w:tc>
        <w:tc>
          <w:tcPr>
            <w:tcW w:w="596" w:type="pct"/>
            <w:shd w:val="clear" w:color="auto" w:fill="auto"/>
            <w:noWrap/>
            <w:vAlign w:val="center"/>
          </w:tcPr>
          <w:p w14:paraId="22E016B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1C34E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1652</w:t>
            </w:r>
          </w:p>
        </w:tc>
      </w:tr>
      <w:tr w14:paraId="763772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C7E905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171</w:t>
            </w:r>
          </w:p>
        </w:tc>
        <w:tc>
          <w:tcPr>
            <w:tcW w:w="1982" w:type="pct"/>
            <w:shd w:val="clear" w:color="auto" w:fill="auto"/>
            <w:vAlign w:val="center"/>
          </w:tcPr>
          <w:p w14:paraId="572F18B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金溪园</w:t>
            </w:r>
          </w:p>
        </w:tc>
        <w:tc>
          <w:tcPr>
            <w:tcW w:w="732" w:type="pct"/>
            <w:shd w:val="clear" w:color="auto" w:fill="auto"/>
            <w:vAlign w:val="center"/>
          </w:tcPr>
          <w:p w14:paraId="461D603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CB421F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4023</w:t>
            </w:r>
          </w:p>
        </w:tc>
        <w:tc>
          <w:tcPr>
            <w:tcW w:w="596" w:type="pct"/>
            <w:shd w:val="clear" w:color="auto" w:fill="auto"/>
            <w:noWrap/>
            <w:vAlign w:val="center"/>
          </w:tcPr>
          <w:p w14:paraId="63C0C69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479867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352</w:t>
            </w:r>
          </w:p>
        </w:tc>
      </w:tr>
      <w:tr w14:paraId="0E32C3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431990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172</w:t>
            </w:r>
          </w:p>
        </w:tc>
        <w:tc>
          <w:tcPr>
            <w:tcW w:w="1982" w:type="pct"/>
            <w:shd w:val="clear" w:color="auto" w:fill="auto"/>
            <w:vAlign w:val="center"/>
          </w:tcPr>
          <w:p w14:paraId="29895D9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梅香园小区</w:t>
            </w:r>
          </w:p>
        </w:tc>
        <w:tc>
          <w:tcPr>
            <w:tcW w:w="732" w:type="pct"/>
            <w:shd w:val="clear" w:color="auto" w:fill="auto"/>
            <w:vAlign w:val="center"/>
          </w:tcPr>
          <w:p w14:paraId="4DF4EE7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0859958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2943</w:t>
            </w:r>
          </w:p>
        </w:tc>
        <w:tc>
          <w:tcPr>
            <w:tcW w:w="596" w:type="pct"/>
            <w:shd w:val="clear" w:color="auto" w:fill="auto"/>
            <w:noWrap/>
            <w:vAlign w:val="center"/>
          </w:tcPr>
          <w:p w14:paraId="3FBA8D2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2B6C64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1352</w:t>
            </w:r>
          </w:p>
        </w:tc>
      </w:tr>
      <w:tr w14:paraId="288A9E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5773A2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173</w:t>
            </w:r>
          </w:p>
        </w:tc>
        <w:tc>
          <w:tcPr>
            <w:tcW w:w="1982" w:type="pct"/>
            <w:shd w:val="clear" w:color="auto" w:fill="auto"/>
            <w:vAlign w:val="center"/>
          </w:tcPr>
          <w:p w14:paraId="63865A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通用润园</w:t>
            </w:r>
          </w:p>
        </w:tc>
        <w:tc>
          <w:tcPr>
            <w:tcW w:w="732" w:type="pct"/>
            <w:shd w:val="clear" w:color="auto" w:fill="auto"/>
            <w:vAlign w:val="center"/>
          </w:tcPr>
          <w:p w14:paraId="5FF60CF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00B18EF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3368</w:t>
            </w:r>
          </w:p>
        </w:tc>
        <w:tc>
          <w:tcPr>
            <w:tcW w:w="596" w:type="pct"/>
            <w:shd w:val="clear" w:color="auto" w:fill="auto"/>
            <w:noWrap/>
            <w:vAlign w:val="center"/>
          </w:tcPr>
          <w:p w14:paraId="1D8F8B8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EB67A1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1853</w:t>
            </w:r>
          </w:p>
        </w:tc>
      </w:tr>
      <w:tr w14:paraId="6368FF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DB6509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174</w:t>
            </w:r>
          </w:p>
        </w:tc>
        <w:tc>
          <w:tcPr>
            <w:tcW w:w="1982" w:type="pct"/>
            <w:shd w:val="clear" w:color="auto" w:fill="auto"/>
            <w:vAlign w:val="center"/>
          </w:tcPr>
          <w:p w14:paraId="7339692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大唐盛世郡璟庭院</w:t>
            </w:r>
          </w:p>
        </w:tc>
        <w:tc>
          <w:tcPr>
            <w:tcW w:w="732" w:type="pct"/>
            <w:shd w:val="clear" w:color="auto" w:fill="auto"/>
            <w:vAlign w:val="center"/>
          </w:tcPr>
          <w:p w14:paraId="0D89DD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2763498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4860</w:t>
            </w:r>
          </w:p>
        </w:tc>
        <w:tc>
          <w:tcPr>
            <w:tcW w:w="596" w:type="pct"/>
            <w:shd w:val="clear" w:color="auto" w:fill="auto"/>
            <w:noWrap/>
            <w:vAlign w:val="center"/>
          </w:tcPr>
          <w:p w14:paraId="2A84FFE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838DC7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1685</w:t>
            </w:r>
          </w:p>
        </w:tc>
      </w:tr>
      <w:tr w14:paraId="4109E0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662266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175</w:t>
            </w:r>
          </w:p>
        </w:tc>
        <w:tc>
          <w:tcPr>
            <w:tcW w:w="1982" w:type="pct"/>
            <w:shd w:val="clear" w:color="auto" w:fill="auto"/>
            <w:vAlign w:val="center"/>
          </w:tcPr>
          <w:p w14:paraId="1F290B4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昊天园</w:t>
            </w:r>
          </w:p>
        </w:tc>
        <w:tc>
          <w:tcPr>
            <w:tcW w:w="732" w:type="pct"/>
            <w:shd w:val="clear" w:color="auto" w:fill="auto"/>
            <w:vAlign w:val="center"/>
          </w:tcPr>
          <w:p w14:paraId="39DFF83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3B2251E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3728</w:t>
            </w:r>
          </w:p>
        </w:tc>
        <w:tc>
          <w:tcPr>
            <w:tcW w:w="596" w:type="pct"/>
            <w:shd w:val="clear" w:color="auto" w:fill="auto"/>
            <w:noWrap/>
            <w:vAlign w:val="center"/>
          </w:tcPr>
          <w:p w14:paraId="31112C0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7BFBF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352</w:t>
            </w:r>
          </w:p>
        </w:tc>
      </w:tr>
      <w:tr w14:paraId="6C762D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B77240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176</w:t>
            </w:r>
          </w:p>
        </w:tc>
        <w:tc>
          <w:tcPr>
            <w:tcW w:w="1982" w:type="pct"/>
            <w:shd w:val="clear" w:color="auto" w:fill="auto"/>
            <w:vAlign w:val="center"/>
          </w:tcPr>
          <w:p w14:paraId="35C4F42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金玉园东区</w:t>
            </w:r>
          </w:p>
        </w:tc>
        <w:tc>
          <w:tcPr>
            <w:tcW w:w="732" w:type="pct"/>
            <w:shd w:val="clear" w:color="auto" w:fill="auto"/>
            <w:vAlign w:val="center"/>
          </w:tcPr>
          <w:p w14:paraId="065A508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4CAD6EB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3803</w:t>
            </w:r>
          </w:p>
        </w:tc>
        <w:tc>
          <w:tcPr>
            <w:tcW w:w="596" w:type="pct"/>
            <w:shd w:val="clear" w:color="auto" w:fill="auto"/>
            <w:noWrap/>
            <w:vAlign w:val="center"/>
          </w:tcPr>
          <w:p w14:paraId="5E670BC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4EFFAB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4520</w:t>
            </w:r>
          </w:p>
        </w:tc>
      </w:tr>
      <w:tr w14:paraId="013017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634BC9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177</w:t>
            </w:r>
          </w:p>
        </w:tc>
        <w:tc>
          <w:tcPr>
            <w:tcW w:w="1982" w:type="pct"/>
            <w:shd w:val="clear" w:color="auto" w:fill="auto"/>
            <w:vAlign w:val="center"/>
          </w:tcPr>
          <w:p w14:paraId="422A934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金山园</w:t>
            </w:r>
          </w:p>
        </w:tc>
        <w:tc>
          <w:tcPr>
            <w:tcW w:w="732" w:type="pct"/>
            <w:shd w:val="clear" w:color="auto" w:fill="auto"/>
            <w:vAlign w:val="center"/>
          </w:tcPr>
          <w:p w14:paraId="049AC70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430FCF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3803</w:t>
            </w:r>
          </w:p>
        </w:tc>
        <w:tc>
          <w:tcPr>
            <w:tcW w:w="596" w:type="pct"/>
            <w:shd w:val="clear" w:color="auto" w:fill="auto"/>
            <w:noWrap/>
            <w:vAlign w:val="center"/>
          </w:tcPr>
          <w:p w14:paraId="73591C8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E555E7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1085</w:t>
            </w:r>
          </w:p>
        </w:tc>
      </w:tr>
      <w:tr w14:paraId="6046E5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198C76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178</w:t>
            </w:r>
          </w:p>
        </w:tc>
        <w:tc>
          <w:tcPr>
            <w:tcW w:w="1982" w:type="pct"/>
            <w:shd w:val="clear" w:color="auto" w:fill="auto"/>
            <w:vAlign w:val="center"/>
          </w:tcPr>
          <w:p w14:paraId="009C50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人安里</w:t>
            </w:r>
          </w:p>
        </w:tc>
        <w:tc>
          <w:tcPr>
            <w:tcW w:w="732" w:type="pct"/>
            <w:shd w:val="clear" w:color="auto" w:fill="auto"/>
            <w:vAlign w:val="center"/>
          </w:tcPr>
          <w:p w14:paraId="68E1E32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48BF9E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1143</w:t>
            </w:r>
          </w:p>
        </w:tc>
        <w:tc>
          <w:tcPr>
            <w:tcW w:w="596" w:type="pct"/>
            <w:shd w:val="clear" w:color="auto" w:fill="auto"/>
            <w:noWrap/>
            <w:vAlign w:val="center"/>
          </w:tcPr>
          <w:p w14:paraId="3EFEC72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D962F3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4352</w:t>
            </w:r>
          </w:p>
        </w:tc>
      </w:tr>
      <w:tr w14:paraId="1FBA3F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64415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179</w:t>
            </w:r>
          </w:p>
        </w:tc>
        <w:tc>
          <w:tcPr>
            <w:tcW w:w="1982" w:type="pct"/>
            <w:shd w:val="clear" w:color="auto" w:fill="auto"/>
            <w:vAlign w:val="center"/>
          </w:tcPr>
          <w:p w14:paraId="4D7B571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融信津南府(建设中)</w:t>
            </w:r>
          </w:p>
        </w:tc>
        <w:tc>
          <w:tcPr>
            <w:tcW w:w="732" w:type="pct"/>
            <w:shd w:val="clear" w:color="auto" w:fill="auto"/>
            <w:vAlign w:val="center"/>
          </w:tcPr>
          <w:p w14:paraId="66E6F51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1AB53F7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1959</w:t>
            </w:r>
          </w:p>
        </w:tc>
        <w:tc>
          <w:tcPr>
            <w:tcW w:w="596" w:type="pct"/>
            <w:shd w:val="clear" w:color="auto" w:fill="auto"/>
            <w:noWrap/>
            <w:vAlign w:val="center"/>
          </w:tcPr>
          <w:p w14:paraId="29B2FCD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A531AF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4086</w:t>
            </w:r>
          </w:p>
        </w:tc>
      </w:tr>
      <w:tr w14:paraId="129857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0E27C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180</w:t>
            </w:r>
          </w:p>
        </w:tc>
        <w:tc>
          <w:tcPr>
            <w:tcW w:w="1982" w:type="pct"/>
            <w:shd w:val="clear" w:color="auto" w:fill="auto"/>
            <w:vAlign w:val="center"/>
          </w:tcPr>
          <w:p w14:paraId="745A8C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吕坨子2区</w:t>
            </w:r>
          </w:p>
        </w:tc>
        <w:tc>
          <w:tcPr>
            <w:tcW w:w="732" w:type="pct"/>
            <w:shd w:val="clear" w:color="auto" w:fill="auto"/>
            <w:vAlign w:val="center"/>
          </w:tcPr>
          <w:p w14:paraId="37C05DE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20587C4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2004</w:t>
            </w:r>
          </w:p>
        </w:tc>
        <w:tc>
          <w:tcPr>
            <w:tcW w:w="596" w:type="pct"/>
            <w:shd w:val="clear" w:color="auto" w:fill="auto"/>
            <w:noWrap/>
            <w:vAlign w:val="center"/>
          </w:tcPr>
          <w:p w14:paraId="12F65CA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CA0DDF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256</w:t>
            </w:r>
          </w:p>
        </w:tc>
      </w:tr>
      <w:tr w14:paraId="236B7A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0B3FE5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181</w:t>
            </w:r>
          </w:p>
        </w:tc>
        <w:tc>
          <w:tcPr>
            <w:tcW w:w="1982" w:type="pct"/>
            <w:shd w:val="clear" w:color="auto" w:fill="auto"/>
            <w:vAlign w:val="center"/>
          </w:tcPr>
          <w:p w14:paraId="7F0C129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普明里</w:t>
            </w:r>
          </w:p>
        </w:tc>
        <w:tc>
          <w:tcPr>
            <w:tcW w:w="732" w:type="pct"/>
            <w:shd w:val="clear" w:color="auto" w:fill="auto"/>
            <w:vAlign w:val="center"/>
          </w:tcPr>
          <w:p w14:paraId="2DD1570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2C1B25A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4851</w:t>
            </w:r>
          </w:p>
        </w:tc>
        <w:tc>
          <w:tcPr>
            <w:tcW w:w="596" w:type="pct"/>
            <w:shd w:val="clear" w:color="auto" w:fill="auto"/>
            <w:noWrap/>
            <w:vAlign w:val="center"/>
          </w:tcPr>
          <w:p w14:paraId="3B7C4F8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4602C6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542</w:t>
            </w:r>
          </w:p>
        </w:tc>
      </w:tr>
      <w:tr w14:paraId="012B92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44A2BC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182</w:t>
            </w:r>
          </w:p>
        </w:tc>
        <w:tc>
          <w:tcPr>
            <w:tcW w:w="1982" w:type="pct"/>
            <w:shd w:val="clear" w:color="auto" w:fill="auto"/>
            <w:vAlign w:val="center"/>
          </w:tcPr>
          <w:p w14:paraId="7B4E9E2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建新公寓</w:t>
            </w:r>
          </w:p>
        </w:tc>
        <w:tc>
          <w:tcPr>
            <w:tcW w:w="732" w:type="pct"/>
            <w:shd w:val="clear" w:color="auto" w:fill="auto"/>
            <w:vAlign w:val="center"/>
          </w:tcPr>
          <w:p w14:paraId="487BE81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7131D7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509</w:t>
            </w:r>
          </w:p>
        </w:tc>
        <w:tc>
          <w:tcPr>
            <w:tcW w:w="596" w:type="pct"/>
            <w:shd w:val="clear" w:color="auto" w:fill="auto"/>
            <w:noWrap/>
            <w:vAlign w:val="center"/>
          </w:tcPr>
          <w:p w14:paraId="0D092A6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8436E2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1652</w:t>
            </w:r>
          </w:p>
        </w:tc>
      </w:tr>
      <w:tr w14:paraId="52EC84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4F94D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183</w:t>
            </w:r>
          </w:p>
        </w:tc>
        <w:tc>
          <w:tcPr>
            <w:tcW w:w="1982" w:type="pct"/>
            <w:shd w:val="clear" w:color="auto" w:fill="auto"/>
            <w:vAlign w:val="center"/>
          </w:tcPr>
          <w:p w14:paraId="4DFB2FF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富兴里</w:t>
            </w:r>
          </w:p>
        </w:tc>
        <w:tc>
          <w:tcPr>
            <w:tcW w:w="732" w:type="pct"/>
            <w:shd w:val="clear" w:color="auto" w:fill="auto"/>
            <w:vAlign w:val="center"/>
          </w:tcPr>
          <w:p w14:paraId="1170D87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DABF21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4619</w:t>
            </w:r>
          </w:p>
        </w:tc>
        <w:tc>
          <w:tcPr>
            <w:tcW w:w="596" w:type="pct"/>
            <w:shd w:val="clear" w:color="auto" w:fill="auto"/>
            <w:noWrap/>
            <w:vAlign w:val="center"/>
          </w:tcPr>
          <w:p w14:paraId="4B19FFD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3DC7E5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352</w:t>
            </w:r>
          </w:p>
        </w:tc>
      </w:tr>
      <w:tr w14:paraId="538956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95E7BD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184</w:t>
            </w:r>
          </w:p>
        </w:tc>
        <w:tc>
          <w:tcPr>
            <w:tcW w:w="1982" w:type="pct"/>
            <w:shd w:val="clear" w:color="auto" w:fill="auto"/>
            <w:vAlign w:val="center"/>
          </w:tcPr>
          <w:p w14:paraId="4EC2AD5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福馨公寓</w:t>
            </w:r>
          </w:p>
        </w:tc>
        <w:tc>
          <w:tcPr>
            <w:tcW w:w="732" w:type="pct"/>
            <w:shd w:val="clear" w:color="auto" w:fill="auto"/>
            <w:vAlign w:val="center"/>
          </w:tcPr>
          <w:p w14:paraId="473A10A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1CD757F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4224</w:t>
            </w:r>
          </w:p>
        </w:tc>
        <w:tc>
          <w:tcPr>
            <w:tcW w:w="596" w:type="pct"/>
            <w:shd w:val="clear" w:color="auto" w:fill="auto"/>
            <w:noWrap/>
            <w:vAlign w:val="center"/>
          </w:tcPr>
          <w:p w14:paraId="343EFE4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2F48F1C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745</w:t>
            </w:r>
          </w:p>
        </w:tc>
      </w:tr>
      <w:tr w14:paraId="01B7DC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8D1DD0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185</w:t>
            </w:r>
          </w:p>
        </w:tc>
        <w:tc>
          <w:tcPr>
            <w:tcW w:w="1982" w:type="pct"/>
            <w:shd w:val="clear" w:color="auto" w:fill="auto"/>
            <w:vAlign w:val="center"/>
          </w:tcPr>
          <w:p w14:paraId="5B87FE2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津门熙湖</w:t>
            </w:r>
          </w:p>
        </w:tc>
        <w:tc>
          <w:tcPr>
            <w:tcW w:w="732" w:type="pct"/>
            <w:shd w:val="clear" w:color="auto" w:fill="auto"/>
            <w:vAlign w:val="center"/>
          </w:tcPr>
          <w:p w14:paraId="6D7C2B5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5772744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2704</w:t>
            </w:r>
          </w:p>
        </w:tc>
        <w:tc>
          <w:tcPr>
            <w:tcW w:w="596" w:type="pct"/>
            <w:shd w:val="clear" w:color="auto" w:fill="auto"/>
            <w:noWrap/>
            <w:vAlign w:val="center"/>
          </w:tcPr>
          <w:p w14:paraId="5E4B45C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5CB3AF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5246</w:t>
            </w:r>
          </w:p>
        </w:tc>
      </w:tr>
      <w:tr w14:paraId="1D840F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F026E9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186</w:t>
            </w:r>
          </w:p>
        </w:tc>
        <w:tc>
          <w:tcPr>
            <w:tcW w:w="1982" w:type="pct"/>
            <w:shd w:val="clear" w:color="auto" w:fill="auto"/>
            <w:vAlign w:val="center"/>
          </w:tcPr>
          <w:p w14:paraId="689374D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华欣里</w:t>
            </w:r>
          </w:p>
        </w:tc>
        <w:tc>
          <w:tcPr>
            <w:tcW w:w="732" w:type="pct"/>
            <w:shd w:val="clear" w:color="auto" w:fill="auto"/>
            <w:vAlign w:val="center"/>
          </w:tcPr>
          <w:p w14:paraId="36D030A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C0EFBC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4996</w:t>
            </w:r>
          </w:p>
        </w:tc>
        <w:tc>
          <w:tcPr>
            <w:tcW w:w="596" w:type="pct"/>
            <w:shd w:val="clear" w:color="auto" w:fill="auto"/>
            <w:noWrap/>
            <w:vAlign w:val="center"/>
          </w:tcPr>
          <w:p w14:paraId="4F14790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53D9B8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253</w:t>
            </w:r>
          </w:p>
        </w:tc>
      </w:tr>
      <w:tr w14:paraId="32E28E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05122F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187</w:t>
            </w:r>
          </w:p>
        </w:tc>
        <w:tc>
          <w:tcPr>
            <w:tcW w:w="1982" w:type="pct"/>
            <w:shd w:val="clear" w:color="auto" w:fill="auto"/>
            <w:vAlign w:val="center"/>
          </w:tcPr>
          <w:p w14:paraId="0233892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福林庭苑</w:t>
            </w:r>
          </w:p>
        </w:tc>
        <w:tc>
          <w:tcPr>
            <w:tcW w:w="732" w:type="pct"/>
            <w:shd w:val="clear" w:color="auto" w:fill="auto"/>
            <w:vAlign w:val="center"/>
          </w:tcPr>
          <w:p w14:paraId="07028A5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4F8B347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3655</w:t>
            </w:r>
          </w:p>
        </w:tc>
        <w:tc>
          <w:tcPr>
            <w:tcW w:w="596" w:type="pct"/>
            <w:shd w:val="clear" w:color="auto" w:fill="auto"/>
            <w:noWrap/>
            <w:vAlign w:val="center"/>
          </w:tcPr>
          <w:p w14:paraId="4C86E4F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55DCD2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1254</w:t>
            </w:r>
          </w:p>
        </w:tc>
      </w:tr>
      <w:tr w14:paraId="1A2CB4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2AC114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188</w:t>
            </w:r>
          </w:p>
        </w:tc>
        <w:tc>
          <w:tcPr>
            <w:tcW w:w="1982" w:type="pct"/>
            <w:shd w:val="clear" w:color="auto" w:fill="auto"/>
            <w:vAlign w:val="center"/>
          </w:tcPr>
          <w:p w14:paraId="17C52B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益华里小区</w:t>
            </w:r>
          </w:p>
        </w:tc>
        <w:tc>
          <w:tcPr>
            <w:tcW w:w="732" w:type="pct"/>
            <w:shd w:val="clear" w:color="auto" w:fill="auto"/>
            <w:vAlign w:val="center"/>
          </w:tcPr>
          <w:p w14:paraId="2673285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7056374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4172</w:t>
            </w:r>
          </w:p>
        </w:tc>
        <w:tc>
          <w:tcPr>
            <w:tcW w:w="596" w:type="pct"/>
            <w:shd w:val="clear" w:color="auto" w:fill="auto"/>
            <w:noWrap/>
            <w:vAlign w:val="center"/>
          </w:tcPr>
          <w:p w14:paraId="763C178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6677B8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3526</w:t>
            </w:r>
          </w:p>
        </w:tc>
      </w:tr>
      <w:tr w14:paraId="748D52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9975D9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189</w:t>
            </w:r>
          </w:p>
        </w:tc>
        <w:tc>
          <w:tcPr>
            <w:tcW w:w="1982" w:type="pct"/>
            <w:shd w:val="clear" w:color="auto" w:fill="auto"/>
            <w:vAlign w:val="center"/>
          </w:tcPr>
          <w:p w14:paraId="4F3AB04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东亚新华国樾华府(建设中)</w:t>
            </w:r>
          </w:p>
        </w:tc>
        <w:tc>
          <w:tcPr>
            <w:tcW w:w="732" w:type="pct"/>
            <w:shd w:val="clear" w:color="auto" w:fill="auto"/>
            <w:vAlign w:val="center"/>
          </w:tcPr>
          <w:p w14:paraId="482B75C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AA28D3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4283</w:t>
            </w:r>
          </w:p>
        </w:tc>
        <w:tc>
          <w:tcPr>
            <w:tcW w:w="596" w:type="pct"/>
            <w:shd w:val="clear" w:color="auto" w:fill="auto"/>
            <w:noWrap/>
            <w:vAlign w:val="center"/>
          </w:tcPr>
          <w:p w14:paraId="4AF0E46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60CEF2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2456</w:t>
            </w:r>
          </w:p>
        </w:tc>
      </w:tr>
      <w:tr w14:paraId="1AC057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ABA088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190</w:t>
            </w:r>
          </w:p>
        </w:tc>
        <w:tc>
          <w:tcPr>
            <w:tcW w:w="1982" w:type="pct"/>
            <w:shd w:val="clear" w:color="auto" w:fill="auto"/>
            <w:vAlign w:val="center"/>
          </w:tcPr>
          <w:p w14:paraId="22EF50D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广建里小区西区</w:t>
            </w:r>
          </w:p>
        </w:tc>
        <w:tc>
          <w:tcPr>
            <w:tcW w:w="732" w:type="pct"/>
            <w:shd w:val="clear" w:color="auto" w:fill="auto"/>
            <w:vAlign w:val="center"/>
          </w:tcPr>
          <w:p w14:paraId="4D2F0F3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F9E3FE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4878</w:t>
            </w:r>
          </w:p>
        </w:tc>
        <w:tc>
          <w:tcPr>
            <w:tcW w:w="596" w:type="pct"/>
            <w:shd w:val="clear" w:color="auto" w:fill="auto"/>
            <w:noWrap/>
            <w:vAlign w:val="center"/>
          </w:tcPr>
          <w:p w14:paraId="6EB579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BE48C9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1253</w:t>
            </w:r>
          </w:p>
        </w:tc>
      </w:tr>
      <w:tr w14:paraId="6C1BF2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2D05CD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191</w:t>
            </w:r>
          </w:p>
        </w:tc>
        <w:tc>
          <w:tcPr>
            <w:tcW w:w="1982" w:type="pct"/>
            <w:shd w:val="clear" w:color="auto" w:fill="auto"/>
            <w:vAlign w:val="center"/>
          </w:tcPr>
          <w:p w14:paraId="6CA572C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福鑫路C区</w:t>
            </w:r>
          </w:p>
        </w:tc>
        <w:tc>
          <w:tcPr>
            <w:tcW w:w="732" w:type="pct"/>
            <w:shd w:val="clear" w:color="auto" w:fill="auto"/>
            <w:vAlign w:val="center"/>
          </w:tcPr>
          <w:p w14:paraId="5CF52D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377800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3346</w:t>
            </w:r>
          </w:p>
        </w:tc>
        <w:tc>
          <w:tcPr>
            <w:tcW w:w="596" w:type="pct"/>
            <w:shd w:val="clear" w:color="auto" w:fill="auto"/>
            <w:noWrap/>
            <w:vAlign w:val="center"/>
          </w:tcPr>
          <w:p w14:paraId="5EBCEC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D8E6B9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356</w:t>
            </w:r>
          </w:p>
        </w:tc>
      </w:tr>
      <w:tr w14:paraId="5B3C6C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CB878B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192</w:t>
            </w:r>
          </w:p>
        </w:tc>
        <w:tc>
          <w:tcPr>
            <w:tcW w:w="1982" w:type="pct"/>
            <w:shd w:val="clear" w:color="auto" w:fill="auto"/>
            <w:vAlign w:val="center"/>
          </w:tcPr>
          <w:p w14:paraId="498D2CD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钱隆学府三期</w:t>
            </w:r>
          </w:p>
        </w:tc>
        <w:tc>
          <w:tcPr>
            <w:tcW w:w="732" w:type="pct"/>
            <w:shd w:val="clear" w:color="auto" w:fill="auto"/>
            <w:vAlign w:val="center"/>
          </w:tcPr>
          <w:p w14:paraId="3C30F8B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4C4BA59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1956</w:t>
            </w:r>
          </w:p>
        </w:tc>
        <w:tc>
          <w:tcPr>
            <w:tcW w:w="596" w:type="pct"/>
            <w:shd w:val="clear" w:color="auto" w:fill="auto"/>
            <w:noWrap/>
            <w:vAlign w:val="center"/>
          </w:tcPr>
          <w:p w14:paraId="751CCD1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E8B297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854</w:t>
            </w:r>
          </w:p>
        </w:tc>
      </w:tr>
      <w:tr w14:paraId="7443B4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95435C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193</w:t>
            </w:r>
          </w:p>
        </w:tc>
        <w:tc>
          <w:tcPr>
            <w:tcW w:w="1982" w:type="pct"/>
            <w:shd w:val="clear" w:color="auto" w:fill="auto"/>
            <w:vAlign w:val="center"/>
          </w:tcPr>
          <w:p w14:paraId="13AAD28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汇文里</w:t>
            </w:r>
          </w:p>
        </w:tc>
        <w:tc>
          <w:tcPr>
            <w:tcW w:w="732" w:type="pct"/>
            <w:shd w:val="clear" w:color="auto" w:fill="auto"/>
            <w:vAlign w:val="center"/>
          </w:tcPr>
          <w:p w14:paraId="2A3C2A8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27C33E1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4086</w:t>
            </w:r>
          </w:p>
        </w:tc>
        <w:tc>
          <w:tcPr>
            <w:tcW w:w="596" w:type="pct"/>
            <w:shd w:val="clear" w:color="auto" w:fill="auto"/>
            <w:noWrap/>
            <w:vAlign w:val="center"/>
          </w:tcPr>
          <w:p w14:paraId="2B9EA22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925C91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352</w:t>
            </w:r>
          </w:p>
        </w:tc>
      </w:tr>
      <w:tr w14:paraId="72355B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D7E8CB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194</w:t>
            </w:r>
          </w:p>
        </w:tc>
        <w:tc>
          <w:tcPr>
            <w:tcW w:w="1982" w:type="pct"/>
            <w:shd w:val="clear" w:color="auto" w:fill="auto"/>
            <w:vAlign w:val="center"/>
          </w:tcPr>
          <w:p w14:paraId="3BB1466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檀香园</w:t>
            </w:r>
          </w:p>
        </w:tc>
        <w:tc>
          <w:tcPr>
            <w:tcW w:w="732" w:type="pct"/>
            <w:shd w:val="clear" w:color="auto" w:fill="auto"/>
            <w:vAlign w:val="center"/>
          </w:tcPr>
          <w:p w14:paraId="6B4FBD0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7ED91B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2851</w:t>
            </w:r>
          </w:p>
        </w:tc>
        <w:tc>
          <w:tcPr>
            <w:tcW w:w="596" w:type="pct"/>
            <w:shd w:val="clear" w:color="auto" w:fill="auto"/>
            <w:noWrap/>
            <w:vAlign w:val="center"/>
          </w:tcPr>
          <w:p w14:paraId="63ECC4B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DB1C54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253</w:t>
            </w:r>
          </w:p>
        </w:tc>
      </w:tr>
      <w:tr w14:paraId="5A79E6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AB6490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195</w:t>
            </w:r>
          </w:p>
        </w:tc>
        <w:tc>
          <w:tcPr>
            <w:tcW w:w="1982" w:type="pct"/>
            <w:shd w:val="clear" w:color="auto" w:fill="auto"/>
            <w:vAlign w:val="center"/>
          </w:tcPr>
          <w:p w14:paraId="4542B46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莲香园小区西区</w:t>
            </w:r>
          </w:p>
        </w:tc>
        <w:tc>
          <w:tcPr>
            <w:tcW w:w="732" w:type="pct"/>
            <w:shd w:val="clear" w:color="auto" w:fill="auto"/>
            <w:vAlign w:val="center"/>
          </w:tcPr>
          <w:p w14:paraId="3F14741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363D713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3055</w:t>
            </w:r>
          </w:p>
        </w:tc>
        <w:tc>
          <w:tcPr>
            <w:tcW w:w="596" w:type="pct"/>
            <w:shd w:val="clear" w:color="auto" w:fill="auto"/>
            <w:noWrap/>
            <w:vAlign w:val="center"/>
          </w:tcPr>
          <w:p w14:paraId="5E23221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D09F93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853</w:t>
            </w:r>
          </w:p>
        </w:tc>
      </w:tr>
      <w:tr w14:paraId="58F5E8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CC4204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196</w:t>
            </w:r>
          </w:p>
        </w:tc>
        <w:tc>
          <w:tcPr>
            <w:tcW w:w="1982" w:type="pct"/>
            <w:shd w:val="clear" w:color="auto" w:fill="auto"/>
            <w:vAlign w:val="center"/>
          </w:tcPr>
          <w:p w14:paraId="3CAA6CE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池家稻地4区</w:t>
            </w:r>
          </w:p>
        </w:tc>
        <w:tc>
          <w:tcPr>
            <w:tcW w:w="732" w:type="pct"/>
            <w:shd w:val="clear" w:color="auto" w:fill="auto"/>
            <w:vAlign w:val="center"/>
          </w:tcPr>
          <w:p w14:paraId="2EFA01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68684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4455</w:t>
            </w:r>
          </w:p>
        </w:tc>
        <w:tc>
          <w:tcPr>
            <w:tcW w:w="596" w:type="pct"/>
            <w:shd w:val="clear" w:color="auto" w:fill="auto"/>
            <w:noWrap/>
            <w:vAlign w:val="center"/>
          </w:tcPr>
          <w:p w14:paraId="548CDC7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FD8C44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253</w:t>
            </w:r>
          </w:p>
        </w:tc>
      </w:tr>
      <w:tr w14:paraId="7CB9AA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88699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197</w:t>
            </w:r>
          </w:p>
        </w:tc>
        <w:tc>
          <w:tcPr>
            <w:tcW w:w="1982" w:type="pct"/>
            <w:shd w:val="clear" w:color="auto" w:fill="auto"/>
            <w:vAlign w:val="center"/>
          </w:tcPr>
          <w:p w14:paraId="5FCF897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保利时代(建设中)</w:t>
            </w:r>
          </w:p>
        </w:tc>
        <w:tc>
          <w:tcPr>
            <w:tcW w:w="732" w:type="pct"/>
            <w:shd w:val="clear" w:color="auto" w:fill="auto"/>
            <w:vAlign w:val="center"/>
          </w:tcPr>
          <w:p w14:paraId="3725445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27D83B5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4335</w:t>
            </w:r>
          </w:p>
        </w:tc>
        <w:tc>
          <w:tcPr>
            <w:tcW w:w="596" w:type="pct"/>
            <w:shd w:val="clear" w:color="auto" w:fill="auto"/>
            <w:noWrap/>
            <w:vAlign w:val="center"/>
          </w:tcPr>
          <w:p w14:paraId="6EE8AE8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4F2F904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853</w:t>
            </w:r>
          </w:p>
        </w:tc>
      </w:tr>
      <w:tr w14:paraId="3A9FA8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CF252B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198</w:t>
            </w:r>
          </w:p>
        </w:tc>
        <w:tc>
          <w:tcPr>
            <w:tcW w:w="1982" w:type="pct"/>
            <w:shd w:val="clear" w:color="auto" w:fill="auto"/>
            <w:vAlign w:val="center"/>
          </w:tcPr>
          <w:p w14:paraId="315E71E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西花园小区</w:t>
            </w:r>
          </w:p>
        </w:tc>
        <w:tc>
          <w:tcPr>
            <w:tcW w:w="732" w:type="pct"/>
            <w:shd w:val="clear" w:color="auto" w:fill="auto"/>
            <w:vAlign w:val="center"/>
          </w:tcPr>
          <w:p w14:paraId="32B5E86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3317D53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3875</w:t>
            </w:r>
          </w:p>
        </w:tc>
        <w:tc>
          <w:tcPr>
            <w:tcW w:w="596" w:type="pct"/>
            <w:shd w:val="clear" w:color="auto" w:fill="auto"/>
            <w:noWrap/>
            <w:vAlign w:val="center"/>
          </w:tcPr>
          <w:p w14:paraId="59A7E70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A7584E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352</w:t>
            </w:r>
          </w:p>
        </w:tc>
      </w:tr>
      <w:tr w14:paraId="319332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774F5D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199</w:t>
            </w:r>
          </w:p>
        </w:tc>
        <w:tc>
          <w:tcPr>
            <w:tcW w:w="1982" w:type="pct"/>
            <w:shd w:val="clear" w:color="auto" w:fill="auto"/>
            <w:vAlign w:val="center"/>
          </w:tcPr>
          <w:p w14:paraId="5A6807D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龙湖樘樾二期(建设中)</w:t>
            </w:r>
          </w:p>
        </w:tc>
        <w:tc>
          <w:tcPr>
            <w:tcW w:w="732" w:type="pct"/>
            <w:shd w:val="clear" w:color="auto" w:fill="auto"/>
            <w:vAlign w:val="center"/>
          </w:tcPr>
          <w:p w14:paraId="419D864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7679A49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4972</w:t>
            </w:r>
          </w:p>
        </w:tc>
        <w:tc>
          <w:tcPr>
            <w:tcW w:w="596" w:type="pct"/>
            <w:shd w:val="clear" w:color="auto" w:fill="auto"/>
            <w:noWrap/>
            <w:vAlign w:val="center"/>
          </w:tcPr>
          <w:p w14:paraId="38D9D4B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00E0F9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425</w:t>
            </w:r>
          </w:p>
        </w:tc>
      </w:tr>
      <w:tr w14:paraId="009214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76C22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200</w:t>
            </w:r>
          </w:p>
        </w:tc>
        <w:tc>
          <w:tcPr>
            <w:tcW w:w="1982" w:type="pct"/>
            <w:shd w:val="clear" w:color="auto" w:fill="auto"/>
            <w:vAlign w:val="center"/>
          </w:tcPr>
          <w:p w14:paraId="3F72F7E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永旺居</w:t>
            </w:r>
          </w:p>
        </w:tc>
        <w:tc>
          <w:tcPr>
            <w:tcW w:w="732" w:type="pct"/>
            <w:shd w:val="clear" w:color="auto" w:fill="auto"/>
            <w:vAlign w:val="center"/>
          </w:tcPr>
          <w:p w14:paraId="24C0E39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4678918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4864</w:t>
            </w:r>
          </w:p>
        </w:tc>
        <w:tc>
          <w:tcPr>
            <w:tcW w:w="596" w:type="pct"/>
            <w:shd w:val="clear" w:color="auto" w:fill="auto"/>
            <w:noWrap/>
            <w:vAlign w:val="center"/>
          </w:tcPr>
          <w:p w14:paraId="0A04677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D22205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368</w:t>
            </w:r>
          </w:p>
        </w:tc>
      </w:tr>
      <w:tr w14:paraId="6B9622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F84732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201</w:t>
            </w:r>
          </w:p>
        </w:tc>
        <w:tc>
          <w:tcPr>
            <w:tcW w:w="1982" w:type="pct"/>
            <w:shd w:val="clear" w:color="auto" w:fill="auto"/>
            <w:vAlign w:val="center"/>
          </w:tcPr>
          <w:p w14:paraId="21C3F70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通新润府(建设中)</w:t>
            </w:r>
          </w:p>
        </w:tc>
        <w:tc>
          <w:tcPr>
            <w:tcW w:w="732" w:type="pct"/>
            <w:shd w:val="clear" w:color="auto" w:fill="auto"/>
            <w:vAlign w:val="center"/>
          </w:tcPr>
          <w:p w14:paraId="798691B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1E6F168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3431</w:t>
            </w:r>
          </w:p>
        </w:tc>
        <w:tc>
          <w:tcPr>
            <w:tcW w:w="596" w:type="pct"/>
            <w:shd w:val="clear" w:color="auto" w:fill="auto"/>
            <w:noWrap/>
            <w:vAlign w:val="center"/>
          </w:tcPr>
          <w:p w14:paraId="3DEB864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57BFBD6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1589</w:t>
            </w:r>
          </w:p>
        </w:tc>
      </w:tr>
      <w:tr w14:paraId="21587C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8F654A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202</w:t>
            </w:r>
          </w:p>
        </w:tc>
        <w:tc>
          <w:tcPr>
            <w:tcW w:w="1982" w:type="pct"/>
            <w:shd w:val="clear" w:color="auto" w:fill="auto"/>
            <w:vAlign w:val="center"/>
          </w:tcPr>
          <w:p w14:paraId="6E034E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南华里小区</w:t>
            </w:r>
          </w:p>
        </w:tc>
        <w:tc>
          <w:tcPr>
            <w:tcW w:w="732" w:type="pct"/>
            <w:shd w:val="clear" w:color="auto" w:fill="auto"/>
            <w:vAlign w:val="center"/>
          </w:tcPr>
          <w:p w14:paraId="5F91D42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3E7A0C4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4737</w:t>
            </w:r>
          </w:p>
        </w:tc>
        <w:tc>
          <w:tcPr>
            <w:tcW w:w="596" w:type="pct"/>
            <w:shd w:val="clear" w:color="auto" w:fill="auto"/>
            <w:noWrap/>
            <w:vAlign w:val="center"/>
          </w:tcPr>
          <w:p w14:paraId="22E2E2A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7502C59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3521</w:t>
            </w:r>
          </w:p>
        </w:tc>
      </w:tr>
      <w:tr w14:paraId="31B615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C51FDB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203</w:t>
            </w:r>
          </w:p>
        </w:tc>
        <w:tc>
          <w:tcPr>
            <w:tcW w:w="1982" w:type="pct"/>
            <w:shd w:val="clear" w:color="auto" w:fill="auto"/>
            <w:vAlign w:val="center"/>
          </w:tcPr>
          <w:p w14:paraId="514F3F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鸿儒新园2期</w:t>
            </w:r>
          </w:p>
        </w:tc>
        <w:tc>
          <w:tcPr>
            <w:tcW w:w="732" w:type="pct"/>
            <w:shd w:val="clear" w:color="auto" w:fill="auto"/>
            <w:vAlign w:val="center"/>
          </w:tcPr>
          <w:p w14:paraId="2EEA5B9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6A45604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1668</w:t>
            </w:r>
          </w:p>
        </w:tc>
        <w:tc>
          <w:tcPr>
            <w:tcW w:w="596" w:type="pct"/>
            <w:shd w:val="clear" w:color="auto" w:fill="auto"/>
            <w:noWrap/>
            <w:vAlign w:val="center"/>
          </w:tcPr>
          <w:p w14:paraId="2B51FAA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F80AF9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2538</w:t>
            </w:r>
          </w:p>
        </w:tc>
      </w:tr>
      <w:tr w14:paraId="702D18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D11E47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204</w:t>
            </w:r>
          </w:p>
        </w:tc>
        <w:tc>
          <w:tcPr>
            <w:tcW w:w="1982" w:type="pct"/>
            <w:shd w:val="clear" w:color="auto" w:fill="auto"/>
            <w:vAlign w:val="center"/>
          </w:tcPr>
          <w:p w14:paraId="772B01F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广建里小区东区</w:t>
            </w:r>
          </w:p>
        </w:tc>
        <w:tc>
          <w:tcPr>
            <w:tcW w:w="732" w:type="pct"/>
            <w:shd w:val="clear" w:color="auto" w:fill="auto"/>
            <w:vAlign w:val="center"/>
          </w:tcPr>
          <w:p w14:paraId="555366A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0C30EEA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4850</w:t>
            </w:r>
          </w:p>
        </w:tc>
        <w:tc>
          <w:tcPr>
            <w:tcW w:w="596" w:type="pct"/>
            <w:shd w:val="clear" w:color="auto" w:fill="auto"/>
            <w:noWrap/>
            <w:vAlign w:val="center"/>
          </w:tcPr>
          <w:p w14:paraId="65725FC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B919E9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682</w:t>
            </w:r>
          </w:p>
        </w:tc>
      </w:tr>
      <w:tr w14:paraId="317FCE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6D37FD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205</w:t>
            </w:r>
          </w:p>
        </w:tc>
        <w:tc>
          <w:tcPr>
            <w:tcW w:w="1982" w:type="pct"/>
            <w:shd w:val="clear" w:color="auto" w:fill="auto"/>
            <w:vAlign w:val="center"/>
          </w:tcPr>
          <w:p w14:paraId="1026CD3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莲香园小区</w:t>
            </w:r>
          </w:p>
        </w:tc>
        <w:tc>
          <w:tcPr>
            <w:tcW w:w="732" w:type="pct"/>
            <w:shd w:val="clear" w:color="auto" w:fill="auto"/>
            <w:vAlign w:val="center"/>
          </w:tcPr>
          <w:p w14:paraId="6607880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1B462B6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3120</w:t>
            </w:r>
          </w:p>
        </w:tc>
        <w:tc>
          <w:tcPr>
            <w:tcW w:w="596" w:type="pct"/>
            <w:shd w:val="clear" w:color="auto" w:fill="auto"/>
            <w:noWrap/>
            <w:vAlign w:val="center"/>
          </w:tcPr>
          <w:p w14:paraId="392D0CD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298193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986</w:t>
            </w:r>
          </w:p>
        </w:tc>
      </w:tr>
      <w:tr w14:paraId="500001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B089DA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206</w:t>
            </w:r>
          </w:p>
        </w:tc>
        <w:tc>
          <w:tcPr>
            <w:tcW w:w="1982" w:type="pct"/>
            <w:shd w:val="clear" w:color="auto" w:fill="auto"/>
            <w:vAlign w:val="center"/>
          </w:tcPr>
          <w:p w14:paraId="279417B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宗氏公寓</w:t>
            </w:r>
          </w:p>
        </w:tc>
        <w:tc>
          <w:tcPr>
            <w:tcW w:w="732" w:type="pct"/>
            <w:shd w:val="clear" w:color="auto" w:fill="auto"/>
            <w:vAlign w:val="center"/>
          </w:tcPr>
          <w:p w14:paraId="5A0FE10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7D959CB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3124</w:t>
            </w:r>
          </w:p>
        </w:tc>
        <w:tc>
          <w:tcPr>
            <w:tcW w:w="596" w:type="pct"/>
            <w:shd w:val="clear" w:color="auto" w:fill="auto"/>
            <w:noWrap/>
            <w:vAlign w:val="center"/>
          </w:tcPr>
          <w:p w14:paraId="384E731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D81F3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365</w:t>
            </w:r>
          </w:p>
        </w:tc>
      </w:tr>
      <w:tr w14:paraId="179760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47162D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982" w:type="pct"/>
            <w:shd w:val="clear" w:color="auto" w:fill="auto"/>
            <w:vAlign w:val="center"/>
          </w:tcPr>
          <w:p w14:paraId="40BD6E7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东花园村</w:t>
            </w:r>
          </w:p>
        </w:tc>
        <w:tc>
          <w:tcPr>
            <w:tcW w:w="732" w:type="pct"/>
            <w:shd w:val="clear" w:color="auto" w:fill="auto"/>
            <w:vAlign w:val="center"/>
          </w:tcPr>
          <w:p w14:paraId="1671C4B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1896971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4180</w:t>
            </w:r>
          </w:p>
        </w:tc>
        <w:tc>
          <w:tcPr>
            <w:tcW w:w="596" w:type="pct"/>
            <w:shd w:val="clear" w:color="auto" w:fill="auto"/>
            <w:noWrap/>
            <w:vAlign w:val="center"/>
          </w:tcPr>
          <w:p w14:paraId="6A3E2B1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5AAC1B9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1024</w:t>
            </w:r>
          </w:p>
        </w:tc>
      </w:tr>
      <w:tr w14:paraId="467469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77A7F3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208</w:t>
            </w:r>
          </w:p>
        </w:tc>
        <w:tc>
          <w:tcPr>
            <w:tcW w:w="1982" w:type="pct"/>
            <w:shd w:val="clear" w:color="auto" w:fill="auto"/>
            <w:vAlign w:val="center"/>
          </w:tcPr>
          <w:p w14:paraId="0F15FB8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东右营村</w:t>
            </w:r>
          </w:p>
        </w:tc>
        <w:tc>
          <w:tcPr>
            <w:tcW w:w="732" w:type="pct"/>
            <w:shd w:val="clear" w:color="auto" w:fill="auto"/>
            <w:vAlign w:val="center"/>
          </w:tcPr>
          <w:p w14:paraId="6448D20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03FE8F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1732</w:t>
            </w:r>
          </w:p>
        </w:tc>
        <w:tc>
          <w:tcPr>
            <w:tcW w:w="596" w:type="pct"/>
            <w:shd w:val="clear" w:color="auto" w:fill="auto"/>
            <w:noWrap/>
            <w:vAlign w:val="center"/>
          </w:tcPr>
          <w:p w14:paraId="6A73D18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375A85A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253</w:t>
            </w:r>
          </w:p>
        </w:tc>
      </w:tr>
      <w:tr w14:paraId="55F310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756B99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209</w:t>
            </w:r>
          </w:p>
        </w:tc>
        <w:tc>
          <w:tcPr>
            <w:tcW w:w="1982" w:type="pct"/>
            <w:shd w:val="clear" w:color="auto" w:fill="auto"/>
            <w:vAlign w:val="center"/>
          </w:tcPr>
          <w:p w14:paraId="58489BE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正营村</w:t>
            </w:r>
          </w:p>
        </w:tc>
        <w:tc>
          <w:tcPr>
            <w:tcW w:w="732" w:type="pct"/>
            <w:shd w:val="clear" w:color="auto" w:fill="auto"/>
            <w:vAlign w:val="center"/>
          </w:tcPr>
          <w:p w14:paraId="7B60BA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10C971E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1365</w:t>
            </w:r>
          </w:p>
        </w:tc>
        <w:tc>
          <w:tcPr>
            <w:tcW w:w="596" w:type="pct"/>
            <w:shd w:val="clear" w:color="auto" w:fill="auto"/>
            <w:noWrap/>
            <w:vAlign w:val="center"/>
          </w:tcPr>
          <w:p w14:paraId="7C911C9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0D0576E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w:t>
            </w:r>
          </w:p>
        </w:tc>
      </w:tr>
      <w:tr w14:paraId="1B8F9E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BCD4F9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210</w:t>
            </w:r>
          </w:p>
        </w:tc>
        <w:tc>
          <w:tcPr>
            <w:tcW w:w="1982" w:type="pct"/>
            <w:shd w:val="clear" w:color="auto" w:fill="auto"/>
            <w:vAlign w:val="center"/>
          </w:tcPr>
          <w:p w14:paraId="75521A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潘家洼村</w:t>
            </w:r>
          </w:p>
        </w:tc>
        <w:tc>
          <w:tcPr>
            <w:tcW w:w="732" w:type="pct"/>
            <w:shd w:val="clear" w:color="auto" w:fill="auto"/>
            <w:vAlign w:val="center"/>
          </w:tcPr>
          <w:p w14:paraId="441C916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1D02768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4507</w:t>
            </w:r>
          </w:p>
        </w:tc>
        <w:tc>
          <w:tcPr>
            <w:tcW w:w="596" w:type="pct"/>
            <w:shd w:val="clear" w:color="auto" w:fill="auto"/>
            <w:noWrap/>
            <w:vAlign w:val="center"/>
          </w:tcPr>
          <w:p w14:paraId="3A2FE7E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3F58E1B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852</w:t>
            </w:r>
          </w:p>
        </w:tc>
      </w:tr>
      <w:tr w14:paraId="16065B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1899B2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211</w:t>
            </w:r>
          </w:p>
        </w:tc>
        <w:tc>
          <w:tcPr>
            <w:tcW w:w="1982" w:type="pct"/>
            <w:shd w:val="clear" w:color="auto" w:fill="auto"/>
            <w:vAlign w:val="center"/>
          </w:tcPr>
          <w:p w14:paraId="23E447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王家场村</w:t>
            </w:r>
          </w:p>
        </w:tc>
        <w:tc>
          <w:tcPr>
            <w:tcW w:w="732" w:type="pct"/>
            <w:shd w:val="clear" w:color="auto" w:fill="auto"/>
            <w:vAlign w:val="center"/>
          </w:tcPr>
          <w:p w14:paraId="68661A5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956292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4566</w:t>
            </w:r>
          </w:p>
        </w:tc>
        <w:tc>
          <w:tcPr>
            <w:tcW w:w="596" w:type="pct"/>
            <w:shd w:val="clear" w:color="auto" w:fill="auto"/>
            <w:noWrap/>
            <w:vAlign w:val="center"/>
          </w:tcPr>
          <w:p w14:paraId="37867BE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16046A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1405</w:t>
            </w:r>
          </w:p>
        </w:tc>
      </w:tr>
      <w:tr w14:paraId="59E54B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0F834E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212</w:t>
            </w:r>
          </w:p>
        </w:tc>
        <w:tc>
          <w:tcPr>
            <w:tcW w:w="1982" w:type="pct"/>
            <w:shd w:val="clear" w:color="auto" w:fill="auto"/>
            <w:vAlign w:val="center"/>
          </w:tcPr>
          <w:p w14:paraId="1258E4B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三道沟村</w:t>
            </w:r>
          </w:p>
        </w:tc>
        <w:tc>
          <w:tcPr>
            <w:tcW w:w="732" w:type="pct"/>
            <w:shd w:val="clear" w:color="auto" w:fill="auto"/>
            <w:vAlign w:val="center"/>
          </w:tcPr>
          <w:p w14:paraId="78A43DE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30DB3E5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3929</w:t>
            </w:r>
          </w:p>
        </w:tc>
        <w:tc>
          <w:tcPr>
            <w:tcW w:w="596" w:type="pct"/>
            <w:shd w:val="clear" w:color="auto" w:fill="auto"/>
            <w:noWrap/>
            <w:vAlign w:val="center"/>
          </w:tcPr>
          <w:p w14:paraId="1BECB61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4C9906D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1086</w:t>
            </w:r>
          </w:p>
        </w:tc>
      </w:tr>
      <w:tr w14:paraId="0E1873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B70ACF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213</w:t>
            </w:r>
          </w:p>
        </w:tc>
        <w:tc>
          <w:tcPr>
            <w:tcW w:w="1982" w:type="pct"/>
            <w:shd w:val="clear" w:color="auto" w:fill="auto"/>
            <w:vAlign w:val="center"/>
          </w:tcPr>
          <w:p w14:paraId="29B9A73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吴家稻地村</w:t>
            </w:r>
          </w:p>
        </w:tc>
        <w:tc>
          <w:tcPr>
            <w:tcW w:w="732" w:type="pct"/>
            <w:shd w:val="clear" w:color="auto" w:fill="auto"/>
            <w:vAlign w:val="center"/>
          </w:tcPr>
          <w:p w14:paraId="5B9449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54C5E61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4651</w:t>
            </w:r>
          </w:p>
        </w:tc>
        <w:tc>
          <w:tcPr>
            <w:tcW w:w="596" w:type="pct"/>
            <w:shd w:val="clear" w:color="auto" w:fill="auto"/>
            <w:noWrap/>
            <w:vAlign w:val="center"/>
          </w:tcPr>
          <w:p w14:paraId="175565B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45F0386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785</w:t>
            </w:r>
          </w:p>
        </w:tc>
      </w:tr>
      <w:tr w14:paraId="5E9CFB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D94B70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214</w:t>
            </w:r>
          </w:p>
        </w:tc>
        <w:tc>
          <w:tcPr>
            <w:tcW w:w="1982" w:type="pct"/>
            <w:shd w:val="clear" w:color="auto" w:fill="auto"/>
            <w:vAlign w:val="center"/>
          </w:tcPr>
          <w:p w14:paraId="5D67DE1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四里沽村</w:t>
            </w:r>
          </w:p>
        </w:tc>
        <w:tc>
          <w:tcPr>
            <w:tcW w:w="732" w:type="pct"/>
            <w:shd w:val="clear" w:color="auto" w:fill="auto"/>
            <w:vAlign w:val="center"/>
          </w:tcPr>
          <w:p w14:paraId="72601C4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0889199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4659</w:t>
            </w:r>
          </w:p>
        </w:tc>
        <w:tc>
          <w:tcPr>
            <w:tcW w:w="596" w:type="pct"/>
            <w:shd w:val="clear" w:color="auto" w:fill="auto"/>
            <w:noWrap/>
            <w:vAlign w:val="center"/>
          </w:tcPr>
          <w:p w14:paraId="5908182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592F272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753</w:t>
            </w:r>
          </w:p>
        </w:tc>
      </w:tr>
      <w:tr w14:paraId="53862C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E0C315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215</w:t>
            </w:r>
          </w:p>
        </w:tc>
        <w:tc>
          <w:tcPr>
            <w:tcW w:w="1982" w:type="pct"/>
            <w:shd w:val="clear" w:color="auto" w:fill="auto"/>
            <w:vAlign w:val="center"/>
          </w:tcPr>
          <w:p w14:paraId="70C5C05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北义心庄</w:t>
            </w:r>
          </w:p>
        </w:tc>
        <w:tc>
          <w:tcPr>
            <w:tcW w:w="732" w:type="pct"/>
            <w:shd w:val="clear" w:color="auto" w:fill="auto"/>
            <w:vAlign w:val="center"/>
          </w:tcPr>
          <w:p w14:paraId="6F53CDA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2EB90E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3838</w:t>
            </w:r>
          </w:p>
        </w:tc>
        <w:tc>
          <w:tcPr>
            <w:tcW w:w="596" w:type="pct"/>
            <w:shd w:val="clear" w:color="auto" w:fill="auto"/>
            <w:noWrap/>
            <w:vAlign w:val="center"/>
          </w:tcPr>
          <w:p w14:paraId="7AF08C1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2C5A8BA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965</w:t>
            </w:r>
          </w:p>
        </w:tc>
      </w:tr>
      <w:tr w14:paraId="239679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D64965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216</w:t>
            </w:r>
          </w:p>
        </w:tc>
        <w:tc>
          <w:tcPr>
            <w:tcW w:w="1982" w:type="pct"/>
            <w:shd w:val="clear" w:color="auto" w:fill="auto"/>
            <w:vAlign w:val="center"/>
          </w:tcPr>
          <w:p w14:paraId="097CDC4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胜利</w:t>
            </w:r>
          </w:p>
        </w:tc>
        <w:tc>
          <w:tcPr>
            <w:tcW w:w="732" w:type="pct"/>
            <w:shd w:val="clear" w:color="auto" w:fill="auto"/>
            <w:vAlign w:val="center"/>
          </w:tcPr>
          <w:p w14:paraId="274CFB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1343322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4835</w:t>
            </w:r>
          </w:p>
        </w:tc>
        <w:tc>
          <w:tcPr>
            <w:tcW w:w="596" w:type="pct"/>
            <w:shd w:val="clear" w:color="auto" w:fill="auto"/>
            <w:noWrap/>
            <w:vAlign w:val="center"/>
          </w:tcPr>
          <w:p w14:paraId="284EEB7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5059CD2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854</w:t>
            </w:r>
          </w:p>
        </w:tc>
      </w:tr>
      <w:tr w14:paraId="2CCD8D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4D469D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217</w:t>
            </w:r>
          </w:p>
        </w:tc>
        <w:tc>
          <w:tcPr>
            <w:tcW w:w="1982" w:type="pct"/>
            <w:shd w:val="clear" w:color="auto" w:fill="auto"/>
            <w:vAlign w:val="center"/>
          </w:tcPr>
          <w:p w14:paraId="5E2B478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北洋村</w:t>
            </w:r>
          </w:p>
        </w:tc>
        <w:tc>
          <w:tcPr>
            <w:tcW w:w="732" w:type="pct"/>
            <w:shd w:val="clear" w:color="auto" w:fill="auto"/>
            <w:vAlign w:val="center"/>
          </w:tcPr>
          <w:p w14:paraId="6643328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628A29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4744</w:t>
            </w:r>
          </w:p>
        </w:tc>
        <w:tc>
          <w:tcPr>
            <w:tcW w:w="596" w:type="pct"/>
            <w:shd w:val="clear" w:color="auto" w:fill="auto"/>
            <w:noWrap/>
            <w:vAlign w:val="center"/>
          </w:tcPr>
          <w:p w14:paraId="409359A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1F5F7ED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352</w:t>
            </w:r>
          </w:p>
        </w:tc>
      </w:tr>
      <w:tr w14:paraId="73A70B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F8705F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218</w:t>
            </w:r>
          </w:p>
        </w:tc>
        <w:tc>
          <w:tcPr>
            <w:tcW w:w="1982" w:type="pct"/>
            <w:shd w:val="clear" w:color="auto" w:fill="auto"/>
            <w:vAlign w:val="center"/>
          </w:tcPr>
          <w:p w14:paraId="4C81353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小营盘村</w:t>
            </w:r>
          </w:p>
        </w:tc>
        <w:tc>
          <w:tcPr>
            <w:tcW w:w="732" w:type="pct"/>
            <w:shd w:val="clear" w:color="auto" w:fill="auto"/>
            <w:vAlign w:val="center"/>
          </w:tcPr>
          <w:p w14:paraId="319C65B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4D23378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3100</w:t>
            </w:r>
          </w:p>
        </w:tc>
        <w:tc>
          <w:tcPr>
            <w:tcW w:w="596" w:type="pct"/>
            <w:shd w:val="clear" w:color="auto" w:fill="auto"/>
            <w:noWrap/>
            <w:vAlign w:val="center"/>
          </w:tcPr>
          <w:p w14:paraId="01E4175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7783F7F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90</w:t>
            </w:r>
          </w:p>
        </w:tc>
      </w:tr>
      <w:tr w14:paraId="7F1A76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79C16C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219</w:t>
            </w:r>
          </w:p>
        </w:tc>
        <w:tc>
          <w:tcPr>
            <w:tcW w:w="1982" w:type="pct"/>
            <w:shd w:val="clear" w:color="auto" w:fill="auto"/>
            <w:vAlign w:val="center"/>
          </w:tcPr>
          <w:p w14:paraId="16FD95E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小站镇东花园村</w:t>
            </w:r>
          </w:p>
        </w:tc>
        <w:tc>
          <w:tcPr>
            <w:tcW w:w="732" w:type="pct"/>
            <w:shd w:val="clear" w:color="auto" w:fill="auto"/>
            <w:vAlign w:val="center"/>
          </w:tcPr>
          <w:p w14:paraId="1725B3C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385BA62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4748</w:t>
            </w:r>
          </w:p>
        </w:tc>
        <w:tc>
          <w:tcPr>
            <w:tcW w:w="596" w:type="pct"/>
            <w:shd w:val="clear" w:color="auto" w:fill="auto"/>
            <w:noWrap/>
            <w:vAlign w:val="center"/>
          </w:tcPr>
          <w:p w14:paraId="7B0E633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1B5F872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105</w:t>
            </w:r>
          </w:p>
        </w:tc>
      </w:tr>
      <w:tr w14:paraId="6487EB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AAB7C9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220</w:t>
            </w:r>
          </w:p>
        </w:tc>
        <w:tc>
          <w:tcPr>
            <w:tcW w:w="1982" w:type="pct"/>
            <w:shd w:val="clear" w:color="auto" w:fill="auto"/>
            <w:vAlign w:val="center"/>
          </w:tcPr>
          <w:p w14:paraId="6D9BEF1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翟家甸村</w:t>
            </w:r>
          </w:p>
        </w:tc>
        <w:tc>
          <w:tcPr>
            <w:tcW w:w="732" w:type="pct"/>
            <w:shd w:val="clear" w:color="auto" w:fill="auto"/>
            <w:vAlign w:val="center"/>
          </w:tcPr>
          <w:p w14:paraId="123AAA9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2566DFE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4532</w:t>
            </w:r>
          </w:p>
        </w:tc>
        <w:tc>
          <w:tcPr>
            <w:tcW w:w="596" w:type="pct"/>
            <w:shd w:val="clear" w:color="auto" w:fill="auto"/>
            <w:noWrap/>
            <w:vAlign w:val="center"/>
          </w:tcPr>
          <w:p w14:paraId="3CDE487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自然村</w:t>
            </w:r>
          </w:p>
        </w:tc>
        <w:tc>
          <w:tcPr>
            <w:tcW w:w="580" w:type="pct"/>
            <w:shd w:val="clear" w:color="auto" w:fill="auto"/>
            <w:noWrap/>
            <w:vAlign w:val="center"/>
          </w:tcPr>
          <w:p w14:paraId="74DD02F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1065</w:t>
            </w:r>
          </w:p>
        </w:tc>
      </w:tr>
      <w:tr w14:paraId="473145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5A2F6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221</w:t>
            </w:r>
          </w:p>
        </w:tc>
        <w:tc>
          <w:tcPr>
            <w:tcW w:w="1982" w:type="pct"/>
            <w:shd w:val="clear" w:color="auto" w:fill="auto"/>
            <w:vAlign w:val="center"/>
          </w:tcPr>
          <w:p w14:paraId="768086D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津南服务区</w:t>
            </w:r>
          </w:p>
        </w:tc>
        <w:tc>
          <w:tcPr>
            <w:tcW w:w="732" w:type="pct"/>
            <w:shd w:val="clear" w:color="auto" w:fill="auto"/>
            <w:vAlign w:val="center"/>
          </w:tcPr>
          <w:p w14:paraId="0F4CC9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w:t>
            </w:r>
          </w:p>
        </w:tc>
        <w:tc>
          <w:tcPr>
            <w:tcW w:w="631" w:type="pct"/>
            <w:shd w:val="clear" w:color="auto" w:fill="auto"/>
            <w:vAlign w:val="center"/>
          </w:tcPr>
          <w:p w14:paraId="6381FF5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194</w:t>
            </w:r>
          </w:p>
        </w:tc>
        <w:tc>
          <w:tcPr>
            <w:tcW w:w="596" w:type="pct"/>
            <w:shd w:val="clear" w:color="auto" w:fill="auto"/>
            <w:noWrap/>
            <w:vAlign w:val="center"/>
          </w:tcPr>
          <w:p w14:paraId="7D42CC0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6C83676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106</w:t>
            </w:r>
          </w:p>
        </w:tc>
      </w:tr>
      <w:tr w14:paraId="05BAFF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94A914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222</w:t>
            </w:r>
          </w:p>
        </w:tc>
        <w:tc>
          <w:tcPr>
            <w:tcW w:w="1982" w:type="pct"/>
            <w:shd w:val="clear" w:color="auto" w:fill="auto"/>
            <w:vAlign w:val="center"/>
          </w:tcPr>
          <w:p w14:paraId="3E9E60B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小站镇人民政府</w:t>
            </w:r>
          </w:p>
        </w:tc>
        <w:tc>
          <w:tcPr>
            <w:tcW w:w="732" w:type="pct"/>
            <w:shd w:val="clear" w:color="auto" w:fill="auto"/>
            <w:vAlign w:val="center"/>
          </w:tcPr>
          <w:p w14:paraId="157ABDA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14309AE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3711</w:t>
            </w:r>
          </w:p>
        </w:tc>
        <w:tc>
          <w:tcPr>
            <w:tcW w:w="596" w:type="pct"/>
            <w:shd w:val="clear" w:color="auto" w:fill="auto"/>
            <w:noWrap/>
            <w:vAlign w:val="center"/>
          </w:tcPr>
          <w:p w14:paraId="0E5841F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2C44DD1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90</w:t>
            </w:r>
          </w:p>
        </w:tc>
      </w:tr>
      <w:tr w14:paraId="1EB5FD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B2B9E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223</w:t>
            </w:r>
          </w:p>
        </w:tc>
        <w:tc>
          <w:tcPr>
            <w:tcW w:w="1982" w:type="pct"/>
            <w:shd w:val="clear" w:color="auto" w:fill="auto"/>
            <w:vAlign w:val="center"/>
          </w:tcPr>
          <w:p w14:paraId="48881E3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天山国际腾飞基地</w:t>
            </w:r>
          </w:p>
        </w:tc>
        <w:tc>
          <w:tcPr>
            <w:tcW w:w="732" w:type="pct"/>
            <w:shd w:val="clear" w:color="auto" w:fill="auto"/>
            <w:vAlign w:val="center"/>
          </w:tcPr>
          <w:p w14:paraId="6B96109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5C604E5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3887</w:t>
            </w:r>
          </w:p>
        </w:tc>
        <w:tc>
          <w:tcPr>
            <w:tcW w:w="596" w:type="pct"/>
            <w:shd w:val="clear" w:color="auto" w:fill="auto"/>
            <w:noWrap/>
            <w:vAlign w:val="center"/>
          </w:tcPr>
          <w:p w14:paraId="1F9BC2E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11FC7A1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983</w:t>
            </w:r>
          </w:p>
        </w:tc>
      </w:tr>
      <w:tr w14:paraId="2603B7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FAF6A9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224</w:t>
            </w:r>
          </w:p>
        </w:tc>
        <w:tc>
          <w:tcPr>
            <w:tcW w:w="1982" w:type="pct"/>
            <w:shd w:val="clear" w:color="auto" w:fill="auto"/>
            <w:vAlign w:val="center"/>
          </w:tcPr>
          <w:p w14:paraId="7460BC3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天津市登凯玻璃有限公司</w:t>
            </w:r>
          </w:p>
        </w:tc>
        <w:tc>
          <w:tcPr>
            <w:tcW w:w="732" w:type="pct"/>
            <w:shd w:val="clear" w:color="auto" w:fill="auto"/>
            <w:vAlign w:val="center"/>
          </w:tcPr>
          <w:p w14:paraId="56CEAAD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6B917DC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3451</w:t>
            </w:r>
          </w:p>
        </w:tc>
        <w:tc>
          <w:tcPr>
            <w:tcW w:w="596" w:type="pct"/>
            <w:shd w:val="clear" w:color="auto" w:fill="auto"/>
            <w:noWrap/>
            <w:vAlign w:val="center"/>
          </w:tcPr>
          <w:p w14:paraId="1093141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12F105A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102</w:t>
            </w:r>
          </w:p>
        </w:tc>
      </w:tr>
      <w:tr w14:paraId="73AB6B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BD4335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225</w:t>
            </w:r>
          </w:p>
        </w:tc>
        <w:tc>
          <w:tcPr>
            <w:tcW w:w="1982" w:type="pct"/>
            <w:shd w:val="clear" w:color="auto" w:fill="auto"/>
            <w:vAlign w:val="center"/>
          </w:tcPr>
          <w:p w14:paraId="377E2C5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天津市百利源食品有限公司</w:t>
            </w:r>
          </w:p>
        </w:tc>
        <w:tc>
          <w:tcPr>
            <w:tcW w:w="732" w:type="pct"/>
            <w:shd w:val="clear" w:color="auto" w:fill="auto"/>
            <w:vAlign w:val="center"/>
          </w:tcPr>
          <w:p w14:paraId="3BFD426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19B37A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3338</w:t>
            </w:r>
          </w:p>
        </w:tc>
        <w:tc>
          <w:tcPr>
            <w:tcW w:w="596" w:type="pct"/>
            <w:shd w:val="clear" w:color="auto" w:fill="auto"/>
            <w:noWrap/>
            <w:vAlign w:val="center"/>
          </w:tcPr>
          <w:p w14:paraId="7F12440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EF81D2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w:t>
            </w:r>
          </w:p>
        </w:tc>
      </w:tr>
      <w:tr w14:paraId="4F16B7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4684C6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226</w:t>
            </w:r>
          </w:p>
        </w:tc>
        <w:tc>
          <w:tcPr>
            <w:tcW w:w="1982" w:type="pct"/>
            <w:shd w:val="clear" w:color="auto" w:fill="auto"/>
            <w:vAlign w:val="center"/>
          </w:tcPr>
          <w:p w14:paraId="3DDF208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天津隆喜餐具有限公司</w:t>
            </w:r>
          </w:p>
        </w:tc>
        <w:tc>
          <w:tcPr>
            <w:tcW w:w="732" w:type="pct"/>
            <w:shd w:val="clear" w:color="auto" w:fill="auto"/>
            <w:vAlign w:val="center"/>
          </w:tcPr>
          <w:p w14:paraId="6DF228E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756ABAC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2847</w:t>
            </w:r>
          </w:p>
        </w:tc>
        <w:tc>
          <w:tcPr>
            <w:tcW w:w="596" w:type="pct"/>
            <w:shd w:val="clear" w:color="auto" w:fill="auto"/>
            <w:noWrap/>
            <w:vAlign w:val="center"/>
          </w:tcPr>
          <w:p w14:paraId="0176BE7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01E7C9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w:t>
            </w:r>
          </w:p>
        </w:tc>
      </w:tr>
      <w:tr w14:paraId="125890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52EA23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228</w:t>
            </w:r>
          </w:p>
        </w:tc>
        <w:tc>
          <w:tcPr>
            <w:tcW w:w="1982" w:type="pct"/>
            <w:shd w:val="clear" w:color="auto" w:fill="auto"/>
            <w:vAlign w:val="center"/>
          </w:tcPr>
          <w:p w14:paraId="76F142C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天津市奥森卓利家具建材有限公司</w:t>
            </w:r>
          </w:p>
        </w:tc>
        <w:tc>
          <w:tcPr>
            <w:tcW w:w="732" w:type="pct"/>
            <w:shd w:val="clear" w:color="auto" w:fill="auto"/>
            <w:vAlign w:val="center"/>
          </w:tcPr>
          <w:p w14:paraId="506A4E3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63E18B2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3172</w:t>
            </w:r>
          </w:p>
        </w:tc>
        <w:tc>
          <w:tcPr>
            <w:tcW w:w="596" w:type="pct"/>
            <w:shd w:val="clear" w:color="auto" w:fill="auto"/>
            <w:noWrap/>
            <w:vAlign w:val="center"/>
          </w:tcPr>
          <w:p w14:paraId="34421E0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19A0E62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140</w:t>
            </w:r>
          </w:p>
        </w:tc>
      </w:tr>
      <w:tr w14:paraId="0F7EFF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C1EC33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229</w:t>
            </w:r>
          </w:p>
        </w:tc>
        <w:tc>
          <w:tcPr>
            <w:tcW w:w="1982" w:type="pct"/>
            <w:shd w:val="clear" w:color="auto" w:fill="auto"/>
            <w:vAlign w:val="center"/>
          </w:tcPr>
          <w:p w14:paraId="185EAB0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天津市京昆骑车配件有限公司</w:t>
            </w:r>
          </w:p>
        </w:tc>
        <w:tc>
          <w:tcPr>
            <w:tcW w:w="732" w:type="pct"/>
            <w:shd w:val="clear" w:color="auto" w:fill="auto"/>
            <w:vAlign w:val="center"/>
          </w:tcPr>
          <w:p w14:paraId="0C59758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152E0D0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2873</w:t>
            </w:r>
          </w:p>
        </w:tc>
        <w:tc>
          <w:tcPr>
            <w:tcW w:w="596" w:type="pct"/>
            <w:shd w:val="clear" w:color="auto" w:fill="auto"/>
            <w:noWrap/>
            <w:vAlign w:val="center"/>
          </w:tcPr>
          <w:p w14:paraId="616CB48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3E01E2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98</w:t>
            </w:r>
          </w:p>
        </w:tc>
      </w:tr>
      <w:tr w14:paraId="5472BC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C5A518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230</w:t>
            </w:r>
          </w:p>
        </w:tc>
        <w:tc>
          <w:tcPr>
            <w:tcW w:w="1982" w:type="pct"/>
            <w:shd w:val="clear" w:color="auto" w:fill="auto"/>
            <w:vAlign w:val="center"/>
          </w:tcPr>
          <w:p w14:paraId="5C7D208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天津市联合阀门有限公司</w:t>
            </w:r>
          </w:p>
        </w:tc>
        <w:tc>
          <w:tcPr>
            <w:tcW w:w="732" w:type="pct"/>
            <w:shd w:val="clear" w:color="auto" w:fill="auto"/>
            <w:vAlign w:val="center"/>
          </w:tcPr>
          <w:p w14:paraId="3E6C98B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7518809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1345</w:t>
            </w:r>
          </w:p>
        </w:tc>
        <w:tc>
          <w:tcPr>
            <w:tcW w:w="596" w:type="pct"/>
            <w:shd w:val="clear" w:color="auto" w:fill="auto"/>
            <w:noWrap/>
            <w:vAlign w:val="center"/>
          </w:tcPr>
          <w:p w14:paraId="4E14E44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2709574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99</w:t>
            </w:r>
          </w:p>
        </w:tc>
      </w:tr>
      <w:tr w14:paraId="7BC304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679C95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231</w:t>
            </w:r>
          </w:p>
        </w:tc>
        <w:tc>
          <w:tcPr>
            <w:tcW w:w="1982" w:type="pct"/>
            <w:shd w:val="clear" w:color="auto" w:fill="auto"/>
            <w:vAlign w:val="center"/>
          </w:tcPr>
          <w:p w14:paraId="3D6F16F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唯纯（天津）水处理剂有限公司</w:t>
            </w:r>
          </w:p>
        </w:tc>
        <w:tc>
          <w:tcPr>
            <w:tcW w:w="732" w:type="pct"/>
            <w:shd w:val="clear" w:color="auto" w:fill="auto"/>
            <w:vAlign w:val="center"/>
          </w:tcPr>
          <w:p w14:paraId="05FED81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377C3C5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1660</w:t>
            </w:r>
          </w:p>
        </w:tc>
        <w:tc>
          <w:tcPr>
            <w:tcW w:w="596" w:type="pct"/>
            <w:shd w:val="clear" w:color="auto" w:fill="auto"/>
            <w:noWrap/>
            <w:vAlign w:val="center"/>
          </w:tcPr>
          <w:p w14:paraId="51AAAD2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2138CE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106</w:t>
            </w:r>
          </w:p>
        </w:tc>
      </w:tr>
      <w:tr w14:paraId="29C3A0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560A87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232</w:t>
            </w:r>
          </w:p>
        </w:tc>
        <w:tc>
          <w:tcPr>
            <w:tcW w:w="1982" w:type="pct"/>
            <w:shd w:val="clear" w:color="auto" w:fill="auto"/>
            <w:vAlign w:val="center"/>
          </w:tcPr>
          <w:p w14:paraId="002B3B1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天津永恒机电有限公司</w:t>
            </w:r>
          </w:p>
        </w:tc>
        <w:tc>
          <w:tcPr>
            <w:tcW w:w="732" w:type="pct"/>
            <w:shd w:val="clear" w:color="auto" w:fill="auto"/>
            <w:vAlign w:val="center"/>
          </w:tcPr>
          <w:p w14:paraId="1E16BC7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A8D9C5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1502</w:t>
            </w:r>
          </w:p>
        </w:tc>
        <w:tc>
          <w:tcPr>
            <w:tcW w:w="596" w:type="pct"/>
            <w:shd w:val="clear" w:color="auto" w:fill="auto"/>
            <w:noWrap/>
            <w:vAlign w:val="center"/>
          </w:tcPr>
          <w:p w14:paraId="3EACD99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3EF10EB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103</w:t>
            </w:r>
          </w:p>
        </w:tc>
      </w:tr>
      <w:tr w14:paraId="2C5A98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A3AE06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233</w:t>
            </w:r>
          </w:p>
        </w:tc>
        <w:tc>
          <w:tcPr>
            <w:tcW w:w="1982" w:type="pct"/>
            <w:shd w:val="clear" w:color="auto" w:fill="auto"/>
            <w:vAlign w:val="center"/>
          </w:tcPr>
          <w:p w14:paraId="4A118B9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天津沃尔德泰克机电有限公司</w:t>
            </w:r>
          </w:p>
        </w:tc>
        <w:tc>
          <w:tcPr>
            <w:tcW w:w="732" w:type="pct"/>
            <w:shd w:val="clear" w:color="auto" w:fill="auto"/>
            <w:vAlign w:val="center"/>
          </w:tcPr>
          <w:p w14:paraId="60938EE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6130E7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1639</w:t>
            </w:r>
          </w:p>
        </w:tc>
        <w:tc>
          <w:tcPr>
            <w:tcW w:w="596" w:type="pct"/>
            <w:shd w:val="clear" w:color="auto" w:fill="auto"/>
            <w:noWrap/>
            <w:vAlign w:val="center"/>
          </w:tcPr>
          <w:p w14:paraId="40B3140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D21644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145</w:t>
            </w:r>
          </w:p>
        </w:tc>
      </w:tr>
      <w:tr w14:paraId="624704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15E2F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234</w:t>
            </w:r>
          </w:p>
        </w:tc>
        <w:tc>
          <w:tcPr>
            <w:tcW w:w="1982" w:type="pct"/>
            <w:shd w:val="clear" w:color="auto" w:fill="auto"/>
            <w:vAlign w:val="center"/>
          </w:tcPr>
          <w:p w14:paraId="4DDCAB8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艾博澳碳素（天津）有限公司</w:t>
            </w:r>
          </w:p>
        </w:tc>
        <w:tc>
          <w:tcPr>
            <w:tcW w:w="732" w:type="pct"/>
            <w:shd w:val="clear" w:color="auto" w:fill="auto"/>
            <w:vAlign w:val="center"/>
          </w:tcPr>
          <w:p w14:paraId="493BA77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4F52B54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1285</w:t>
            </w:r>
          </w:p>
        </w:tc>
        <w:tc>
          <w:tcPr>
            <w:tcW w:w="596" w:type="pct"/>
            <w:shd w:val="clear" w:color="auto" w:fill="auto"/>
            <w:noWrap/>
            <w:vAlign w:val="center"/>
          </w:tcPr>
          <w:p w14:paraId="55EE68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137D006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w:t>
            </w:r>
          </w:p>
        </w:tc>
      </w:tr>
      <w:tr w14:paraId="4A173F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DB4897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235</w:t>
            </w:r>
          </w:p>
        </w:tc>
        <w:tc>
          <w:tcPr>
            <w:tcW w:w="1982" w:type="pct"/>
            <w:shd w:val="clear" w:color="auto" w:fill="auto"/>
            <w:vAlign w:val="center"/>
          </w:tcPr>
          <w:p w14:paraId="27E1E1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天津市南洋兄弟石化设备有限公司</w:t>
            </w:r>
          </w:p>
        </w:tc>
        <w:tc>
          <w:tcPr>
            <w:tcW w:w="732" w:type="pct"/>
            <w:shd w:val="clear" w:color="auto" w:fill="auto"/>
            <w:vAlign w:val="center"/>
          </w:tcPr>
          <w:p w14:paraId="17FF323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27ACA64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2104</w:t>
            </w:r>
          </w:p>
        </w:tc>
        <w:tc>
          <w:tcPr>
            <w:tcW w:w="596" w:type="pct"/>
            <w:shd w:val="clear" w:color="auto" w:fill="auto"/>
            <w:noWrap/>
            <w:vAlign w:val="center"/>
          </w:tcPr>
          <w:p w14:paraId="05FA4A6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F15A96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146</w:t>
            </w:r>
          </w:p>
        </w:tc>
      </w:tr>
      <w:tr w14:paraId="06FFF0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776893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236</w:t>
            </w:r>
          </w:p>
        </w:tc>
        <w:tc>
          <w:tcPr>
            <w:tcW w:w="1982" w:type="pct"/>
            <w:shd w:val="clear" w:color="auto" w:fill="auto"/>
            <w:vAlign w:val="center"/>
          </w:tcPr>
          <w:p w14:paraId="4D373B0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天津金友大精工科技有限公司</w:t>
            </w:r>
          </w:p>
        </w:tc>
        <w:tc>
          <w:tcPr>
            <w:tcW w:w="732" w:type="pct"/>
            <w:shd w:val="clear" w:color="auto" w:fill="auto"/>
            <w:vAlign w:val="center"/>
          </w:tcPr>
          <w:p w14:paraId="021956E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036A74F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2092</w:t>
            </w:r>
          </w:p>
        </w:tc>
        <w:tc>
          <w:tcPr>
            <w:tcW w:w="596" w:type="pct"/>
            <w:shd w:val="clear" w:color="auto" w:fill="auto"/>
            <w:noWrap/>
            <w:vAlign w:val="center"/>
          </w:tcPr>
          <w:p w14:paraId="3616E93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387152C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104</w:t>
            </w:r>
          </w:p>
        </w:tc>
      </w:tr>
      <w:tr w14:paraId="144C3D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FE712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237</w:t>
            </w:r>
          </w:p>
        </w:tc>
        <w:tc>
          <w:tcPr>
            <w:tcW w:w="1982" w:type="pct"/>
            <w:shd w:val="clear" w:color="auto" w:fill="auto"/>
            <w:vAlign w:val="center"/>
          </w:tcPr>
          <w:p w14:paraId="25AD8CA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天津市一北电力设备有限公司</w:t>
            </w:r>
          </w:p>
        </w:tc>
        <w:tc>
          <w:tcPr>
            <w:tcW w:w="732" w:type="pct"/>
            <w:shd w:val="clear" w:color="auto" w:fill="auto"/>
            <w:vAlign w:val="center"/>
          </w:tcPr>
          <w:p w14:paraId="3F3092F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7FEB703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2155</w:t>
            </w:r>
          </w:p>
        </w:tc>
        <w:tc>
          <w:tcPr>
            <w:tcW w:w="596" w:type="pct"/>
            <w:shd w:val="clear" w:color="auto" w:fill="auto"/>
            <w:noWrap/>
            <w:vAlign w:val="center"/>
          </w:tcPr>
          <w:p w14:paraId="1C5253A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59D9EA5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94</w:t>
            </w:r>
          </w:p>
        </w:tc>
      </w:tr>
      <w:tr w14:paraId="2E9E5D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8BEABB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238</w:t>
            </w:r>
          </w:p>
        </w:tc>
        <w:tc>
          <w:tcPr>
            <w:tcW w:w="1982" w:type="pct"/>
            <w:shd w:val="clear" w:color="auto" w:fill="auto"/>
            <w:vAlign w:val="center"/>
          </w:tcPr>
          <w:p w14:paraId="28C5A40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天津市正津环保科技有限公司</w:t>
            </w:r>
          </w:p>
        </w:tc>
        <w:tc>
          <w:tcPr>
            <w:tcW w:w="732" w:type="pct"/>
            <w:shd w:val="clear" w:color="auto" w:fill="auto"/>
            <w:vAlign w:val="center"/>
          </w:tcPr>
          <w:p w14:paraId="176555E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0753804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1922</w:t>
            </w:r>
          </w:p>
        </w:tc>
        <w:tc>
          <w:tcPr>
            <w:tcW w:w="596" w:type="pct"/>
            <w:shd w:val="clear" w:color="auto" w:fill="auto"/>
            <w:noWrap/>
            <w:vAlign w:val="center"/>
          </w:tcPr>
          <w:p w14:paraId="55B61B2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30427D5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96</w:t>
            </w:r>
          </w:p>
        </w:tc>
      </w:tr>
      <w:tr w14:paraId="21BA92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23DBB8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239</w:t>
            </w:r>
          </w:p>
        </w:tc>
        <w:tc>
          <w:tcPr>
            <w:tcW w:w="1982" w:type="pct"/>
            <w:shd w:val="clear" w:color="auto" w:fill="auto"/>
            <w:vAlign w:val="center"/>
          </w:tcPr>
          <w:p w14:paraId="7D5171B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天津星月欧瑞门业有限公司</w:t>
            </w:r>
          </w:p>
        </w:tc>
        <w:tc>
          <w:tcPr>
            <w:tcW w:w="732" w:type="pct"/>
            <w:shd w:val="clear" w:color="auto" w:fill="auto"/>
            <w:vAlign w:val="center"/>
          </w:tcPr>
          <w:p w14:paraId="5564E6C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E74473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1890</w:t>
            </w:r>
          </w:p>
        </w:tc>
        <w:tc>
          <w:tcPr>
            <w:tcW w:w="596" w:type="pct"/>
            <w:shd w:val="clear" w:color="auto" w:fill="auto"/>
            <w:noWrap/>
            <w:vAlign w:val="center"/>
          </w:tcPr>
          <w:p w14:paraId="05FBDF4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E49610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108</w:t>
            </w:r>
          </w:p>
        </w:tc>
      </w:tr>
      <w:tr w14:paraId="1E6F3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314D4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240</w:t>
            </w:r>
          </w:p>
        </w:tc>
        <w:tc>
          <w:tcPr>
            <w:tcW w:w="1982" w:type="pct"/>
            <w:shd w:val="clear" w:color="auto" w:fill="auto"/>
            <w:vAlign w:val="center"/>
          </w:tcPr>
          <w:p w14:paraId="53D4F10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天津市富力量辰玻璃有限公司</w:t>
            </w:r>
          </w:p>
        </w:tc>
        <w:tc>
          <w:tcPr>
            <w:tcW w:w="732" w:type="pct"/>
            <w:shd w:val="clear" w:color="auto" w:fill="auto"/>
            <w:vAlign w:val="center"/>
          </w:tcPr>
          <w:p w14:paraId="1770F07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54CB404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1785</w:t>
            </w:r>
          </w:p>
        </w:tc>
        <w:tc>
          <w:tcPr>
            <w:tcW w:w="596" w:type="pct"/>
            <w:shd w:val="clear" w:color="auto" w:fill="auto"/>
            <w:noWrap/>
            <w:vAlign w:val="center"/>
          </w:tcPr>
          <w:p w14:paraId="0BF35BA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447D4E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136</w:t>
            </w:r>
          </w:p>
        </w:tc>
      </w:tr>
      <w:tr w14:paraId="706B6F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F6E2F5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241</w:t>
            </w:r>
          </w:p>
        </w:tc>
        <w:tc>
          <w:tcPr>
            <w:tcW w:w="1982" w:type="pct"/>
            <w:shd w:val="clear" w:color="auto" w:fill="auto"/>
            <w:vAlign w:val="center"/>
          </w:tcPr>
          <w:p w14:paraId="0D6A063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宣思园社区</w:t>
            </w:r>
          </w:p>
        </w:tc>
        <w:tc>
          <w:tcPr>
            <w:tcW w:w="732" w:type="pct"/>
            <w:shd w:val="clear" w:color="auto" w:fill="auto"/>
            <w:vAlign w:val="center"/>
          </w:tcPr>
          <w:p w14:paraId="29E4582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431AA5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2043</w:t>
            </w:r>
          </w:p>
        </w:tc>
        <w:tc>
          <w:tcPr>
            <w:tcW w:w="596" w:type="pct"/>
            <w:shd w:val="clear" w:color="auto" w:fill="auto"/>
            <w:noWrap/>
            <w:vAlign w:val="center"/>
          </w:tcPr>
          <w:p w14:paraId="40DDF58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A0081F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786</w:t>
            </w:r>
          </w:p>
        </w:tc>
      </w:tr>
      <w:tr w14:paraId="00943C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E3FC47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242</w:t>
            </w:r>
          </w:p>
        </w:tc>
        <w:tc>
          <w:tcPr>
            <w:tcW w:w="1982" w:type="pct"/>
            <w:shd w:val="clear" w:color="auto" w:fill="auto"/>
            <w:vAlign w:val="center"/>
          </w:tcPr>
          <w:p w14:paraId="22D1863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泽惠园社区</w:t>
            </w:r>
          </w:p>
        </w:tc>
        <w:tc>
          <w:tcPr>
            <w:tcW w:w="732" w:type="pct"/>
            <w:shd w:val="clear" w:color="auto" w:fill="auto"/>
            <w:vAlign w:val="center"/>
          </w:tcPr>
          <w:p w14:paraId="78F85F9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4AA65F5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1782</w:t>
            </w:r>
          </w:p>
        </w:tc>
        <w:tc>
          <w:tcPr>
            <w:tcW w:w="596" w:type="pct"/>
            <w:shd w:val="clear" w:color="auto" w:fill="auto"/>
            <w:noWrap/>
            <w:vAlign w:val="center"/>
          </w:tcPr>
          <w:p w14:paraId="6E554C6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1F88288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652</w:t>
            </w:r>
          </w:p>
        </w:tc>
      </w:tr>
      <w:tr w14:paraId="247BBF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4D054C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243</w:t>
            </w:r>
          </w:p>
        </w:tc>
        <w:tc>
          <w:tcPr>
            <w:tcW w:w="1982" w:type="pct"/>
            <w:shd w:val="clear" w:color="auto" w:fill="auto"/>
            <w:vAlign w:val="center"/>
          </w:tcPr>
          <w:p w14:paraId="64463B3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北闸口电子工业园区</w:t>
            </w:r>
          </w:p>
        </w:tc>
        <w:tc>
          <w:tcPr>
            <w:tcW w:w="732" w:type="pct"/>
            <w:shd w:val="clear" w:color="auto" w:fill="auto"/>
            <w:vAlign w:val="center"/>
          </w:tcPr>
          <w:p w14:paraId="22420BC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1329FEA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2951</w:t>
            </w:r>
          </w:p>
        </w:tc>
        <w:tc>
          <w:tcPr>
            <w:tcW w:w="596" w:type="pct"/>
            <w:shd w:val="clear" w:color="auto" w:fill="auto"/>
            <w:noWrap/>
            <w:vAlign w:val="center"/>
          </w:tcPr>
          <w:p w14:paraId="3F6B608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263BBD8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97</w:t>
            </w:r>
          </w:p>
        </w:tc>
      </w:tr>
      <w:tr w14:paraId="046C3B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E77E32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244</w:t>
            </w:r>
          </w:p>
        </w:tc>
        <w:tc>
          <w:tcPr>
            <w:tcW w:w="1982" w:type="pct"/>
            <w:shd w:val="clear" w:color="auto" w:fill="auto"/>
            <w:vAlign w:val="center"/>
          </w:tcPr>
          <w:p w14:paraId="246EB92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津南八里台镇潘家洼</w:t>
            </w:r>
          </w:p>
        </w:tc>
        <w:tc>
          <w:tcPr>
            <w:tcW w:w="732" w:type="pct"/>
            <w:shd w:val="clear" w:color="auto" w:fill="auto"/>
            <w:vAlign w:val="center"/>
          </w:tcPr>
          <w:p w14:paraId="0DAC795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0BBCC90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4035</w:t>
            </w:r>
          </w:p>
        </w:tc>
        <w:tc>
          <w:tcPr>
            <w:tcW w:w="596" w:type="pct"/>
            <w:shd w:val="clear" w:color="auto" w:fill="auto"/>
            <w:noWrap/>
            <w:vAlign w:val="center"/>
          </w:tcPr>
          <w:p w14:paraId="5EC9722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014DF85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1004</w:t>
            </w:r>
          </w:p>
        </w:tc>
      </w:tr>
      <w:tr w14:paraId="5B8F72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EE9F03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245</w:t>
            </w:r>
          </w:p>
        </w:tc>
        <w:tc>
          <w:tcPr>
            <w:tcW w:w="1982" w:type="pct"/>
            <w:shd w:val="clear" w:color="auto" w:fill="auto"/>
            <w:vAlign w:val="center"/>
          </w:tcPr>
          <w:p w14:paraId="701111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凯茨姆阀门集团有限公司</w:t>
            </w:r>
          </w:p>
        </w:tc>
        <w:tc>
          <w:tcPr>
            <w:tcW w:w="732" w:type="pct"/>
            <w:shd w:val="clear" w:color="auto" w:fill="auto"/>
            <w:vAlign w:val="center"/>
          </w:tcPr>
          <w:p w14:paraId="6342E65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3A56A34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4005</w:t>
            </w:r>
          </w:p>
        </w:tc>
        <w:tc>
          <w:tcPr>
            <w:tcW w:w="596" w:type="pct"/>
            <w:shd w:val="clear" w:color="auto" w:fill="auto"/>
            <w:noWrap/>
            <w:vAlign w:val="center"/>
          </w:tcPr>
          <w:p w14:paraId="2D86BE6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1D0195F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95</w:t>
            </w:r>
          </w:p>
        </w:tc>
      </w:tr>
      <w:tr w14:paraId="236C9C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B1F20A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246</w:t>
            </w:r>
          </w:p>
        </w:tc>
        <w:tc>
          <w:tcPr>
            <w:tcW w:w="1982" w:type="pct"/>
            <w:shd w:val="clear" w:color="auto" w:fill="auto"/>
            <w:vAlign w:val="center"/>
          </w:tcPr>
          <w:p w14:paraId="705F173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天津群固纸塑制品有限公司</w:t>
            </w:r>
          </w:p>
        </w:tc>
        <w:tc>
          <w:tcPr>
            <w:tcW w:w="732" w:type="pct"/>
            <w:shd w:val="clear" w:color="auto" w:fill="auto"/>
            <w:vAlign w:val="center"/>
          </w:tcPr>
          <w:p w14:paraId="1DCD79E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5654380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3857</w:t>
            </w:r>
          </w:p>
        </w:tc>
        <w:tc>
          <w:tcPr>
            <w:tcW w:w="596" w:type="pct"/>
            <w:shd w:val="clear" w:color="auto" w:fill="auto"/>
            <w:noWrap/>
            <w:vAlign w:val="center"/>
          </w:tcPr>
          <w:p w14:paraId="41E636F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06FC75C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88</w:t>
            </w:r>
          </w:p>
        </w:tc>
      </w:tr>
      <w:tr w14:paraId="72823F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494CE0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247</w:t>
            </w:r>
          </w:p>
        </w:tc>
        <w:tc>
          <w:tcPr>
            <w:tcW w:w="1982" w:type="pct"/>
            <w:shd w:val="clear" w:color="auto" w:fill="auto"/>
            <w:vAlign w:val="center"/>
          </w:tcPr>
          <w:p w14:paraId="7C2F0CC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天津市安平顺耕粮食种植专业合作社</w:t>
            </w:r>
          </w:p>
        </w:tc>
        <w:tc>
          <w:tcPr>
            <w:tcW w:w="732" w:type="pct"/>
            <w:shd w:val="clear" w:color="auto" w:fill="auto"/>
            <w:vAlign w:val="center"/>
          </w:tcPr>
          <w:p w14:paraId="41F026D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53057A1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3987</w:t>
            </w:r>
          </w:p>
        </w:tc>
        <w:tc>
          <w:tcPr>
            <w:tcW w:w="596" w:type="pct"/>
            <w:shd w:val="clear" w:color="auto" w:fill="auto"/>
            <w:noWrap/>
            <w:vAlign w:val="center"/>
          </w:tcPr>
          <w:p w14:paraId="2506D21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FE3D29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w:t>
            </w:r>
          </w:p>
        </w:tc>
      </w:tr>
      <w:tr w14:paraId="708355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6C532E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248</w:t>
            </w:r>
          </w:p>
        </w:tc>
        <w:tc>
          <w:tcPr>
            <w:tcW w:w="1982" w:type="pct"/>
            <w:shd w:val="clear" w:color="auto" w:fill="auto"/>
            <w:vAlign w:val="center"/>
          </w:tcPr>
          <w:p w14:paraId="4DC186A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天津津猫量子科技有限公司</w:t>
            </w:r>
          </w:p>
        </w:tc>
        <w:tc>
          <w:tcPr>
            <w:tcW w:w="732" w:type="pct"/>
            <w:shd w:val="clear" w:color="auto" w:fill="auto"/>
            <w:vAlign w:val="center"/>
          </w:tcPr>
          <w:p w14:paraId="044CCEF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6473725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4379</w:t>
            </w:r>
          </w:p>
        </w:tc>
        <w:tc>
          <w:tcPr>
            <w:tcW w:w="596" w:type="pct"/>
            <w:shd w:val="clear" w:color="auto" w:fill="auto"/>
            <w:noWrap/>
            <w:vAlign w:val="center"/>
          </w:tcPr>
          <w:p w14:paraId="2EEDA1C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83E454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122</w:t>
            </w:r>
          </w:p>
        </w:tc>
      </w:tr>
      <w:tr w14:paraId="7D0ADD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21BE4F1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249</w:t>
            </w:r>
          </w:p>
        </w:tc>
        <w:tc>
          <w:tcPr>
            <w:tcW w:w="1982" w:type="pct"/>
            <w:shd w:val="clear" w:color="auto" w:fill="auto"/>
            <w:vAlign w:val="center"/>
          </w:tcPr>
          <w:p w14:paraId="5987F44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天津市通达发金属工具有限公司</w:t>
            </w:r>
          </w:p>
        </w:tc>
        <w:tc>
          <w:tcPr>
            <w:tcW w:w="732" w:type="pct"/>
            <w:shd w:val="clear" w:color="auto" w:fill="auto"/>
            <w:vAlign w:val="center"/>
          </w:tcPr>
          <w:p w14:paraId="6D0B5E4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5B9BE2E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4422</w:t>
            </w:r>
          </w:p>
        </w:tc>
        <w:tc>
          <w:tcPr>
            <w:tcW w:w="596" w:type="pct"/>
            <w:shd w:val="clear" w:color="auto" w:fill="auto"/>
            <w:noWrap/>
            <w:vAlign w:val="center"/>
          </w:tcPr>
          <w:p w14:paraId="67AB35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5260C1F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106</w:t>
            </w:r>
          </w:p>
        </w:tc>
      </w:tr>
      <w:tr w14:paraId="38C069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62229C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250</w:t>
            </w:r>
          </w:p>
        </w:tc>
        <w:tc>
          <w:tcPr>
            <w:tcW w:w="1982" w:type="pct"/>
            <w:shd w:val="clear" w:color="auto" w:fill="auto"/>
            <w:vAlign w:val="center"/>
          </w:tcPr>
          <w:p w14:paraId="296842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天津市洁净空调设备有限公司</w:t>
            </w:r>
          </w:p>
        </w:tc>
        <w:tc>
          <w:tcPr>
            <w:tcW w:w="732" w:type="pct"/>
            <w:shd w:val="clear" w:color="auto" w:fill="auto"/>
            <w:vAlign w:val="center"/>
          </w:tcPr>
          <w:p w14:paraId="493D4FB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3B634F9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3794</w:t>
            </w:r>
          </w:p>
        </w:tc>
        <w:tc>
          <w:tcPr>
            <w:tcW w:w="596" w:type="pct"/>
            <w:shd w:val="clear" w:color="auto" w:fill="auto"/>
            <w:noWrap/>
            <w:vAlign w:val="center"/>
          </w:tcPr>
          <w:p w14:paraId="49D941A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20FF78C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104</w:t>
            </w:r>
          </w:p>
        </w:tc>
      </w:tr>
      <w:tr w14:paraId="30B3F4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78EBDA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251</w:t>
            </w:r>
          </w:p>
        </w:tc>
        <w:tc>
          <w:tcPr>
            <w:tcW w:w="1982" w:type="pct"/>
            <w:shd w:val="clear" w:color="auto" w:fill="auto"/>
            <w:vAlign w:val="center"/>
          </w:tcPr>
          <w:p w14:paraId="6462415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天津永生阀门有限公司</w:t>
            </w:r>
          </w:p>
        </w:tc>
        <w:tc>
          <w:tcPr>
            <w:tcW w:w="732" w:type="pct"/>
            <w:shd w:val="clear" w:color="auto" w:fill="auto"/>
            <w:vAlign w:val="center"/>
          </w:tcPr>
          <w:p w14:paraId="79F69D0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西南</w:t>
            </w:r>
          </w:p>
        </w:tc>
        <w:tc>
          <w:tcPr>
            <w:tcW w:w="631" w:type="pct"/>
            <w:shd w:val="clear" w:color="auto" w:fill="auto"/>
            <w:vAlign w:val="center"/>
          </w:tcPr>
          <w:p w14:paraId="45B5FD7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3162</w:t>
            </w:r>
          </w:p>
        </w:tc>
        <w:tc>
          <w:tcPr>
            <w:tcW w:w="596" w:type="pct"/>
            <w:shd w:val="clear" w:color="auto" w:fill="auto"/>
            <w:noWrap/>
            <w:vAlign w:val="center"/>
          </w:tcPr>
          <w:p w14:paraId="5293FE5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64AD0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144</w:t>
            </w:r>
          </w:p>
        </w:tc>
      </w:tr>
      <w:tr w14:paraId="2C430D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F1637D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252</w:t>
            </w:r>
          </w:p>
        </w:tc>
        <w:tc>
          <w:tcPr>
            <w:tcW w:w="1982" w:type="pct"/>
            <w:shd w:val="clear" w:color="auto" w:fill="auto"/>
            <w:vAlign w:val="center"/>
          </w:tcPr>
          <w:p w14:paraId="33BC014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津南区气象局</w:t>
            </w:r>
          </w:p>
        </w:tc>
        <w:tc>
          <w:tcPr>
            <w:tcW w:w="732" w:type="pct"/>
            <w:shd w:val="clear" w:color="auto" w:fill="auto"/>
            <w:vAlign w:val="center"/>
          </w:tcPr>
          <w:p w14:paraId="705A568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32A4150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1611</w:t>
            </w:r>
          </w:p>
        </w:tc>
        <w:tc>
          <w:tcPr>
            <w:tcW w:w="596" w:type="pct"/>
            <w:shd w:val="clear" w:color="auto" w:fill="auto"/>
            <w:noWrap/>
            <w:vAlign w:val="center"/>
          </w:tcPr>
          <w:p w14:paraId="1BABAE0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7E0EAD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w:t>
            </w:r>
          </w:p>
        </w:tc>
      </w:tr>
      <w:tr w14:paraId="62D711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7C9418F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253</w:t>
            </w:r>
          </w:p>
        </w:tc>
        <w:tc>
          <w:tcPr>
            <w:tcW w:w="1982" w:type="pct"/>
            <w:shd w:val="clear" w:color="auto" w:fill="auto"/>
            <w:vAlign w:val="center"/>
          </w:tcPr>
          <w:p w14:paraId="60BEE1D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大芦庄村</w:t>
            </w:r>
          </w:p>
        </w:tc>
        <w:tc>
          <w:tcPr>
            <w:tcW w:w="732" w:type="pct"/>
            <w:shd w:val="clear" w:color="auto" w:fill="auto"/>
            <w:vAlign w:val="center"/>
          </w:tcPr>
          <w:p w14:paraId="3A220DC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西北</w:t>
            </w:r>
          </w:p>
        </w:tc>
        <w:tc>
          <w:tcPr>
            <w:tcW w:w="631" w:type="pct"/>
            <w:shd w:val="clear" w:color="auto" w:fill="auto"/>
            <w:vAlign w:val="center"/>
          </w:tcPr>
          <w:p w14:paraId="4043B8C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2815</w:t>
            </w:r>
          </w:p>
        </w:tc>
        <w:tc>
          <w:tcPr>
            <w:tcW w:w="596" w:type="pct"/>
            <w:shd w:val="clear" w:color="auto" w:fill="auto"/>
            <w:noWrap/>
            <w:vAlign w:val="center"/>
          </w:tcPr>
          <w:p w14:paraId="480F4E9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居民区</w:t>
            </w:r>
          </w:p>
        </w:tc>
        <w:tc>
          <w:tcPr>
            <w:tcW w:w="580" w:type="pct"/>
            <w:shd w:val="clear" w:color="auto" w:fill="auto"/>
            <w:noWrap/>
            <w:vAlign w:val="center"/>
          </w:tcPr>
          <w:p w14:paraId="645C192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685</w:t>
            </w:r>
          </w:p>
        </w:tc>
      </w:tr>
      <w:tr w14:paraId="745EF4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32987F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254</w:t>
            </w:r>
          </w:p>
        </w:tc>
        <w:tc>
          <w:tcPr>
            <w:tcW w:w="1982" w:type="pct"/>
            <w:shd w:val="clear" w:color="auto" w:fill="auto"/>
            <w:vAlign w:val="center"/>
          </w:tcPr>
          <w:p w14:paraId="7301AB4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天津海河高端装备研发基地</w:t>
            </w:r>
          </w:p>
        </w:tc>
        <w:tc>
          <w:tcPr>
            <w:tcW w:w="732" w:type="pct"/>
            <w:shd w:val="clear" w:color="auto" w:fill="auto"/>
            <w:vAlign w:val="center"/>
          </w:tcPr>
          <w:p w14:paraId="6F9552B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0442135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3789</w:t>
            </w:r>
          </w:p>
        </w:tc>
        <w:tc>
          <w:tcPr>
            <w:tcW w:w="596" w:type="pct"/>
            <w:shd w:val="clear" w:color="auto" w:fill="auto"/>
            <w:noWrap/>
            <w:vAlign w:val="center"/>
          </w:tcPr>
          <w:p w14:paraId="1EC89A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6706283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110</w:t>
            </w:r>
          </w:p>
        </w:tc>
      </w:tr>
      <w:tr w14:paraId="7B6A74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5E5803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255</w:t>
            </w:r>
          </w:p>
        </w:tc>
        <w:tc>
          <w:tcPr>
            <w:tcW w:w="1982" w:type="pct"/>
            <w:shd w:val="clear" w:color="auto" w:fill="auto"/>
            <w:vAlign w:val="center"/>
          </w:tcPr>
          <w:p w14:paraId="567FFAE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天津港峰门窗制品股份有限公司</w:t>
            </w:r>
          </w:p>
        </w:tc>
        <w:tc>
          <w:tcPr>
            <w:tcW w:w="732" w:type="pct"/>
            <w:shd w:val="clear" w:color="auto" w:fill="auto"/>
            <w:vAlign w:val="center"/>
          </w:tcPr>
          <w:p w14:paraId="1D0E5A9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343DD8B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3334</w:t>
            </w:r>
          </w:p>
        </w:tc>
        <w:tc>
          <w:tcPr>
            <w:tcW w:w="596" w:type="pct"/>
            <w:shd w:val="clear" w:color="auto" w:fill="auto"/>
            <w:noWrap/>
            <w:vAlign w:val="center"/>
          </w:tcPr>
          <w:p w14:paraId="29C83AE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2A2CF16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114</w:t>
            </w:r>
          </w:p>
        </w:tc>
      </w:tr>
      <w:tr w14:paraId="548BA6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16F722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256</w:t>
            </w:r>
          </w:p>
        </w:tc>
        <w:tc>
          <w:tcPr>
            <w:tcW w:w="1982" w:type="pct"/>
            <w:shd w:val="clear" w:color="auto" w:fill="auto"/>
            <w:vAlign w:val="center"/>
          </w:tcPr>
          <w:p w14:paraId="2FF4378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天津市赛特恩涂料有限公司</w:t>
            </w:r>
          </w:p>
        </w:tc>
        <w:tc>
          <w:tcPr>
            <w:tcW w:w="732" w:type="pct"/>
            <w:shd w:val="clear" w:color="auto" w:fill="auto"/>
            <w:vAlign w:val="center"/>
          </w:tcPr>
          <w:p w14:paraId="639D7FA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B80F42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3122</w:t>
            </w:r>
          </w:p>
        </w:tc>
        <w:tc>
          <w:tcPr>
            <w:tcW w:w="596" w:type="pct"/>
            <w:shd w:val="clear" w:color="auto" w:fill="auto"/>
            <w:noWrap/>
            <w:vAlign w:val="center"/>
          </w:tcPr>
          <w:p w14:paraId="30A554B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F4C6EB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w:t>
            </w:r>
          </w:p>
        </w:tc>
      </w:tr>
      <w:tr w14:paraId="615D26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249DBE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257</w:t>
            </w:r>
          </w:p>
        </w:tc>
        <w:tc>
          <w:tcPr>
            <w:tcW w:w="1982" w:type="pct"/>
            <w:shd w:val="clear" w:color="auto" w:fill="auto"/>
            <w:vAlign w:val="center"/>
          </w:tcPr>
          <w:p w14:paraId="1EED3B1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天津安博津南国际仓储物流园</w:t>
            </w:r>
          </w:p>
        </w:tc>
        <w:tc>
          <w:tcPr>
            <w:tcW w:w="732" w:type="pct"/>
            <w:shd w:val="clear" w:color="auto" w:fill="auto"/>
            <w:vAlign w:val="center"/>
          </w:tcPr>
          <w:p w14:paraId="179C804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25198E0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4279</w:t>
            </w:r>
          </w:p>
        </w:tc>
        <w:tc>
          <w:tcPr>
            <w:tcW w:w="596" w:type="pct"/>
            <w:shd w:val="clear" w:color="auto" w:fill="auto"/>
            <w:noWrap/>
            <w:vAlign w:val="center"/>
          </w:tcPr>
          <w:p w14:paraId="57C6794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58B885F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104</w:t>
            </w:r>
          </w:p>
        </w:tc>
      </w:tr>
      <w:tr w14:paraId="61A184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E87B4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258</w:t>
            </w:r>
          </w:p>
        </w:tc>
        <w:tc>
          <w:tcPr>
            <w:tcW w:w="1982" w:type="pct"/>
            <w:shd w:val="clear" w:color="auto" w:fill="auto"/>
            <w:vAlign w:val="center"/>
          </w:tcPr>
          <w:p w14:paraId="506938B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众力新材料科技有限公司</w:t>
            </w:r>
          </w:p>
        </w:tc>
        <w:tc>
          <w:tcPr>
            <w:tcW w:w="732" w:type="pct"/>
            <w:shd w:val="clear" w:color="auto" w:fill="auto"/>
            <w:vAlign w:val="center"/>
          </w:tcPr>
          <w:p w14:paraId="41F91A9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477006E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2684</w:t>
            </w:r>
          </w:p>
        </w:tc>
        <w:tc>
          <w:tcPr>
            <w:tcW w:w="596" w:type="pct"/>
            <w:shd w:val="clear" w:color="auto" w:fill="auto"/>
            <w:noWrap/>
            <w:vAlign w:val="center"/>
          </w:tcPr>
          <w:p w14:paraId="3C6CE88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3896AF1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98</w:t>
            </w:r>
          </w:p>
        </w:tc>
      </w:tr>
      <w:tr w14:paraId="473591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59C174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259</w:t>
            </w:r>
          </w:p>
        </w:tc>
        <w:tc>
          <w:tcPr>
            <w:tcW w:w="1982" w:type="pct"/>
            <w:shd w:val="clear" w:color="auto" w:fill="auto"/>
            <w:vAlign w:val="center"/>
          </w:tcPr>
          <w:p w14:paraId="368349A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天津鑫邦粉末涂料有限公司。</w:t>
            </w:r>
          </w:p>
        </w:tc>
        <w:tc>
          <w:tcPr>
            <w:tcW w:w="732" w:type="pct"/>
            <w:shd w:val="clear" w:color="auto" w:fill="auto"/>
            <w:vAlign w:val="center"/>
          </w:tcPr>
          <w:p w14:paraId="3D541AE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1BF34E7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2998</w:t>
            </w:r>
          </w:p>
        </w:tc>
        <w:tc>
          <w:tcPr>
            <w:tcW w:w="596" w:type="pct"/>
            <w:shd w:val="clear" w:color="auto" w:fill="auto"/>
            <w:noWrap/>
            <w:vAlign w:val="center"/>
          </w:tcPr>
          <w:p w14:paraId="2C1D2DC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601F70C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93</w:t>
            </w:r>
          </w:p>
        </w:tc>
      </w:tr>
      <w:tr w14:paraId="1455F7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CE5540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260</w:t>
            </w:r>
          </w:p>
        </w:tc>
        <w:tc>
          <w:tcPr>
            <w:tcW w:w="1982" w:type="pct"/>
            <w:shd w:val="clear" w:color="auto" w:fill="auto"/>
            <w:vAlign w:val="center"/>
          </w:tcPr>
          <w:p w14:paraId="2138561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环宇东海（天津）橡塑有限公司</w:t>
            </w:r>
          </w:p>
        </w:tc>
        <w:tc>
          <w:tcPr>
            <w:tcW w:w="732" w:type="pct"/>
            <w:shd w:val="clear" w:color="auto" w:fill="auto"/>
            <w:vAlign w:val="center"/>
          </w:tcPr>
          <w:p w14:paraId="67D17AE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东南</w:t>
            </w:r>
          </w:p>
        </w:tc>
        <w:tc>
          <w:tcPr>
            <w:tcW w:w="631" w:type="pct"/>
            <w:shd w:val="clear" w:color="auto" w:fill="auto"/>
            <w:vAlign w:val="center"/>
          </w:tcPr>
          <w:p w14:paraId="468A2D0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3213</w:t>
            </w:r>
          </w:p>
        </w:tc>
        <w:tc>
          <w:tcPr>
            <w:tcW w:w="596" w:type="pct"/>
            <w:shd w:val="clear" w:color="auto" w:fill="auto"/>
            <w:noWrap/>
            <w:vAlign w:val="center"/>
          </w:tcPr>
          <w:p w14:paraId="6EF3AD2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0D5F465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120</w:t>
            </w:r>
          </w:p>
        </w:tc>
      </w:tr>
      <w:tr w14:paraId="3179BB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AA7E26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261</w:t>
            </w:r>
          </w:p>
        </w:tc>
        <w:tc>
          <w:tcPr>
            <w:tcW w:w="1982" w:type="pct"/>
            <w:shd w:val="clear" w:color="auto" w:fill="auto"/>
            <w:vAlign w:val="center"/>
          </w:tcPr>
          <w:p w14:paraId="01D349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天津又精密部分品有限公司</w:t>
            </w:r>
          </w:p>
        </w:tc>
        <w:tc>
          <w:tcPr>
            <w:tcW w:w="732" w:type="pct"/>
            <w:shd w:val="clear" w:color="auto" w:fill="auto"/>
            <w:vAlign w:val="center"/>
          </w:tcPr>
          <w:p w14:paraId="442BB40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6D9288C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2536</w:t>
            </w:r>
          </w:p>
        </w:tc>
        <w:tc>
          <w:tcPr>
            <w:tcW w:w="596" w:type="pct"/>
            <w:shd w:val="clear" w:color="auto" w:fill="auto"/>
            <w:noWrap/>
            <w:vAlign w:val="center"/>
          </w:tcPr>
          <w:p w14:paraId="7CA3776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623AE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121</w:t>
            </w:r>
          </w:p>
        </w:tc>
      </w:tr>
      <w:tr w14:paraId="43ABF7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C49466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262</w:t>
            </w:r>
          </w:p>
        </w:tc>
        <w:tc>
          <w:tcPr>
            <w:tcW w:w="1982" w:type="pct"/>
            <w:shd w:val="clear" w:color="auto" w:fill="auto"/>
            <w:vAlign w:val="center"/>
          </w:tcPr>
          <w:p w14:paraId="6BEB5EF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天津技通机械设备有限公司</w:t>
            </w:r>
          </w:p>
        </w:tc>
        <w:tc>
          <w:tcPr>
            <w:tcW w:w="732" w:type="pct"/>
            <w:shd w:val="clear" w:color="auto" w:fill="auto"/>
            <w:vAlign w:val="center"/>
          </w:tcPr>
          <w:p w14:paraId="4E6D99F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373F779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2493</w:t>
            </w:r>
          </w:p>
        </w:tc>
        <w:tc>
          <w:tcPr>
            <w:tcW w:w="596" w:type="pct"/>
            <w:shd w:val="clear" w:color="auto" w:fill="auto"/>
            <w:noWrap/>
            <w:vAlign w:val="center"/>
          </w:tcPr>
          <w:p w14:paraId="067018B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13FF83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131</w:t>
            </w:r>
          </w:p>
        </w:tc>
      </w:tr>
      <w:tr w14:paraId="5D96F5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2B9193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263</w:t>
            </w:r>
          </w:p>
        </w:tc>
        <w:tc>
          <w:tcPr>
            <w:tcW w:w="1982" w:type="pct"/>
            <w:shd w:val="clear" w:color="auto" w:fill="auto"/>
            <w:vAlign w:val="center"/>
          </w:tcPr>
          <w:p w14:paraId="2FD55AF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天津市瑞斯特阀业有限公司</w:t>
            </w:r>
          </w:p>
        </w:tc>
        <w:tc>
          <w:tcPr>
            <w:tcW w:w="732" w:type="pct"/>
            <w:shd w:val="clear" w:color="auto" w:fill="auto"/>
            <w:vAlign w:val="center"/>
          </w:tcPr>
          <w:p w14:paraId="6B57208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215CAF3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2872</w:t>
            </w:r>
          </w:p>
        </w:tc>
        <w:tc>
          <w:tcPr>
            <w:tcW w:w="596" w:type="pct"/>
            <w:shd w:val="clear" w:color="auto" w:fill="auto"/>
            <w:noWrap/>
            <w:vAlign w:val="center"/>
          </w:tcPr>
          <w:p w14:paraId="0FFE5F2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7EBE4D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198</w:t>
            </w:r>
          </w:p>
        </w:tc>
      </w:tr>
      <w:tr w14:paraId="56D826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D9DF29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264</w:t>
            </w:r>
          </w:p>
        </w:tc>
        <w:tc>
          <w:tcPr>
            <w:tcW w:w="1982" w:type="pct"/>
            <w:shd w:val="clear" w:color="auto" w:fill="auto"/>
            <w:vAlign w:val="center"/>
          </w:tcPr>
          <w:p w14:paraId="55908FB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天津市宏远电器股份有限公司</w:t>
            </w:r>
          </w:p>
        </w:tc>
        <w:tc>
          <w:tcPr>
            <w:tcW w:w="732" w:type="pct"/>
            <w:shd w:val="clear" w:color="auto" w:fill="auto"/>
            <w:vAlign w:val="center"/>
          </w:tcPr>
          <w:p w14:paraId="1AEABF5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36F6C1C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4483</w:t>
            </w:r>
          </w:p>
        </w:tc>
        <w:tc>
          <w:tcPr>
            <w:tcW w:w="596" w:type="pct"/>
            <w:shd w:val="clear" w:color="auto" w:fill="auto"/>
            <w:noWrap/>
            <w:vAlign w:val="center"/>
          </w:tcPr>
          <w:p w14:paraId="0251C85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37F719A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154</w:t>
            </w:r>
          </w:p>
        </w:tc>
      </w:tr>
      <w:tr w14:paraId="2983C5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62CA497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265</w:t>
            </w:r>
          </w:p>
        </w:tc>
        <w:tc>
          <w:tcPr>
            <w:tcW w:w="1982" w:type="pct"/>
            <w:shd w:val="clear" w:color="auto" w:fill="auto"/>
            <w:vAlign w:val="center"/>
          </w:tcPr>
          <w:p w14:paraId="7452696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天津一轻建设安装工程有限公司</w:t>
            </w:r>
          </w:p>
        </w:tc>
        <w:tc>
          <w:tcPr>
            <w:tcW w:w="732" w:type="pct"/>
            <w:shd w:val="clear" w:color="auto" w:fill="auto"/>
            <w:vAlign w:val="center"/>
          </w:tcPr>
          <w:p w14:paraId="544059D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21700D3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4382</w:t>
            </w:r>
          </w:p>
        </w:tc>
        <w:tc>
          <w:tcPr>
            <w:tcW w:w="596" w:type="pct"/>
            <w:shd w:val="clear" w:color="auto" w:fill="auto"/>
            <w:noWrap/>
            <w:vAlign w:val="center"/>
          </w:tcPr>
          <w:p w14:paraId="76C27EF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B2D2E4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142</w:t>
            </w:r>
          </w:p>
        </w:tc>
      </w:tr>
      <w:tr w14:paraId="4AFB64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5767B99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266</w:t>
            </w:r>
          </w:p>
        </w:tc>
        <w:tc>
          <w:tcPr>
            <w:tcW w:w="1982" w:type="pct"/>
            <w:shd w:val="clear" w:color="auto" w:fill="auto"/>
            <w:vAlign w:val="center"/>
          </w:tcPr>
          <w:p w14:paraId="2A4BC3B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天津精诚机床股份有限公司</w:t>
            </w:r>
          </w:p>
        </w:tc>
        <w:tc>
          <w:tcPr>
            <w:tcW w:w="732" w:type="pct"/>
            <w:shd w:val="clear" w:color="auto" w:fill="auto"/>
            <w:vAlign w:val="center"/>
          </w:tcPr>
          <w:p w14:paraId="2E8CB79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0367E57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4410</w:t>
            </w:r>
          </w:p>
        </w:tc>
        <w:tc>
          <w:tcPr>
            <w:tcW w:w="596" w:type="pct"/>
            <w:shd w:val="clear" w:color="auto" w:fill="auto"/>
            <w:noWrap/>
            <w:vAlign w:val="center"/>
          </w:tcPr>
          <w:p w14:paraId="7AB3F9D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507E746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134</w:t>
            </w:r>
          </w:p>
        </w:tc>
      </w:tr>
      <w:tr w14:paraId="675C63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C9C2F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267</w:t>
            </w:r>
          </w:p>
        </w:tc>
        <w:tc>
          <w:tcPr>
            <w:tcW w:w="1982" w:type="pct"/>
            <w:shd w:val="clear" w:color="auto" w:fill="auto"/>
            <w:vAlign w:val="center"/>
          </w:tcPr>
          <w:p w14:paraId="3209669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天津市塑料研究所</w:t>
            </w:r>
          </w:p>
        </w:tc>
        <w:tc>
          <w:tcPr>
            <w:tcW w:w="732" w:type="pct"/>
            <w:shd w:val="clear" w:color="auto" w:fill="auto"/>
            <w:vAlign w:val="center"/>
          </w:tcPr>
          <w:p w14:paraId="56B8104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61E146E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4741</w:t>
            </w:r>
          </w:p>
        </w:tc>
        <w:tc>
          <w:tcPr>
            <w:tcW w:w="596" w:type="pct"/>
            <w:shd w:val="clear" w:color="auto" w:fill="auto"/>
            <w:noWrap/>
            <w:vAlign w:val="center"/>
          </w:tcPr>
          <w:p w14:paraId="5FF8B40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1A0BC5E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99</w:t>
            </w:r>
          </w:p>
        </w:tc>
      </w:tr>
      <w:tr w14:paraId="30E39B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BC37C9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268</w:t>
            </w:r>
          </w:p>
        </w:tc>
        <w:tc>
          <w:tcPr>
            <w:tcW w:w="1982" w:type="pct"/>
            <w:shd w:val="clear" w:color="auto" w:fill="auto"/>
            <w:vAlign w:val="center"/>
          </w:tcPr>
          <w:p w14:paraId="1636C54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天津海格丽特智能科技有限公司</w:t>
            </w:r>
          </w:p>
        </w:tc>
        <w:tc>
          <w:tcPr>
            <w:tcW w:w="732" w:type="pct"/>
            <w:shd w:val="clear" w:color="auto" w:fill="auto"/>
            <w:vAlign w:val="center"/>
          </w:tcPr>
          <w:p w14:paraId="63978B3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40F59E8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4855</w:t>
            </w:r>
          </w:p>
        </w:tc>
        <w:tc>
          <w:tcPr>
            <w:tcW w:w="596" w:type="pct"/>
            <w:shd w:val="clear" w:color="auto" w:fill="auto"/>
            <w:noWrap/>
            <w:vAlign w:val="center"/>
          </w:tcPr>
          <w:p w14:paraId="6FDF015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A354CA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w:t>
            </w:r>
          </w:p>
        </w:tc>
      </w:tr>
      <w:tr w14:paraId="39C1CE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D3347C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269</w:t>
            </w:r>
          </w:p>
        </w:tc>
        <w:tc>
          <w:tcPr>
            <w:tcW w:w="1982" w:type="pct"/>
            <w:shd w:val="clear" w:color="auto" w:fill="auto"/>
            <w:vAlign w:val="center"/>
          </w:tcPr>
          <w:p w14:paraId="75CC493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日日顺天津物流有限公司</w:t>
            </w:r>
          </w:p>
        </w:tc>
        <w:tc>
          <w:tcPr>
            <w:tcW w:w="732" w:type="pct"/>
            <w:shd w:val="clear" w:color="auto" w:fill="auto"/>
            <w:vAlign w:val="center"/>
          </w:tcPr>
          <w:p w14:paraId="7FB4F44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5F01772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4780</w:t>
            </w:r>
          </w:p>
        </w:tc>
        <w:tc>
          <w:tcPr>
            <w:tcW w:w="596" w:type="pct"/>
            <w:shd w:val="clear" w:color="auto" w:fill="auto"/>
            <w:noWrap/>
            <w:vAlign w:val="center"/>
          </w:tcPr>
          <w:p w14:paraId="0504FE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4856958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124</w:t>
            </w:r>
          </w:p>
        </w:tc>
      </w:tr>
      <w:tr w14:paraId="0AE8A6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03C7FD5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270</w:t>
            </w:r>
          </w:p>
        </w:tc>
        <w:tc>
          <w:tcPr>
            <w:tcW w:w="1982" w:type="pct"/>
            <w:shd w:val="clear" w:color="auto" w:fill="auto"/>
            <w:vAlign w:val="center"/>
          </w:tcPr>
          <w:p w14:paraId="1F778E1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海尔洗衣机互联厂</w:t>
            </w:r>
          </w:p>
        </w:tc>
        <w:tc>
          <w:tcPr>
            <w:tcW w:w="732" w:type="pct"/>
            <w:shd w:val="clear" w:color="auto" w:fill="auto"/>
            <w:vAlign w:val="center"/>
          </w:tcPr>
          <w:p w14:paraId="5B487A3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西</w:t>
            </w:r>
          </w:p>
        </w:tc>
        <w:tc>
          <w:tcPr>
            <w:tcW w:w="631" w:type="pct"/>
            <w:shd w:val="clear" w:color="auto" w:fill="auto"/>
            <w:vAlign w:val="center"/>
          </w:tcPr>
          <w:p w14:paraId="6BFA77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4745</w:t>
            </w:r>
          </w:p>
        </w:tc>
        <w:tc>
          <w:tcPr>
            <w:tcW w:w="596" w:type="pct"/>
            <w:shd w:val="clear" w:color="auto" w:fill="auto"/>
            <w:noWrap/>
            <w:vAlign w:val="center"/>
          </w:tcPr>
          <w:p w14:paraId="7A6185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63B8C69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135</w:t>
            </w:r>
          </w:p>
        </w:tc>
      </w:tr>
      <w:tr w14:paraId="2C4EB3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19D6947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271</w:t>
            </w:r>
          </w:p>
        </w:tc>
        <w:tc>
          <w:tcPr>
            <w:tcW w:w="1982" w:type="pct"/>
            <w:shd w:val="clear" w:color="auto" w:fill="auto"/>
            <w:vAlign w:val="center"/>
          </w:tcPr>
          <w:p w14:paraId="336BC15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深宝产业园</w:t>
            </w:r>
          </w:p>
        </w:tc>
        <w:tc>
          <w:tcPr>
            <w:tcW w:w="732" w:type="pct"/>
            <w:shd w:val="clear" w:color="auto" w:fill="auto"/>
            <w:vAlign w:val="center"/>
          </w:tcPr>
          <w:p w14:paraId="238B442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东北</w:t>
            </w:r>
          </w:p>
        </w:tc>
        <w:tc>
          <w:tcPr>
            <w:tcW w:w="631" w:type="pct"/>
            <w:shd w:val="clear" w:color="auto" w:fill="auto"/>
            <w:vAlign w:val="center"/>
          </w:tcPr>
          <w:p w14:paraId="28086F6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4178</w:t>
            </w:r>
          </w:p>
        </w:tc>
        <w:tc>
          <w:tcPr>
            <w:tcW w:w="596" w:type="pct"/>
            <w:shd w:val="clear" w:color="auto" w:fill="auto"/>
            <w:noWrap/>
            <w:vAlign w:val="center"/>
          </w:tcPr>
          <w:p w14:paraId="680EDEF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7262C5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125</w:t>
            </w:r>
          </w:p>
        </w:tc>
      </w:tr>
      <w:tr w14:paraId="7517CD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3081907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272</w:t>
            </w:r>
          </w:p>
        </w:tc>
        <w:tc>
          <w:tcPr>
            <w:tcW w:w="1982" w:type="pct"/>
            <w:shd w:val="clear" w:color="auto" w:fill="auto"/>
            <w:vAlign w:val="center"/>
          </w:tcPr>
          <w:p w14:paraId="65D014D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天津海河科技园区</w:t>
            </w:r>
          </w:p>
        </w:tc>
        <w:tc>
          <w:tcPr>
            <w:tcW w:w="732" w:type="pct"/>
            <w:shd w:val="clear" w:color="auto" w:fill="auto"/>
            <w:vAlign w:val="center"/>
          </w:tcPr>
          <w:p w14:paraId="72935FF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北</w:t>
            </w:r>
          </w:p>
        </w:tc>
        <w:tc>
          <w:tcPr>
            <w:tcW w:w="631" w:type="pct"/>
            <w:shd w:val="clear" w:color="auto" w:fill="auto"/>
            <w:vAlign w:val="center"/>
          </w:tcPr>
          <w:p w14:paraId="642053D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3883</w:t>
            </w:r>
          </w:p>
        </w:tc>
        <w:tc>
          <w:tcPr>
            <w:tcW w:w="596" w:type="pct"/>
            <w:shd w:val="clear" w:color="auto" w:fill="auto"/>
            <w:noWrap/>
            <w:vAlign w:val="center"/>
          </w:tcPr>
          <w:p w14:paraId="0EF94C2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6C61E49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97</w:t>
            </w:r>
          </w:p>
        </w:tc>
      </w:tr>
      <w:tr w14:paraId="20D0F3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512A3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273</w:t>
            </w:r>
          </w:p>
        </w:tc>
        <w:tc>
          <w:tcPr>
            <w:tcW w:w="1982" w:type="pct"/>
            <w:shd w:val="clear" w:color="auto" w:fill="auto"/>
            <w:vAlign w:val="center"/>
          </w:tcPr>
          <w:p w14:paraId="35D4E3C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天津市宝盈金属制品有限公司</w:t>
            </w:r>
          </w:p>
        </w:tc>
        <w:tc>
          <w:tcPr>
            <w:tcW w:w="732" w:type="pct"/>
            <w:shd w:val="clear" w:color="auto" w:fill="auto"/>
            <w:vAlign w:val="center"/>
          </w:tcPr>
          <w:p w14:paraId="3BE2E89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79479A4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3055</w:t>
            </w:r>
          </w:p>
        </w:tc>
        <w:tc>
          <w:tcPr>
            <w:tcW w:w="596" w:type="pct"/>
            <w:shd w:val="clear" w:color="auto" w:fill="auto"/>
            <w:noWrap/>
            <w:vAlign w:val="center"/>
          </w:tcPr>
          <w:p w14:paraId="7453DFD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62116CF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124</w:t>
            </w:r>
          </w:p>
        </w:tc>
      </w:tr>
      <w:tr w14:paraId="654A86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7" w:type="pct"/>
            <w:shd w:val="clear" w:color="auto" w:fill="auto"/>
            <w:noWrap/>
            <w:vAlign w:val="center"/>
          </w:tcPr>
          <w:p w14:paraId="4C13E35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274</w:t>
            </w:r>
          </w:p>
        </w:tc>
        <w:tc>
          <w:tcPr>
            <w:tcW w:w="1982" w:type="pct"/>
            <w:shd w:val="clear" w:color="auto" w:fill="auto"/>
            <w:vAlign w:val="center"/>
          </w:tcPr>
          <w:p w14:paraId="37E14D3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天津新科联泰金属制品有限公司</w:t>
            </w:r>
          </w:p>
        </w:tc>
        <w:tc>
          <w:tcPr>
            <w:tcW w:w="732" w:type="pct"/>
            <w:shd w:val="clear" w:color="auto" w:fill="auto"/>
            <w:vAlign w:val="center"/>
          </w:tcPr>
          <w:p w14:paraId="532C869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南</w:t>
            </w:r>
          </w:p>
        </w:tc>
        <w:tc>
          <w:tcPr>
            <w:tcW w:w="631" w:type="pct"/>
            <w:shd w:val="clear" w:color="auto" w:fill="auto"/>
            <w:vAlign w:val="center"/>
          </w:tcPr>
          <w:p w14:paraId="173907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3160</w:t>
            </w:r>
          </w:p>
        </w:tc>
        <w:tc>
          <w:tcPr>
            <w:tcW w:w="596" w:type="pct"/>
            <w:shd w:val="clear" w:color="auto" w:fill="auto"/>
            <w:noWrap/>
            <w:vAlign w:val="center"/>
          </w:tcPr>
          <w:p w14:paraId="3F9FC13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企业</w:t>
            </w:r>
          </w:p>
        </w:tc>
        <w:tc>
          <w:tcPr>
            <w:tcW w:w="580" w:type="pct"/>
            <w:shd w:val="clear" w:color="auto" w:fill="auto"/>
            <w:noWrap/>
            <w:vAlign w:val="center"/>
          </w:tcPr>
          <w:p w14:paraId="75A9152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123</w:t>
            </w:r>
          </w:p>
        </w:tc>
      </w:tr>
      <w:tr w14:paraId="5117F4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19" w:type="pct"/>
            <w:gridSpan w:val="5"/>
            <w:shd w:val="clear" w:color="auto" w:fill="auto"/>
            <w:noWrap/>
            <w:vAlign w:val="center"/>
          </w:tcPr>
          <w:p w14:paraId="600B39C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合计</w:t>
            </w:r>
          </w:p>
        </w:tc>
        <w:tc>
          <w:tcPr>
            <w:tcW w:w="580" w:type="pct"/>
            <w:shd w:val="clear" w:color="auto" w:fill="auto"/>
            <w:noWrap/>
            <w:vAlign w:val="center"/>
          </w:tcPr>
          <w:p w14:paraId="648ABF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214927</w:t>
            </w:r>
          </w:p>
        </w:tc>
      </w:tr>
    </w:tbl>
    <w:p w14:paraId="466009E1">
      <w:pPr>
        <w:jc w:val="center"/>
        <w:rPr>
          <w:rFonts w:eastAsia="仿宋"/>
          <w:kern w:val="0"/>
          <w:sz w:val="24"/>
          <w:szCs w:val="24"/>
        </w:rPr>
      </w:pPr>
    </w:p>
    <w:p w14:paraId="2F5CAF29">
      <w:pPr>
        <w:autoSpaceDE w:val="0"/>
        <w:autoSpaceDN w:val="0"/>
        <w:adjustRightInd w:val="0"/>
        <w:jc w:val="center"/>
        <w:rPr>
          <w:rFonts w:eastAsia="仿宋"/>
          <w:bCs/>
          <w:sz w:val="28"/>
        </w:rPr>
      </w:pPr>
      <w:r>
        <w:rPr>
          <w:sz w:val="21"/>
        </w:rPr>
        <mc:AlternateContent>
          <mc:Choice Requires="wps">
            <w:drawing>
              <wp:anchor distT="0" distB="0" distL="114300" distR="114300" simplePos="0" relativeHeight="251669504" behindDoc="0" locked="0" layoutInCell="1" allowOverlap="1">
                <wp:simplePos x="0" y="0"/>
                <wp:positionH relativeFrom="column">
                  <wp:posOffset>4013200</wp:posOffset>
                </wp:positionH>
                <wp:positionV relativeFrom="paragraph">
                  <wp:posOffset>1295400</wp:posOffset>
                </wp:positionV>
                <wp:extent cx="793750" cy="367665"/>
                <wp:effectExtent l="0" t="0" r="0" b="0"/>
                <wp:wrapNone/>
                <wp:docPr id="5" name="文本框 5"/>
                <wp:cNvGraphicFramePr/>
                <a:graphic xmlns:a="http://schemas.openxmlformats.org/drawingml/2006/main">
                  <a:graphicData uri="http://schemas.microsoft.com/office/word/2010/wordprocessingShape">
                    <wps:wsp>
                      <wps:cNvSpPr txBox="1"/>
                      <wps:spPr>
                        <a:xfrm>
                          <a:off x="0" y="0"/>
                          <a:ext cx="793750" cy="367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A6DBE">
                            <w:pPr>
                              <w:rPr>
                                <w:rFonts w:hint="default" w:eastAsiaTheme="minorEastAsia"/>
                                <w:color w:val="F79646" w:themeColor="accent6"/>
                                <w:lang w:val="en-US" w:eastAsia="zh-CN"/>
                                <w14:textFill>
                                  <w14:solidFill>
                                    <w14:schemeClr w14:val="accent6"/>
                                  </w14:solidFill>
                                </w14:textFill>
                              </w:rPr>
                            </w:pPr>
                            <w:r>
                              <w:rPr>
                                <w:rFonts w:hint="eastAsia"/>
                                <w:b/>
                                <w:bCs/>
                                <w:color w:val="F79646" w:themeColor="accent6"/>
                                <w:lang w:val="en-US" w:eastAsia="zh-CN"/>
                                <w14:textFill>
                                  <w14:solidFill>
                                    <w14:schemeClr w14:val="accent6"/>
                                  </w14:solidFill>
                                </w14:textFill>
                              </w:rPr>
                              <w:t>5000m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pt;margin-top:102pt;height:28.95pt;width:62.5pt;z-index:251669504;mso-width-relative:page;mso-height-relative:page;" filled="f" stroked="f" coordsize="21600,21600" o:gfxdata="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fBnAtsAAAALAQAADwAAAAAAAAABACAAAAAiAAAAZHJz&#10;L2Rvd25yZXYueG1sUEsBAhQAFAAAAAgAh07iQPqqIJo6AgAAZQQAAA4AAAAAAAAAAQAgAAAAKgEA&#10;AGRycy9lMm9Eb2MueG1sUEsFBgAAAAAGAAYAWQEAANYFAAAAAA==&#10;">
                <v:fill on="f" focussize="0,0"/>
                <v:stroke on="f" weight="0.5pt"/>
                <v:imagedata o:title=""/>
                <o:lock v:ext="edit" aspectratio="f"/>
                <v:textbox>
                  <w:txbxContent>
                    <w:p w14:paraId="5E9A6DBE">
                      <w:pPr>
                        <w:rPr>
                          <w:rFonts w:hint="default" w:eastAsiaTheme="minorEastAsia"/>
                          <w:color w:val="F79646" w:themeColor="accent6"/>
                          <w:lang w:val="en-US" w:eastAsia="zh-CN"/>
                          <w14:textFill>
                            <w14:solidFill>
                              <w14:schemeClr w14:val="accent6"/>
                            </w14:solidFill>
                          </w14:textFill>
                        </w:rPr>
                      </w:pPr>
                      <w:r>
                        <w:rPr>
                          <w:rFonts w:hint="eastAsia"/>
                          <w:b/>
                          <w:bCs/>
                          <w:color w:val="F79646" w:themeColor="accent6"/>
                          <w:lang w:val="en-US" w:eastAsia="zh-CN"/>
                          <w14:textFill>
                            <w14:solidFill>
                              <w14:schemeClr w14:val="accent6"/>
                            </w14:solidFill>
                          </w14:textFill>
                        </w:rPr>
                        <w:t>5000m</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3691255</wp:posOffset>
                </wp:positionH>
                <wp:positionV relativeFrom="paragraph">
                  <wp:posOffset>1576070</wp:posOffset>
                </wp:positionV>
                <wp:extent cx="1520825" cy="40640"/>
                <wp:effectExtent l="635" t="54610" r="2540" b="26670"/>
                <wp:wrapNone/>
                <wp:docPr id="2" name="直接箭头连接符 2"/>
                <wp:cNvGraphicFramePr/>
                <a:graphic xmlns:a="http://schemas.openxmlformats.org/drawingml/2006/main">
                  <a:graphicData uri="http://schemas.microsoft.com/office/word/2010/wordprocessingShape">
                    <wps:wsp>
                      <wps:cNvCnPr/>
                      <wps:spPr>
                        <a:xfrm flipV="1">
                          <a:off x="0" y="0"/>
                          <a:ext cx="1520825" cy="4064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90.65pt;margin-top:124.1pt;height:3.2pt;width:119.75pt;z-index:251668480;mso-width-relative:page;mso-height-relative:page;" filled="f" stroked="t" coordsize="21600,21600" o:gfxdata="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ODbP9oAAAALAQAADwAAAAAAAAABACAAAAAiAAAA&#10;ZHJzL2Rvd25yZXYueG1sUEsBAhQAFAAAAAgAh07iQIIs27YFAgAA1gMAAA4AAAAAAAAAAQAgAAAA&#10;KQEAAGRycy9lMm9Eb2MueG1sUEsFBgAAAAAGAAYAWQEAAKAFAAAAAA==&#10;">
                <v:fill on="f" focussize="0,0"/>
                <v:stroke weight="2pt" color="#FF0000 [3204]" joinstyle="round" endarrow="open"/>
                <v:imagedata o:title=""/>
                <o:lock v:ext="edit" aspectratio="f"/>
              </v:shape>
            </w:pict>
          </mc:Fallback>
        </mc:AlternateContent>
      </w:r>
      <w:r>
        <w:drawing>
          <wp:inline distT="0" distB="0" distL="114300" distR="114300">
            <wp:extent cx="5261610" cy="3310890"/>
            <wp:effectExtent l="0" t="0" r="1143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61610" cy="3310890"/>
                    </a:xfrm>
                    <a:prstGeom prst="rect">
                      <a:avLst/>
                    </a:prstGeom>
                    <a:noFill/>
                    <a:ln>
                      <a:noFill/>
                    </a:ln>
                  </pic:spPr>
                </pic:pic>
              </a:graphicData>
            </a:graphic>
          </wp:inline>
        </w:drawing>
      </w:r>
    </w:p>
    <w:p w14:paraId="700972A2">
      <w:pPr>
        <w:pStyle w:val="13"/>
      </w:pPr>
      <w:r>
        <w:t>图2.3-2半径5km范围内环境风险受体情况图</w:t>
      </w:r>
      <w:r>
        <mc:AlternateContent>
          <mc:Choice Requires="wps">
            <w:drawing>
              <wp:anchor distT="0" distB="0" distL="114300" distR="114300" simplePos="0" relativeHeight="251667456" behindDoc="0" locked="0" layoutInCell="1" allowOverlap="1">
                <wp:simplePos x="0" y="0"/>
                <wp:positionH relativeFrom="column">
                  <wp:posOffset>8403590</wp:posOffset>
                </wp:positionH>
                <wp:positionV relativeFrom="paragraph">
                  <wp:posOffset>5144770</wp:posOffset>
                </wp:positionV>
                <wp:extent cx="805815" cy="892810"/>
                <wp:effectExtent l="0" t="0" r="13335" b="2159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5815" cy="892810"/>
                        </a:xfrm>
                        <a:prstGeom prst="rect">
                          <a:avLst/>
                        </a:prstGeom>
                        <a:solidFill>
                          <a:srgbClr val="FFFFFF">
                            <a:alpha val="41000"/>
                          </a:srgbClr>
                        </a:solidFill>
                        <a:ln w="9525">
                          <a:solidFill>
                            <a:srgbClr val="000000"/>
                          </a:solidFill>
                          <a:miter lim="800000"/>
                        </a:ln>
                      </wps:spPr>
                      <wps:txbx>
                        <w:txbxContent>
                          <w:p w14:paraId="36CD0830">
                            <w:pPr>
                              <w:jc w:val="center"/>
                              <w:rPr>
                                <w:sz w:val="13"/>
                                <w:szCs w:val="13"/>
                              </w:rPr>
                            </w:pPr>
                            <w:r>
                              <w:rPr>
                                <w:rFonts w:hint="eastAsia"/>
                                <w:sz w:val="13"/>
                                <w:szCs w:val="13"/>
                              </w:rPr>
                              <w:t>图例</w:t>
                            </w:r>
                          </w:p>
                          <w:p w14:paraId="0EBE47DD">
                            <w:pPr>
                              <w:rPr>
                                <w:sz w:val="13"/>
                                <w:szCs w:val="13"/>
                              </w:rPr>
                            </w:pPr>
                            <w:r>
                              <w:rPr>
                                <w:rFonts w:hint="eastAsia"/>
                                <w:sz w:val="13"/>
                                <w:szCs w:val="13"/>
                              </w:rPr>
                              <w:t>风险调查</w:t>
                            </w:r>
                            <w:r>
                              <w:rPr>
                                <w:sz w:val="13"/>
                                <w:szCs w:val="13"/>
                              </w:rPr>
                              <w:t>范围</w:t>
                            </w:r>
                          </w:p>
                          <w:p w14:paraId="3F04F8BD">
                            <w:pPr>
                              <w:rPr>
                                <w:sz w:val="13"/>
                                <w:szCs w:val="13"/>
                              </w:rPr>
                            </w:pPr>
                            <w:r>
                              <w:rPr>
                                <w:rFonts w:hint="eastAsia"/>
                                <w:sz w:val="13"/>
                                <w:szCs w:val="13"/>
                              </w:rPr>
                              <w:t>本项目</w:t>
                            </w:r>
                          </w:p>
                          <w:p w14:paraId="4BFBC838">
                            <w:pPr>
                              <w:rPr>
                                <w:sz w:val="13"/>
                                <w:szCs w:val="13"/>
                              </w:rPr>
                            </w:pPr>
                            <w:r>
                              <w:rPr>
                                <w:rFonts w:hint="eastAsia"/>
                                <w:sz w:val="13"/>
                                <w:szCs w:val="13"/>
                              </w:rPr>
                              <w:t>环境保护</w:t>
                            </w:r>
                            <w:r>
                              <w:rPr>
                                <w:sz w:val="13"/>
                                <w:szCs w:val="13"/>
                              </w:rPr>
                              <w:t>目标</w:t>
                            </w:r>
                          </w:p>
                          <w:p w14:paraId="26E4C3CE">
                            <w:pPr>
                              <w:rPr>
                                <w:sz w:val="13"/>
                                <w:szCs w:val="13"/>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61.7pt;margin-top:405.1pt;height:70.3pt;width:63.45pt;z-index:251667456;mso-width-relative:page;mso-height-relative:page;" fillcolor="#FFFFFF" filled="t" stroked="t" coordsize="21600,21600" o:gfxdata="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jrbDdsAAAANAQAADwAAAAAA&#10;AAABACAAAAAiAAAAZHJzL2Rvd25yZXYueG1sUEsBAhQAFAAAAAgAh07iQOHSl51JAgAAnAQAAA4A&#10;AAAAAAAAAQAgAAAAKgEAAGRycy9lMm9Eb2MueG1sUEsFBgAAAAAGAAYAWQEAAOUFAAAAAA==&#10;">
                <v:fill on="t" opacity="26869f" focussize="0,0"/>
                <v:stroke color="#000000" miterlimit="8" joinstyle="miter"/>
                <v:imagedata o:title=""/>
                <o:lock v:ext="edit" aspectratio="f"/>
                <v:textbox>
                  <w:txbxContent>
                    <w:p w14:paraId="36CD0830">
                      <w:pPr>
                        <w:jc w:val="center"/>
                        <w:rPr>
                          <w:sz w:val="13"/>
                          <w:szCs w:val="13"/>
                        </w:rPr>
                      </w:pPr>
                      <w:r>
                        <w:rPr>
                          <w:rFonts w:hint="eastAsia"/>
                          <w:sz w:val="13"/>
                          <w:szCs w:val="13"/>
                        </w:rPr>
                        <w:t>图例</w:t>
                      </w:r>
                    </w:p>
                    <w:p w14:paraId="0EBE47DD">
                      <w:pPr>
                        <w:rPr>
                          <w:sz w:val="13"/>
                          <w:szCs w:val="13"/>
                        </w:rPr>
                      </w:pPr>
                      <w:r>
                        <w:rPr>
                          <w:rFonts w:hint="eastAsia"/>
                          <w:sz w:val="13"/>
                          <w:szCs w:val="13"/>
                        </w:rPr>
                        <w:t>风险调查</w:t>
                      </w:r>
                      <w:r>
                        <w:rPr>
                          <w:sz w:val="13"/>
                          <w:szCs w:val="13"/>
                        </w:rPr>
                        <w:t>范围</w:t>
                      </w:r>
                    </w:p>
                    <w:p w14:paraId="3F04F8BD">
                      <w:pPr>
                        <w:rPr>
                          <w:sz w:val="13"/>
                          <w:szCs w:val="13"/>
                        </w:rPr>
                      </w:pPr>
                      <w:r>
                        <w:rPr>
                          <w:rFonts w:hint="eastAsia"/>
                          <w:sz w:val="13"/>
                          <w:szCs w:val="13"/>
                        </w:rPr>
                        <w:t>本项目</w:t>
                      </w:r>
                    </w:p>
                    <w:p w14:paraId="4BFBC838">
                      <w:pPr>
                        <w:rPr>
                          <w:sz w:val="13"/>
                          <w:szCs w:val="13"/>
                        </w:rPr>
                      </w:pPr>
                      <w:r>
                        <w:rPr>
                          <w:rFonts w:hint="eastAsia"/>
                          <w:sz w:val="13"/>
                          <w:szCs w:val="13"/>
                        </w:rPr>
                        <w:t>环境保护</w:t>
                      </w:r>
                      <w:r>
                        <w:rPr>
                          <w:sz w:val="13"/>
                          <w:szCs w:val="13"/>
                        </w:rPr>
                        <w:t>目标</w:t>
                      </w:r>
                    </w:p>
                    <w:p w14:paraId="26E4C3CE">
                      <w:pPr>
                        <w:rPr>
                          <w:sz w:val="13"/>
                          <w:szCs w:val="13"/>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8403590</wp:posOffset>
                </wp:positionH>
                <wp:positionV relativeFrom="paragraph">
                  <wp:posOffset>5144770</wp:posOffset>
                </wp:positionV>
                <wp:extent cx="805815" cy="892810"/>
                <wp:effectExtent l="0" t="0" r="13335" b="2159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5815" cy="892810"/>
                        </a:xfrm>
                        <a:prstGeom prst="rect">
                          <a:avLst/>
                        </a:prstGeom>
                        <a:solidFill>
                          <a:srgbClr val="FFFFFF">
                            <a:alpha val="41000"/>
                          </a:srgbClr>
                        </a:solidFill>
                        <a:ln w="9525">
                          <a:solidFill>
                            <a:srgbClr val="000000"/>
                          </a:solidFill>
                          <a:miter lim="800000"/>
                        </a:ln>
                      </wps:spPr>
                      <wps:txbx>
                        <w:txbxContent>
                          <w:p w14:paraId="1F0E641F">
                            <w:pPr>
                              <w:jc w:val="center"/>
                              <w:rPr>
                                <w:sz w:val="13"/>
                                <w:szCs w:val="13"/>
                              </w:rPr>
                            </w:pPr>
                            <w:r>
                              <w:rPr>
                                <w:rFonts w:hint="eastAsia"/>
                                <w:sz w:val="13"/>
                                <w:szCs w:val="13"/>
                              </w:rPr>
                              <w:t>图例</w:t>
                            </w:r>
                          </w:p>
                          <w:p w14:paraId="044FA7CE">
                            <w:pPr>
                              <w:rPr>
                                <w:sz w:val="13"/>
                                <w:szCs w:val="13"/>
                              </w:rPr>
                            </w:pPr>
                            <w:r>
                              <w:rPr>
                                <w:rFonts w:hint="eastAsia"/>
                                <w:sz w:val="13"/>
                                <w:szCs w:val="13"/>
                              </w:rPr>
                              <w:t>风险调查</w:t>
                            </w:r>
                            <w:r>
                              <w:rPr>
                                <w:sz w:val="13"/>
                                <w:szCs w:val="13"/>
                              </w:rPr>
                              <w:t>范围</w:t>
                            </w:r>
                          </w:p>
                          <w:p w14:paraId="70B5C9E4">
                            <w:pPr>
                              <w:rPr>
                                <w:sz w:val="13"/>
                                <w:szCs w:val="13"/>
                              </w:rPr>
                            </w:pPr>
                            <w:r>
                              <w:rPr>
                                <w:rFonts w:hint="eastAsia"/>
                                <w:sz w:val="13"/>
                                <w:szCs w:val="13"/>
                              </w:rPr>
                              <w:t>本项目</w:t>
                            </w:r>
                          </w:p>
                          <w:p w14:paraId="126EE24B">
                            <w:pPr>
                              <w:rPr>
                                <w:sz w:val="13"/>
                                <w:szCs w:val="13"/>
                              </w:rPr>
                            </w:pPr>
                            <w:r>
                              <w:rPr>
                                <w:rFonts w:hint="eastAsia"/>
                                <w:sz w:val="13"/>
                                <w:szCs w:val="13"/>
                              </w:rPr>
                              <w:t>环境保护</w:t>
                            </w:r>
                            <w:r>
                              <w:rPr>
                                <w:sz w:val="13"/>
                                <w:szCs w:val="13"/>
                              </w:rPr>
                              <w:t>目标</w:t>
                            </w:r>
                          </w:p>
                          <w:p w14:paraId="1B7CB1C6">
                            <w:pPr>
                              <w:rPr>
                                <w:sz w:val="13"/>
                                <w:szCs w:val="13"/>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61.7pt;margin-top:405.1pt;height:70.3pt;width:63.45pt;z-index:251663360;mso-width-relative:page;mso-height-relative:page;" fillcolor="#FFFFFF" filled="t" stroked="t" coordsize="21600,21600" o:gfxdata="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jrbDdsAAAANAQAADwAAAAAA&#10;AAABACAAAAAiAAAAZHJzL2Rvd25yZXYueG1sUEsBAhQAFAAAAAgAh07iQDKPX0ZJAgAAnAQAAA4A&#10;AAAAAAAAAQAgAAAAKgEAAGRycy9lMm9Eb2MueG1sUEsFBgAAAAAGAAYAWQEAAOUFAAAAAA==&#10;">
                <v:fill on="t" opacity="26869f" focussize="0,0"/>
                <v:stroke color="#000000" miterlimit="8" joinstyle="miter"/>
                <v:imagedata o:title=""/>
                <o:lock v:ext="edit" aspectratio="f"/>
                <v:textbox>
                  <w:txbxContent>
                    <w:p w14:paraId="1F0E641F">
                      <w:pPr>
                        <w:jc w:val="center"/>
                        <w:rPr>
                          <w:sz w:val="13"/>
                          <w:szCs w:val="13"/>
                        </w:rPr>
                      </w:pPr>
                      <w:r>
                        <w:rPr>
                          <w:rFonts w:hint="eastAsia"/>
                          <w:sz w:val="13"/>
                          <w:szCs w:val="13"/>
                        </w:rPr>
                        <w:t>图例</w:t>
                      </w:r>
                    </w:p>
                    <w:p w14:paraId="044FA7CE">
                      <w:pPr>
                        <w:rPr>
                          <w:sz w:val="13"/>
                          <w:szCs w:val="13"/>
                        </w:rPr>
                      </w:pPr>
                      <w:r>
                        <w:rPr>
                          <w:rFonts w:hint="eastAsia"/>
                          <w:sz w:val="13"/>
                          <w:szCs w:val="13"/>
                        </w:rPr>
                        <w:t>风险调查</w:t>
                      </w:r>
                      <w:r>
                        <w:rPr>
                          <w:sz w:val="13"/>
                          <w:szCs w:val="13"/>
                        </w:rPr>
                        <w:t>范围</w:t>
                      </w:r>
                    </w:p>
                    <w:p w14:paraId="70B5C9E4">
                      <w:pPr>
                        <w:rPr>
                          <w:sz w:val="13"/>
                          <w:szCs w:val="13"/>
                        </w:rPr>
                      </w:pPr>
                      <w:r>
                        <w:rPr>
                          <w:rFonts w:hint="eastAsia"/>
                          <w:sz w:val="13"/>
                          <w:szCs w:val="13"/>
                        </w:rPr>
                        <w:t>本项目</w:t>
                      </w:r>
                    </w:p>
                    <w:p w14:paraId="126EE24B">
                      <w:pPr>
                        <w:rPr>
                          <w:sz w:val="13"/>
                          <w:szCs w:val="13"/>
                        </w:rPr>
                      </w:pPr>
                      <w:r>
                        <w:rPr>
                          <w:rFonts w:hint="eastAsia"/>
                          <w:sz w:val="13"/>
                          <w:szCs w:val="13"/>
                        </w:rPr>
                        <w:t>环境保护</w:t>
                      </w:r>
                      <w:r>
                        <w:rPr>
                          <w:sz w:val="13"/>
                          <w:szCs w:val="13"/>
                        </w:rPr>
                        <w:t>目标</w:t>
                      </w:r>
                    </w:p>
                    <w:p w14:paraId="1B7CB1C6">
                      <w:pPr>
                        <w:rPr>
                          <w:sz w:val="13"/>
                          <w:szCs w:val="13"/>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8469630</wp:posOffset>
                </wp:positionH>
                <wp:positionV relativeFrom="paragraph">
                  <wp:posOffset>5441950</wp:posOffset>
                </wp:positionV>
                <wp:extent cx="85725" cy="90805"/>
                <wp:effectExtent l="0" t="0" r="28575" b="23495"/>
                <wp:wrapNone/>
                <wp:docPr id="26" name="流程图: 联系 238"/>
                <wp:cNvGraphicFramePr/>
                <a:graphic xmlns:a="http://schemas.openxmlformats.org/drawingml/2006/main">
                  <a:graphicData uri="http://schemas.microsoft.com/office/word/2010/wordprocessingShape">
                    <wps:wsp>
                      <wps:cNvSpPr/>
                      <wps:spPr>
                        <a:xfrm>
                          <a:off x="0" y="0"/>
                          <a:ext cx="85725" cy="90805"/>
                        </a:xfrm>
                        <a:prstGeom prst="flowChartConnector">
                          <a:avLst/>
                        </a:prstGeom>
                        <a:noFill/>
                        <a:ln w="12700" cap="flat" cmpd="sng" algn="ctr">
                          <a:solidFill>
                            <a:srgbClr val="FFFF00"/>
                          </a:solidFill>
                          <a:prstDash val="solid"/>
                          <a:miter lim="800000"/>
                        </a:ln>
                        <a:effectLst/>
                      </wps:spPr>
                      <wps:txbx>
                        <w:txbxContent>
                          <w:p w14:paraId="6DC8ADB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联系 238" o:spid="_x0000_s1026" o:spt="120" type="#_x0000_t120" style="position:absolute;left:0pt;margin-left:666.9pt;margin-top:428.5pt;height:7.15pt;width:6.75pt;z-index:251664384;v-text-anchor:middle;mso-width-relative:page;mso-height-relative:page;" filled="f" stroked="t" coordsize="21600,21600" o:gfxdata="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c&#10;e2f42gAAAA0BAAAPAAAAAAAAAAEAIAAAACIAAABkcnMvZG93bnJldi54bWxQSwECFAAUAAAACACH&#10;TuJABfphOZQCAAD9BAAADgAAAAAAAAABACAAAAApAQAAZHJzL2Uyb0RvYy54bWxQSwUGAAAAAAYA&#10;BgBZAQAALwYAAAAA&#10;">
                <v:fill on="f" focussize="0,0"/>
                <v:stroke weight="1pt" color="#FFFF00" miterlimit="8" joinstyle="miter"/>
                <v:imagedata o:title=""/>
                <o:lock v:ext="edit" aspectratio="f"/>
                <v:textbox>
                  <w:txbxContent>
                    <w:p w14:paraId="6DC8ADBA"/>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8476615</wp:posOffset>
                </wp:positionH>
                <wp:positionV relativeFrom="paragraph">
                  <wp:posOffset>5852795</wp:posOffset>
                </wp:positionV>
                <wp:extent cx="60325" cy="74930"/>
                <wp:effectExtent l="8890" t="8890" r="6985" b="97155"/>
                <wp:wrapNone/>
                <wp:docPr id="23" name="AutoShape 69"/>
                <wp:cNvGraphicFramePr/>
                <a:graphic xmlns:a="http://schemas.openxmlformats.org/drawingml/2006/main">
                  <a:graphicData uri="http://schemas.microsoft.com/office/word/2010/wordprocessingShape">
                    <wps:wsp>
                      <wps:cNvSpPr>
                        <a:spLocks noChangeArrowheads="1"/>
                      </wps:cNvSpPr>
                      <wps:spPr bwMode="auto">
                        <a:xfrm>
                          <a:off x="0" y="0"/>
                          <a:ext cx="60325" cy="74930"/>
                        </a:xfrm>
                        <a:prstGeom prst="wedgeEllipseCallout">
                          <a:avLst>
                            <a:gd name="adj1" fmla="val 7894"/>
                            <a:gd name="adj2" fmla="val 105083"/>
                          </a:avLst>
                        </a:prstGeom>
                        <a:solidFill>
                          <a:srgbClr val="00B0F0"/>
                        </a:solidFill>
                        <a:ln w="12700">
                          <a:solidFill>
                            <a:srgbClr val="00B0F0"/>
                          </a:solidFill>
                          <a:miter lim="800000"/>
                        </a:ln>
                      </wps:spPr>
                      <wps:txbx>
                        <w:txbxContent>
                          <w:p w14:paraId="64C5ABB8">
                            <w:pPr>
                              <w:jc w:val="center"/>
                            </w:pPr>
                          </w:p>
                        </w:txbxContent>
                      </wps:txbx>
                      <wps:bodyPr rot="0" vert="horz" wrap="square" lIns="91440" tIns="45720" rIns="91440" bIns="45720" anchor="ctr" anchorCtr="0" upright="1">
                        <a:noAutofit/>
                      </wps:bodyPr>
                    </wps:wsp>
                  </a:graphicData>
                </a:graphic>
              </wp:anchor>
            </w:drawing>
          </mc:Choice>
          <mc:Fallback>
            <w:pict>
              <v:shape id="AutoShape 69" o:spid="_x0000_s1026" o:spt="63" type="#_x0000_t63" style="position:absolute;left:0pt;margin-left:667.45pt;margin-top:460.85pt;height:5.9pt;width:4.75pt;z-index:251665408;v-text-anchor:middle;mso-width-relative:page;mso-height-relative:page;" fillcolor="#00B0F0" filled="t" stroked="t" coordsize="21600,21600" o:gfxdata="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VQPp&#10;2gAAAA0BAAAPAAAAAAAAAAEAIAAAACIAAABkcnMvZG93bnJldi54bWxQSwECFAAUAAAACACHTuJA&#10;d5lUEFgCAADfBAAADgAAAAAAAAABACAAAAApAQAAZHJzL2Uyb0RvYy54bWxQSwUGAAAAAAYABgBZ&#10;AQAA8wUAAAAA&#10;" adj="12505,33498">
                <v:fill on="t" focussize="0,0"/>
                <v:stroke weight="1pt" color="#00B0F0" miterlimit="8" joinstyle="miter"/>
                <v:imagedata o:title=""/>
                <o:lock v:ext="edit" aspectratio="f"/>
                <v:textbox>
                  <w:txbxContent>
                    <w:p w14:paraId="64C5ABB8">
                      <w:pPr>
                        <w:jc w:val="cente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8469630</wp:posOffset>
                </wp:positionH>
                <wp:positionV relativeFrom="paragraph">
                  <wp:posOffset>5657850</wp:posOffset>
                </wp:positionV>
                <wp:extent cx="85725" cy="81280"/>
                <wp:effectExtent l="19050" t="0" r="47625" b="13970"/>
                <wp:wrapNone/>
                <wp:docPr id="22" name="平行四边形 28"/>
                <wp:cNvGraphicFramePr/>
                <a:graphic xmlns:a="http://schemas.openxmlformats.org/drawingml/2006/main">
                  <a:graphicData uri="http://schemas.microsoft.com/office/word/2010/wordprocessingShape">
                    <wps:wsp>
                      <wps:cNvSpPr/>
                      <wps:spPr>
                        <a:xfrm>
                          <a:off x="0" y="0"/>
                          <a:ext cx="85725" cy="81280"/>
                        </a:xfrm>
                        <a:prstGeom prst="parallelogram">
                          <a:avLst/>
                        </a:prstGeom>
                        <a:solidFill>
                          <a:srgbClr val="73CAD3"/>
                        </a:solidFill>
                        <a:ln w="12700" cap="flat" cmpd="sng" algn="ctr">
                          <a:solidFill>
                            <a:srgbClr val="73CAD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平行四边形 28" o:spid="_x0000_s1026" o:spt="7" type="#_x0000_t7" style="position:absolute;left:0pt;margin-left:666.9pt;margin-top:445.5pt;height:6.4pt;width:6.75pt;z-index:251666432;v-text-anchor:middle;mso-width-relative:page;mso-height-relative:page;" fillcolor="#73CAD3" filled="t" stroked="t" coordsize="21600,21600" o:gfxdata="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R9Ghf2AAAAA0BAAAPAAAA&#10;AAAAAAEAIAAAACIAAABkcnMvZG93bnJldi54bWxQSwECFAAUAAAACACHTuJAePRwx4cCAAATBQAA&#10;DgAAAAAAAAABACAAAAAnAQAAZHJzL2Uyb0RvYy54bWxQSwUGAAAAAAYABgBZAQAAIAYAAAAA&#10;" adj="5120">
                <v:fill on="t" focussize="0,0"/>
                <v:stroke weight="1pt" color="#73CAD3" miterlimit="8" joinstyle="miter"/>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8403590</wp:posOffset>
                </wp:positionH>
                <wp:positionV relativeFrom="paragraph">
                  <wp:posOffset>5144770</wp:posOffset>
                </wp:positionV>
                <wp:extent cx="805815" cy="892810"/>
                <wp:effectExtent l="0" t="0" r="13335" b="2159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5815" cy="892810"/>
                        </a:xfrm>
                        <a:prstGeom prst="rect">
                          <a:avLst/>
                        </a:prstGeom>
                        <a:solidFill>
                          <a:srgbClr val="FFFFFF">
                            <a:alpha val="41000"/>
                          </a:srgbClr>
                        </a:solidFill>
                        <a:ln w="9525">
                          <a:solidFill>
                            <a:srgbClr val="000000"/>
                          </a:solidFill>
                          <a:miter lim="800000"/>
                        </a:ln>
                      </wps:spPr>
                      <wps:txbx>
                        <w:txbxContent>
                          <w:p w14:paraId="426ED551">
                            <w:pPr>
                              <w:jc w:val="center"/>
                              <w:rPr>
                                <w:sz w:val="13"/>
                                <w:szCs w:val="13"/>
                              </w:rPr>
                            </w:pPr>
                            <w:r>
                              <w:rPr>
                                <w:rFonts w:hint="eastAsia"/>
                                <w:sz w:val="13"/>
                                <w:szCs w:val="13"/>
                              </w:rPr>
                              <w:t>图例</w:t>
                            </w:r>
                          </w:p>
                          <w:p w14:paraId="31CB0D63">
                            <w:pPr>
                              <w:rPr>
                                <w:sz w:val="13"/>
                                <w:szCs w:val="13"/>
                              </w:rPr>
                            </w:pPr>
                            <w:r>
                              <w:rPr>
                                <w:rFonts w:hint="eastAsia"/>
                                <w:sz w:val="13"/>
                                <w:szCs w:val="13"/>
                              </w:rPr>
                              <w:t>风险调查</w:t>
                            </w:r>
                            <w:r>
                              <w:rPr>
                                <w:sz w:val="13"/>
                                <w:szCs w:val="13"/>
                              </w:rPr>
                              <w:t>范围</w:t>
                            </w:r>
                          </w:p>
                          <w:p w14:paraId="09C1CF31">
                            <w:pPr>
                              <w:rPr>
                                <w:sz w:val="13"/>
                                <w:szCs w:val="13"/>
                              </w:rPr>
                            </w:pPr>
                            <w:r>
                              <w:rPr>
                                <w:rFonts w:hint="eastAsia"/>
                                <w:sz w:val="13"/>
                                <w:szCs w:val="13"/>
                              </w:rPr>
                              <w:t>本项目</w:t>
                            </w:r>
                          </w:p>
                          <w:p w14:paraId="79A21E32">
                            <w:pPr>
                              <w:rPr>
                                <w:sz w:val="13"/>
                                <w:szCs w:val="13"/>
                              </w:rPr>
                            </w:pPr>
                            <w:r>
                              <w:rPr>
                                <w:rFonts w:hint="eastAsia"/>
                                <w:sz w:val="13"/>
                                <w:szCs w:val="13"/>
                              </w:rPr>
                              <w:t>环境保护</w:t>
                            </w:r>
                            <w:r>
                              <w:rPr>
                                <w:sz w:val="13"/>
                                <w:szCs w:val="13"/>
                              </w:rPr>
                              <w:t>目标</w:t>
                            </w:r>
                          </w:p>
                          <w:p w14:paraId="2D598087">
                            <w:pPr>
                              <w:rPr>
                                <w:sz w:val="13"/>
                                <w:szCs w:val="13"/>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61.7pt;margin-top:405.1pt;height:70.3pt;width:63.45pt;z-index:251659264;mso-width-relative:page;mso-height-relative:page;" fillcolor="#FFFFFF" filled="t" stroked="t" coordsize="21600,21600" o:gfxdata="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jrbDdsAAAANAQAADwAAAAAA&#10;AAABACAAAAAiAAAAZHJzL2Rvd25yZXYueG1sUEsBAhQAFAAAAAgAh07iQOGwoztJAgAAnAQAAA4A&#10;AAAAAAAAAQAgAAAAKgEAAGRycy9lMm9Eb2MueG1sUEsFBgAAAAAGAAYAWQEAAOUFAAAAAA==&#10;">
                <v:fill on="t" opacity="26869f" focussize="0,0"/>
                <v:stroke color="#000000" miterlimit="8" joinstyle="miter"/>
                <v:imagedata o:title=""/>
                <o:lock v:ext="edit" aspectratio="f"/>
                <v:textbox>
                  <w:txbxContent>
                    <w:p w14:paraId="426ED551">
                      <w:pPr>
                        <w:jc w:val="center"/>
                        <w:rPr>
                          <w:sz w:val="13"/>
                          <w:szCs w:val="13"/>
                        </w:rPr>
                      </w:pPr>
                      <w:r>
                        <w:rPr>
                          <w:rFonts w:hint="eastAsia"/>
                          <w:sz w:val="13"/>
                          <w:szCs w:val="13"/>
                        </w:rPr>
                        <w:t>图例</w:t>
                      </w:r>
                    </w:p>
                    <w:p w14:paraId="31CB0D63">
                      <w:pPr>
                        <w:rPr>
                          <w:sz w:val="13"/>
                          <w:szCs w:val="13"/>
                        </w:rPr>
                      </w:pPr>
                      <w:r>
                        <w:rPr>
                          <w:rFonts w:hint="eastAsia"/>
                          <w:sz w:val="13"/>
                          <w:szCs w:val="13"/>
                        </w:rPr>
                        <w:t>风险调查</w:t>
                      </w:r>
                      <w:r>
                        <w:rPr>
                          <w:sz w:val="13"/>
                          <w:szCs w:val="13"/>
                        </w:rPr>
                        <w:t>范围</w:t>
                      </w:r>
                    </w:p>
                    <w:p w14:paraId="09C1CF31">
                      <w:pPr>
                        <w:rPr>
                          <w:sz w:val="13"/>
                          <w:szCs w:val="13"/>
                        </w:rPr>
                      </w:pPr>
                      <w:r>
                        <w:rPr>
                          <w:rFonts w:hint="eastAsia"/>
                          <w:sz w:val="13"/>
                          <w:szCs w:val="13"/>
                        </w:rPr>
                        <w:t>本项目</w:t>
                      </w:r>
                    </w:p>
                    <w:p w14:paraId="79A21E32">
                      <w:pPr>
                        <w:rPr>
                          <w:sz w:val="13"/>
                          <w:szCs w:val="13"/>
                        </w:rPr>
                      </w:pPr>
                      <w:r>
                        <w:rPr>
                          <w:rFonts w:hint="eastAsia"/>
                          <w:sz w:val="13"/>
                          <w:szCs w:val="13"/>
                        </w:rPr>
                        <w:t>环境保护</w:t>
                      </w:r>
                      <w:r>
                        <w:rPr>
                          <w:sz w:val="13"/>
                          <w:szCs w:val="13"/>
                        </w:rPr>
                        <w:t>目标</w:t>
                      </w:r>
                    </w:p>
                    <w:p w14:paraId="2D598087">
                      <w:pPr>
                        <w:rPr>
                          <w:sz w:val="13"/>
                          <w:szCs w:val="13"/>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8469630</wp:posOffset>
                </wp:positionH>
                <wp:positionV relativeFrom="paragraph">
                  <wp:posOffset>5441950</wp:posOffset>
                </wp:positionV>
                <wp:extent cx="85725" cy="90805"/>
                <wp:effectExtent l="0" t="0" r="28575" b="23495"/>
                <wp:wrapNone/>
                <wp:docPr id="238" name="流程图: 联系 238"/>
                <wp:cNvGraphicFramePr/>
                <a:graphic xmlns:a="http://schemas.openxmlformats.org/drawingml/2006/main">
                  <a:graphicData uri="http://schemas.microsoft.com/office/word/2010/wordprocessingShape">
                    <wps:wsp>
                      <wps:cNvSpPr/>
                      <wps:spPr>
                        <a:xfrm>
                          <a:off x="0" y="0"/>
                          <a:ext cx="85725" cy="90805"/>
                        </a:xfrm>
                        <a:prstGeom prst="flowChartConnector">
                          <a:avLst/>
                        </a:prstGeom>
                        <a:noFill/>
                        <a:ln w="12700" cap="flat" cmpd="sng" algn="ctr">
                          <a:solidFill>
                            <a:srgbClr val="FFFF00"/>
                          </a:solidFill>
                          <a:prstDash val="solid"/>
                          <a:miter lim="800000"/>
                        </a:ln>
                        <a:effectLst/>
                      </wps:spPr>
                      <wps:txbx>
                        <w:txbxContent>
                          <w:p w14:paraId="3A745D9D"/>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666.9pt;margin-top:428.5pt;height:7.15pt;width:6.75pt;z-index:251660288;v-text-anchor:middle;mso-width-relative:page;mso-height-relative:page;" filled="f" stroked="t" coordsize="21600,21600" o:gfxdata="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ce2f4&#10;2gAAAA0BAAAPAAAAAAAAAAEAIAAAACIAAABkcnMvZG93bnJldi54bWxQSwECFAAUAAAACACHTuJA&#10;KU4m75ECAAD+BAAADgAAAAAAAAABACAAAAApAQAAZHJzL2Uyb0RvYy54bWxQSwUGAAAAAAYABgBZ&#10;AQAALAYAAAAA&#10;">
                <v:fill on="f" focussize="0,0"/>
                <v:stroke weight="1pt" color="#FFFF00" miterlimit="8" joinstyle="miter"/>
                <v:imagedata o:title=""/>
                <o:lock v:ext="edit" aspectratio="f"/>
                <v:textbox>
                  <w:txbxContent>
                    <w:p w14:paraId="3A745D9D"/>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8476615</wp:posOffset>
                </wp:positionH>
                <wp:positionV relativeFrom="paragraph">
                  <wp:posOffset>5852795</wp:posOffset>
                </wp:positionV>
                <wp:extent cx="60325" cy="74930"/>
                <wp:effectExtent l="8890" t="8890" r="6985" b="97155"/>
                <wp:wrapNone/>
                <wp:docPr id="20" name="AutoShape 63"/>
                <wp:cNvGraphicFramePr/>
                <a:graphic xmlns:a="http://schemas.openxmlformats.org/drawingml/2006/main">
                  <a:graphicData uri="http://schemas.microsoft.com/office/word/2010/wordprocessingShape">
                    <wps:wsp>
                      <wps:cNvSpPr>
                        <a:spLocks noChangeArrowheads="1"/>
                      </wps:cNvSpPr>
                      <wps:spPr bwMode="auto">
                        <a:xfrm>
                          <a:off x="0" y="0"/>
                          <a:ext cx="60325" cy="74930"/>
                        </a:xfrm>
                        <a:prstGeom prst="wedgeEllipseCallout">
                          <a:avLst>
                            <a:gd name="adj1" fmla="val 7894"/>
                            <a:gd name="adj2" fmla="val 105083"/>
                          </a:avLst>
                        </a:prstGeom>
                        <a:solidFill>
                          <a:srgbClr val="00B0F0"/>
                        </a:solidFill>
                        <a:ln w="12700">
                          <a:solidFill>
                            <a:srgbClr val="00B0F0"/>
                          </a:solidFill>
                          <a:miter lim="800000"/>
                        </a:ln>
                      </wps:spPr>
                      <wps:txbx>
                        <w:txbxContent>
                          <w:p w14:paraId="1771FA08">
                            <w:pPr>
                              <w:jc w:val="center"/>
                            </w:pPr>
                          </w:p>
                        </w:txbxContent>
                      </wps:txbx>
                      <wps:bodyPr rot="0" vert="horz" wrap="square" lIns="91440" tIns="45720" rIns="91440" bIns="45720" anchor="ctr" anchorCtr="0" upright="1">
                        <a:noAutofit/>
                      </wps:bodyPr>
                    </wps:wsp>
                  </a:graphicData>
                </a:graphic>
              </wp:anchor>
            </w:drawing>
          </mc:Choice>
          <mc:Fallback>
            <w:pict>
              <v:shape id="AutoShape 63" o:spid="_x0000_s1026" o:spt="63" type="#_x0000_t63" style="position:absolute;left:0pt;margin-left:667.45pt;margin-top:460.85pt;height:5.9pt;width:4.75pt;z-index:251661312;v-text-anchor:middle;mso-width-relative:page;mso-height-relative:page;" fillcolor="#00B0F0" filled="t" stroked="t" coordsize="21600,21600" o:gfxdata="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FUD&#10;6doAAAANAQAADwAAAAAAAAABACAAAAAiAAAAZHJzL2Rvd25yZXYueG1sUEsBAhQAFAAAAAgAh07i&#10;QAE/77dZAgAA3wQAAA4AAAAAAAAAAQAgAAAAKQEAAGRycy9lMm9Eb2MueG1sUEsFBgAAAAAGAAYA&#10;WQEAAPQFAAAAAA==&#10;" adj="12505,33498">
                <v:fill on="t" focussize="0,0"/>
                <v:stroke weight="1pt" color="#00B0F0" miterlimit="8" joinstyle="miter"/>
                <v:imagedata o:title=""/>
                <o:lock v:ext="edit" aspectratio="f"/>
                <v:textbox>
                  <w:txbxContent>
                    <w:p w14:paraId="1771FA08">
                      <w:pPr>
                        <w:jc w:val="cente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8469630</wp:posOffset>
                </wp:positionH>
                <wp:positionV relativeFrom="paragraph">
                  <wp:posOffset>5657850</wp:posOffset>
                </wp:positionV>
                <wp:extent cx="85725" cy="81280"/>
                <wp:effectExtent l="19050" t="0" r="47625" b="13970"/>
                <wp:wrapNone/>
                <wp:docPr id="28" name="平行四边形 28"/>
                <wp:cNvGraphicFramePr/>
                <a:graphic xmlns:a="http://schemas.openxmlformats.org/drawingml/2006/main">
                  <a:graphicData uri="http://schemas.microsoft.com/office/word/2010/wordprocessingShape">
                    <wps:wsp>
                      <wps:cNvSpPr/>
                      <wps:spPr>
                        <a:xfrm>
                          <a:off x="0" y="0"/>
                          <a:ext cx="85725" cy="81280"/>
                        </a:xfrm>
                        <a:prstGeom prst="parallelogram">
                          <a:avLst/>
                        </a:prstGeom>
                        <a:solidFill>
                          <a:srgbClr val="73CAD3"/>
                        </a:solidFill>
                        <a:ln w="12700" cap="flat" cmpd="sng" algn="ctr">
                          <a:solidFill>
                            <a:srgbClr val="73CAD3"/>
                          </a:solidFill>
                          <a:prstDash val="solid"/>
                          <a:miter lim="800000"/>
                        </a:ln>
                        <a:effectLst/>
                      </wps:spPr>
                      <wps:txbx>
                        <w:txbxContent>
                          <w:p w14:paraId="5A43B3F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666.9pt;margin-top:445.5pt;height:6.4pt;width:6.75pt;z-index:251662336;v-text-anchor:middle;mso-width-relative:page;mso-height-relative:page;" fillcolor="#73CAD3" filled="t" stroked="t" coordsize="21600,21600" o:gfxdata="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R9Ghf2AAAAA0B&#10;AAAPAAAAAAAAAAEAIAAAACIAAABkcnMvZG93bnJldi54bWxQSwECFAAUAAAACACHTuJAyRCHv40C&#10;AAAeBQAADgAAAAAAAAABACAAAAAnAQAAZHJzL2Uyb0RvYy54bWxQSwUGAAAAAAYABgBZAQAAJgYA&#10;AAAA&#10;" adj="5120">
                <v:fill on="t" focussize="0,0"/>
                <v:stroke weight="1pt" color="#73CAD3" miterlimit="8" joinstyle="miter"/>
                <v:imagedata o:title=""/>
                <o:lock v:ext="edit" aspectratio="f"/>
                <v:textbox>
                  <w:txbxContent>
                    <w:p w14:paraId="5A43B3FA"/>
                  </w:txbxContent>
                </v:textbox>
              </v:shape>
            </w:pict>
          </mc:Fallback>
        </mc:AlternateContent>
      </w:r>
    </w:p>
    <w:p w14:paraId="5C79C03A">
      <w:pPr>
        <w:spacing w:line="360" w:lineRule="auto"/>
        <w:outlineLvl w:val="2"/>
        <w:rPr>
          <w:rFonts w:eastAsia="仿宋_GB2312"/>
          <w:b/>
          <w:bCs/>
          <w:sz w:val="28"/>
          <w:szCs w:val="32"/>
          <w:highlight w:val="none"/>
        </w:rPr>
      </w:pPr>
      <w:bookmarkStart w:id="31" w:name="_Toc296521845"/>
      <w:r>
        <w:rPr>
          <w:rFonts w:eastAsia="仿宋_GB2312"/>
          <w:b/>
          <w:bCs/>
          <w:sz w:val="28"/>
          <w:szCs w:val="32"/>
          <w:highlight w:val="none"/>
        </w:rPr>
        <w:t>2.3.2水环境风险受体</w:t>
      </w:r>
    </w:p>
    <w:p w14:paraId="56CA0B67">
      <w:pPr>
        <w:spacing w:line="360" w:lineRule="auto"/>
        <w:ind w:firstLine="560" w:firstLineChars="200"/>
        <w:rPr>
          <w:rFonts w:hint="eastAsia" w:ascii="仿宋" w:hAnsi="仿宋" w:eastAsia="仿宋"/>
          <w:color w:val="000000" w:themeColor="text1"/>
          <w:kern w:val="0"/>
          <w:sz w:val="28"/>
          <w:szCs w:val="30"/>
          <w:highlight w:val="none"/>
          <w14:textFill>
            <w14:solidFill>
              <w14:schemeClr w14:val="tx1"/>
            </w14:solidFill>
          </w14:textFill>
        </w:rPr>
      </w:pPr>
      <w:r>
        <w:rPr>
          <w:rFonts w:hint="eastAsia" w:ascii="仿宋" w:hAnsi="仿宋" w:eastAsia="仿宋"/>
          <w:sz w:val="28"/>
          <w:szCs w:val="28"/>
          <w:highlight w:val="none"/>
        </w:rPr>
        <w:t>本加油站站内实行雨污分流，运营期无生产废水产生，生活污水进入站内化粪池内，随后经清掏处理，不外排。雨水经站区</w:t>
      </w:r>
      <w:r>
        <w:rPr>
          <w:rFonts w:hint="eastAsia" w:ascii="仿宋" w:hAnsi="仿宋" w:eastAsia="仿宋"/>
          <w:sz w:val="28"/>
          <w:szCs w:val="28"/>
          <w:highlight w:val="none"/>
          <w:lang w:val="en-US" w:eastAsia="zh-CN"/>
        </w:rPr>
        <w:t>南</w:t>
      </w:r>
      <w:r>
        <w:rPr>
          <w:rFonts w:hint="eastAsia" w:ascii="仿宋" w:hAnsi="仿宋" w:eastAsia="仿宋"/>
          <w:sz w:val="28"/>
          <w:szCs w:val="28"/>
          <w:highlight w:val="none"/>
        </w:rPr>
        <w:t>侧坡向排往站外雨水井进入市政雨水管网，最终进入</w:t>
      </w:r>
      <w:r>
        <w:rPr>
          <w:rFonts w:hint="eastAsia" w:ascii="仿宋" w:hAnsi="仿宋" w:eastAsia="仿宋"/>
          <w:color w:val="000000" w:themeColor="text1"/>
          <w:kern w:val="0"/>
          <w:sz w:val="28"/>
          <w:szCs w:val="30"/>
          <w:highlight w:val="none"/>
          <w:lang w:val="en-US" w:eastAsia="zh-CN"/>
          <w14:textFill>
            <w14:solidFill>
              <w14:schemeClr w14:val="tx1"/>
            </w14:solidFill>
          </w14:textFill>
        </w:rPr>
        <w:t>马厂减河</w:t>
      </w:r>
      <w:r>
        <w:rPr>
          <w:rFonts w:hint="eastAsia" w:ascii="仿宋" w:hAnsi="仿宋" w:eastAsia="仿宋"/>
          <w:sz w:val="28"/>
          <w:szCs w:val="28"/>
          <w:highlight w:val="none"/>
        </w:rPr>
        <w:t>。如泄漏物较多（或产生消防废水量较多）且封堵不及时的情况下，泄漏物（或消防废水）会随雨水流向站区外公路一侧，最终进入公路边排水渠，</w:t>
      </w:r>
      <w:r>
        <w:rPr>
          <w:rFonts w:hint="eastAsia" w:ascii="仿宋" w:hAnsi="仿宋" w:eastAsia="仿宋"/>
          <w:sz w:val="28"/>
          <w:szCs w:val="28"/>
          <w:highlight w:val="none"/>
          <w:lang w:val="en-US" w:eastAsia="zh-CN"/>
        </w:rPr>
        <w:t>4.778</w:t>
      </w:r>
      <w:r>
        <w:rPr>
          <w:rFonts w:hint="eastAsia" w:ascii="仿宋" w:hAnsi="仿宋" w:eastAsia="仿宋"/>
          <w:color w:val="000000" w:themeColor="text1"/>
          <w:kern w:val="0"/>
          <w:sz w:val="28"/>
          <w:szCs w:val="30"/>
          <w:highlight w:val="none"/>
          <w14:textFill>
            <w14:solidFill>
              <w14:schemeClr w14:val="tx1"/>
            </w14:solidFill>
          </w14:textFill>
        </w:rPr>
        <w:t>km后进入</w:t>
      </w:r>
      <w:r>
        <w:rPr>
          <w:rFonts w:hint="eastAsia" w:ascii="仿宋" w:hAnsi="仿宋" w:eastAsia="仿宋"/>
          <w:color w:val="000000" w:themeColor="text1"/>
          <w:kern w:val="0"/>
          <w:sz w:val="28"/>
          <w:szCs w:val="30"/>
          <w:highlight w:val="none"/>
          <w:lang w:val="en-US" w:eastAsia="zh-CN"/>
          <w14:textFill>
            <w14:solidFill>
              <w14:schemeClr w14:val="tx1"/>
            </w14:solidFill>
          </w14:textFill>
        </w:rPr>
        <w:t>马厂减河</w:t>
      </w:r>
      <w:r>
        <w:rPr>
          <w:rFonts w:hint="eastAsia" w:ascii="仿宋" w:hAnsi="仿宋" w:eastAsia="仿宋"/>
          <w:color w:val="000000" w:themeColor="text1"/>
          <w:kern w:val="0"/>
          <w:sz w:val="28"/>
          <w:szCs w:val="30"/>
          <w:highlight w:val="none"/>
          <w14:textFill>
            <w14:solidFill>
              <w14:schemeClr w14:val="tx1"/>
            </w14:solidFill>
          </w14:textFill>
        </w:rPr>
        <w:t>。</w:t>
      </w:r>
    </w:p>
    <w:p w14:paraId="1CFF457D">
      <w:pPr>
        <w:spacing w:line="360" w:lineRule="auto"/>
        <w:ind w:firstLine="1400" w:firstLineChars="500"/>
        <w:rPr>
          <w:rFonts w:hint="eastAsia" w:ascii="仿宋" w:hAnsi="仿宋" w:eastAsia="仿宋"/>
          <w:sz w:val="28"/>
          <w:szCs w:val="28"/>
        </w:rPr>
      </w:pPr>
      <w:r>
        <w:rPr>
          <w:rFonts w:hint="eastAsia" w:ascii="仿宋" w:hAnsi="仿宋" w:eastAsia="仿宋"/>
          <w:bCs/>
          <w:sz w:val="28"/>
          <w:szCs w:val="28"/>
        </w:rPr>
        <w:t>表2.3-3下游10km范围内水环境风险受体情况表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225"/>
        <w:gridCol w:w="709"/>
        <w:gridCol w:w="1717"/>
        <w:gridCol w:w="2731"/>
        <w:gridCol w:w="1499"/>
      </w:tblGrid>
      <w:tr w14:paraId="1329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180" w:type="dxa"/>
            <w:vAlign w:val="center"/>
          </w:tcPr>
          <w:p w14:paraId="139A0D70">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环境要素</w:t>
            </w:r>
          </w:p>
        </w:tc>
        <w:tc>
          <w:tcPr>
            <w:tcW w:w="1225" w:type="dxa"/>
            <w:vAlign w:val="center"/>
          </w:tcPr>
          <w:p w14:paraId="220F131B">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受体名称</w:t>
            </w:r>
          </w:p>
        </w:tc>
        <w:tc>
          <w:tcPr>
            <w:tcW w:w="709" w:type="dxa"/>
            <w:vAlign w:val="center"/>
          </w:tcPr>
          <w:p w14:paraId="162E47D6">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相对方位</w:t>
            </w:r>
          </w:p>
        </w:tc>
        <w:tc>
          <w:tcPr>
            <w:tcW w:w="1717" w:type="dxa"/>
            <w:vAlign w:val="center"/>
          </w:tcPr>
          <w:p w14:paraId="509EE62F">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流经距离（km)</w:t>
            </w:r>
          </w:p>
        </w:tc>
        <w:tc>
          <w:tcPr>
            <w:tcW w:w="2731" w:type="dxa"/>
            <w:vAlign w:val="center"/>
          </w:tcPr>
          <w:p w14:paraId="46F6D501">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24小时流经范围内涉跨国界或省界</w:t>
            </w:r>
          </w:p>
        </w:tc>
        <w:tc>
          <w:tcPr>
            <w:tcW w:w="1499" w:type="dxa"/>
            <w:vAlign w:val="center"/>
          </w:tcPr>
          <w:p w14:paraId="7C7438D3">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性质</w:t>
            </w:r>
          </w:p>
        </w:tc>
      </w:tr>
      <w:tr w14:paraId="1ED5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180" w:type="dxa"/>
            <w:vAlign w:val="center"/>
          </w:tcPr>
          <w:p w14:paraId="619C92E2">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地表水</w:t>
            </w:r>
          </w:p>
        </w:tc>
        <w:tc>
          <w:tcPr>
            <w:tcW w:w="1225" w:type="dxa"/>
            <w:vAlign w:val="center"/>
          </w:tcPr>
          <w:p w14:paraId="1B25D342">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马厂减河</w:t>
            </w:r>
          </w:p>
        </w:tc>
        <w:tc>
          <w:tcPr>
            <w:tcW w:w="709" w:type="dxa"/>
            <w:vAlign w:val="center"/>
          </w:tcPr>
          <w:p w14:paraId="762468AA">
            <w:pPr>
              <w:adjustRightInd w:val="0"/>
              <w:spacing w:line="360" w:lineRule="auto"/>
              <w:jc w:val="center"/>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东南</w:t>
            </w:r>
          </w:p>
        </w:tc>
        <w:tc>
          <w:tcPr>
            <w:tcW w:w="1717" w:type="dxa"/>
            <w:vAlign w:val="center"/>
          </w:tcPr>
          <w:p w14:paraId="60A259EF">
            <w:pPr>
              <w:adjustRightInd w:val="0"/>
              <w:spacing w:line="360" w:lineRule="auto"/>
              <w:jc w:val="center"/>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4.778</w:t>
            </w:r>
          </w:p>
        </w:tc>
        <w:tc>
          <w:tcPr>
            <w:tcW w:w="2731" w:type="dxa"/>
            <w:vAlign w:val="center"/>
          </w:tcPr>
          <w:p w14:paraId="3B7936D5">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不跨国界或省界</w:t>
            </w:r>
          </w:p>
        </w:tc>
        <w:tc>
          <w:tcPr>
            <w:tcW w:w="1499" w:type="dxa"/>
            <w:vAlign w:val="center"/>
          </w:tcPr>
          <w:p w14:paraId="3C442560">
            <w:pPr>
              <w:adjustRightIn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二级河道，劣Ⅴ</w:t>
            </w:r>
            <w:r>
              <w:rPr>
                <w:rFonts w:hint="eastAsia" w:ascii="仿宋" w:hAnsi="仿宋" w:eastAsia="仿宋" w:cs="仿宋"/>
                <w:sz w:val="24"/>
                <w:szCs w:val="24"/>
              </w:rPr>
              <w:t>类水体</w:t>
            </w:r>
          </w:p>
        </w:tc>
      </w:tr>
    </w:tbl>
    <w:p w14:paraId="53168FF2">
      <w:pPr>
        <w:spacing w:line="360" w:lineRule="auto"/>
        <w:ind w:firstLine="560" w:firstLineChars="200"/>
        <w:rPr>
          <w:rFonts w:eastAsia="仿宋"/>
          <w:sz w:val="28"/>
          <w:szCs w:val="28"/>
        </w:rPr>
      </w:pPr>
      <w:r>
        <w:rPr>
          <w:rFonts w:hint="eastAsia" w:eastAsia="仿宋"/>
          <w:sz w:val="28"/>
          <w:szCs w:val="28"/>
        </w:rPr>
        <w:t>调查该河流10km范围内水环境风险受体情况，水环境风险受体为</w:t>
      </w:r>
      <w:r>
        <w:rPr>
          <w:rFonts w:hint="eastAsia" w:eastAsia="仿宋"/>
          <w:color w:val="000000" w:themeColor="text1"/>
          <w:kern w:val="0"/>
          <w:sz w:val="28"/>
          <w:szCs w:val="30"/>
          <w14:textFill>
            <w14:solidFill>
              <w14:schemeClr w14:val="tx1"/>
            </w14:solidFill>
          </w14:textFill>
        </w:rPr>
        <w:t>南运河</w:t>
      </w:r>
      <w:r>
        <w:rPr>
          <w:rFonts w:hint="eastAsia" w:eastAsia="仿宋"/>
          <w:sz w:val="28"/>
          <w:szCs w:val="28"/>
        </w:rPr>
        <w:t>，下游10km范围内不涉及饮用水水源保护区、自来水厂取水口、自然保护区、重要湿地、特殊生态系统、水产养殖区、鱼虾产卵场、天然渔场。</w:t>
      </w:r>
    </w:p>
    <w:p w14:paraId="5835CFB0">
      <w:pPr>
        <w:spacing w:line="360" w:lineRule="auto"/>
        <w:outlineLvl w:val="2"/>
        <w:rPr>
          <w:rFonts w:eastAsia="仿宋_GB2312"/>
          <w:b/>
          <w:bCs/>
          <w:sz w:val="28"/>
          <w:szCs w:val="32"/>
        </w:rPr>
      </w:pPr>
      <w:r>
        <w:rPr>
          <w:rFonts w:eastAsia="仿宋_GB2312"/>
          <w:b/>
          <w:bCs/>
          <w:sz w:val="28"/>
          <w:szCs w:val="32"/>
        </w:rPr>
        <w:t>2.3</w:t>
      </w:r>
      <w:r>
        <w:rPr>
          <w:rFonts w:hint="eastAsia" w:eastAsia="仿宋_GB2312"/>
          <w:b/>
          <w:bCs/>
          <w:sz w:val="28"/>
          <w:szCs w:val="32"/>
        </w:rPr>
        <w:t>.</w:t>
      </w:r>
      <w:r>
        <w:rPr>
          <w:rFonts w:eastAsia="仿宋_GB2312"/>
          <w:b/>
          <w:bCs/>
          <w:sz w:val="28"/>
          <w:szCs w:val="32"/>
        </w:rPr>
        <w:t>3</w:t>
      </w:r>
      <w:r>
        <w:rPr>
          <w:rFonts w:hint="eastAsia" w:eastAsia="仿宋_GB2312"/>
          <w:b/>
          <w:bCs/>
          <w:sz w:val="28"/>
          <w:szCs w:val="32"/>
        </w:rPr>
        <w:t>土壤环境风险受体</w:t>
      </w:r>
    </w:p>
    <w:p w14:paraId="18CB0BBF">
      <w:pPr>
        <w:spacing w:line="360" w:lineRule="auto"/>
        <w:ind w:firstLine="560" w:firstLineChars="200"/>
        <w:rPr>
          <w:rFonts w:eastAsia="仿宋"/>
          <w:sz w:val="28"/>
          <w:szCs w:val="28"/>
        </w:rPr>
      </w:pPr>
      <w:r>
        <w:rPr>
          <w:rFonts w:hint="eastAsia" w:eastAsia="仿宋"/>
          <w:sz w:val="28"/>
          <w:szCs w:val="28"/>
        </w:rPr>
        <w:t>站区内采取全部地面硬化，地下储罐均为双层罐，对土壤造成的污染可能性较低。</w:t>
      </w:r>
    </w:p>
    <w:p w14:paraId="59207073">
      <w:pPr>
        <w:pStyle w:val="2"/>
        <w:sectPr>
          <w:headerReference r:id="rId9" w:type="default"/>
          <w:pgSz w:w="11907" w:h="16839"/>
          <w:pgMar w:top="1418" w:right="1418" w:bottom="1418" w:left="1418" w:header="720" w:footer="720" w:gutter="0"/>
          <w:cols w:space="720" w:num="1"/>
          <w:docGrid w:linePitch="286" w:charSpace="0"/>
        </w:sectPr>
      </w:pPr>
    </w:p>
    <w:p w14:paraId="0E305749">
      <w:pPr>
        <w:pStyle w:val="2"/>
      </w:pPr>
      <w:bookmarkStart w:id="32" w:name="_Toc165395066"/>
      <w:r>
        <w:t>3</w:t>
      </w:r>
      <w:bookmarkEnd w:id="31"/>
      <w:r>
        <w:t>环境风险源辨识与风险评估</w:t>
      </w:r>
      <w:bookmarkEnd w:id="32"/>
    </w:p>
    <w:p w14:paraId="010F8BC9">
      <w:pPr>
        <w:spacing w:line="360" w:lineRule="auto"/>
        <w:ind w:firstLine="560" w:firstLineChars="200"/>
        <w:rPr>
          <w:rFonts w:eastAsia="仿宋"/>
          <w:sz w:val="28"/>
          <w:szCs w:val="28"/>
        </w:rPr>
      </w:pPr>
      <w:r>
        <w:rPr>
          <w:rFonts w:eastAsia="仿宋"/>
          <w:sz w:val="28"/>
          <w:szCs w:val="28"/>
        </w:rPr>
        <w:t>根据《企业事业单位突发环境事件应急预案备案管理办法（试行）》（环发[2015]4号）的相关要求，编制了《中国石化销售股份有限公司天津石油分公司</w:t>
      </w:r>
      <w:r>
        <w:rPr>
          <w:rFonts w:hint="eastAsia" w:eastAsia="仿宋"/>
          <w:sz w:val="28"/>
          <w:szCs w:val="28"/>
        </w:rPr>
        <w:t>津南</w:t>
      </w:r>
      <w:r>
        <w:rPr>
          <w:rFonts w:hint="eastAsia" w:eastAsia="仿宋"/>
          <w:sz w:val="28"/>
          <w:szCs w:val="28"/>
          <w:highlight w:val="none"/>
          <w:lang w:eastAsia="zh-CN"/>
        </w:rPr>
        <w:t>水利</w:t>
      </w:r>
      <w:r>
        <w:rPr>
          <w:rFonts w:eastAsia="仿宋"/>
          <w:sz w:val="28"/>
          <w:szCs w:val="28"/>
        </w:rPr>
        <w:t>加油站环境风险评估报告》，对</w:t>
      </w:r>
      <w:r>
        <w:rPr>
          <w:rFonts w:hint="eastAsia" w:eastAsia="仿宋"/>
          <w:sz w:val="28"/>
          <w:szCs w:val="28"/>
        </w:rPr>
        <w:t>本</w:t>
      </w:r>
      <w:r>
        <w:rPr>
          <w:rFonts w:eastAsia="仿宋"/>
          <w:sz w:val="28"/>
          <w:szCs w:val="28"/>
        </w:rPr>
        <w:t>加油站进行了环境风险源辩识和风险评估。</w:t>
      </w:r>
    </w:p>
    <w:p w14:paraId="11F4BB19">
      <w:pPr>
        <w:spacing w:line="360" w:lineRule="auto"/>
        <w:ind w:firstLine="560" w:firstLineChars="200"/>
        <w:rPr>
          <w:rFonts w:eastAsia="仿宋"/>
          <w:sz w:val="28"/>
          <w:szCs w:val="28"/>
        </w:rPr>
      </w:pPr>
      <w:r>
        <w:rPr>
          <w:rFonts w:eastAsia="仿宋"/>
          <w:sz w:val="28"/>
          <w:szCs w:val="28"/>
        </w:rPr>
        <w:t>环境风险评估报告的主要内容如下：</w:t>
      </w:r>
    </w:p>
    <w:p w14:paraId="46E7AE51">
      <w:pPr>
        <w:spacing w:line="360" w:lineRule="auto"/>
        <w:ind w:firstLine="560" w:firstLineChars="200"/>
        <w:rPr>
          <w:rFonts w:eastAsia="仿宋"/>
          <w:sz w:val="28"/>
          <w:szCs w:val="28"/>
        </w:rPr>
      </w:pPr>
      <w:r>
        <w:rPr>
          <w:rFonts w:eastAsia="仿宋"/>
          <w:sz w:val="28"/>
          <w:szCs w:val="28"/>
        </w:rPr>
        <w:t>（1）本站安全生产管理方面，进行了消防验收和安全评价；水环境风险</w:t>
      </w:r>
      <w:r>
        <w:rPr>
          <w:rFonts w:eastAsia="仿宋"/>
          <w:sz w:val="28"/>
          <w:szCs w:val="28"/>
          <w:highlight w:val="none"/>
        </w:rPr>
        <w:t>防控措施方面，</w:t>
      </w:r>
      <w:r>
        <w:rPr>
          <w:rFonts w:hint="eastAsia" w:eastAsia="仿宋"/>
          <w:sz w:val="28"/>
          <w:szCs w:val="28"/>
          <w:highlight w:val="none"/>
        </w:rPr>
        <w:t>本加油站无外排废水，生活污水排入化粪池，定期清掏，不外排。</w:t>
      </w:r>
      <w:bookmarkStart w:id="33" w:name="_Hlk182231755"/>
      <w:r>
        <w:rPr>
          <w:rFonts w:hint="eastAsia" w:eastAsia="仿宋"/>
          <w:sz w:val="28"/>
          <w:szCs w:val="28"/>
          <w:highlight w:val="none"/>
        </w:rPr>
        <w:t>加油站北侧为</w:t>
      </w:r>
      <w:r>
        <w:rPr>
          <w:rFonts w:hint="eastAsia" w:eastAsia="仿宋"/>
          <w:sz w:val="28"/>
          <w:szCs w:val="28"/>
          <w:highlight w:val="none"/>
          <w:lang w:val="en-US" w:eastAsia="zh-CN"/>
        </w:rPr>
        <w:t>民房</w:t>
      </w:r>
      <w:r>
        <w:rPr>
          <w:rFonts w:hint="eastAsia" w:eastAsia="仿宋"/>
          <w:sz w:val="28"/>
          <w:szCs w:val="28"/>
          <w:highlight w:val="none"/>
        </w:rPr>
        <w:t>，南侧</w:t>
      </w:r>
      <w:r>
        <w:rPr>
          <w:rFonts w:hint="eastAsia" w:eastAsia="仿宋"/>
          <w:sz w:val="28"/>
          <w:szCs w:val="28"/>
          <w:highlight w:val="none"/>
          <w:lang w:val="en-US" w:eastAsia="zh-CN"/>
        </w:rPr>
        <w:t>为津南区农业机械技术学院</w:t>
      </w:r>
      <w:r>
        <w:rPr>
          <w:rFonts w:hint="eastAsia" w:eastAsia="仿宋"/>
          <w:sz w:val="28"/>
          <w:szCs w:val="28"/>
          <w:highlight w:val="none"/>
        </w:rPr>
        <w:t>，西侧为</w:t>
      </w:r>
      <w:r>
        <w:rPr>
          <w:rFonts w:hint="eastAsia" w:eastAsia="仿宋"/>
          <w:sz w:val="28"/>
          <w:szCs w:val="28"/>
          <w:highlight w:val="none"/>
          <w:lang w:val="en-US" w:eastAsia="zh-CN"/>
        </w:rPr>
        <w:t>月牙河</w:t>
      </w:r>
      <w:r>
        <w:rPr>
          <w:rFonts w:hint="eastAsia" w:eastAsia="仿宋"/>
          <w:sz w:val="28"/>
          <w:szCs w:val="28"/>
          <w:highlight w:val="none"/>
        </w:rPr>
        <w:t>，东侧为</w:t>
      </w:r>
      <w:bookmarkEnd w:id="33"/>
      <w:r>
        <w:rPr>
          <w:rFonts w:hint="eastAsia" w:eastAsia="仿宋"/>
          <w:sz w:val="28"/>
          <w:szCs w:val="28"/>
          <w:highlight w:val="none"/>
          <w:lang w:val="en-US" w:eastAsia="zh-CN"/>
        </w:rPr>
        <w:t>空地</w:t>
      </w:r>
      <w:r>
        <w:rPr>
          <w:rFonts w:hint="eastAsia" w:eastAsia="仿宋"/>
          <w:sz w:val="28"/>
          <w:szCs w:val="28"/>
          <w:highlight w:val="none"/>
        </w:rPr>
        <w:t>。站区内</w:t>
      </w:r>
      <w:r>
        <w:rPr>
          <w:rFonts w:hint="eastAsia" w:eastAsia="仿宋"/>
          <w:color w:val="000000" w:themeColor="text1"/>
          <w:kern w:val="0"/>
          <w:sz w:val="28"/>
          <w:szCs w:val="30"/>
          <w:highlight w:val="none"/>
          <w14:textFill>
            <w14:solidFill>
              <w14:schemeClr w14:val="tx1"/>
            </w14:solidFill>
          </w14:textFill>
        </w:rPr>
        <w:t>无雨水收集井</w:t>
      </w:r>
      <w:r>
        <w:rPr>
          <w:rFonts w:hint="eastAsia" w:eastAsia="仿宋"/>
          <w:sz w:val="28"/>
          <w:szCs w:val="28"/>
          <w:highlight w:val="none"/>
        </w:rPr>
        <w:t>，如泄漏物较多（产生消防废水量较多）较多时，</w:t>
      </w:r>
      <w:r>
        <w:rPr>
          <w:rFonts w:ascii="仿宋" w:hAnsi="仿宋" w:eastAsia="仿宋" w:cs="仿宋"/>
          <w:spacing w:val="-4"/>
          <w:sz w:val="28"/>
          <w:szCs w:val="28"/>
          <w:highlight w:val="none"/>
        </w:rPr>
        <w:t>站区外设有市政雨水管网，加油站无应急事故池及隔油池，如产生含油雨水及含油废水时，加油站先用沙袋做临时围堰，防止废水排入厂界外，同时用手摇泵（由上级公司支援）将其转移至槽车并运输到有能力处理厂家进行处理。加油站前采用双层油罐。双层油罐中间具有贯通间隙空间，同时配备渗漏检测装置；</w:t>
      </w:r>
      <w:r>
        <w:rPr>
          <w:rFonts w:hint="eastAsia" w:eastAsia="仿宋"/>
          <w:sz w:val="28"/>
          <w:szCs w:val="28"/>
          <w:highlight w:val="none"/>
        </w:rPr>
        <w:t>通过沟渠沿着津南道</w:t>
      </w:r>
      <w:r>
        <w:rPr>
          <w:rFonts w:hint="eastAsia" w:eastAsia="仿宋"/>
          <w:sz w:val="28"/>
          <w:szCs w:val="28"/>
          <w:highlight w:val="none"/>
          <w:lang w:val="en-US" w:eastAsia="zh-CN"/>
        </w:rPr>
        <w:t>4.778</w:t>
      </w:r>
      <w:r>
        <w:rPr>
          <w:rFonts w:hint="eastAsia" w:eastAsia="仿宋"/>
          <w:sz w:val="28"/>
          <w:szCs w:val="28"/>
          <w:highlight w:val="none"/>
        </w:rPr>
        <w:t>km后进入</w:t>
      </w:r>
      <w:r>
        <w:rPr>
          <w:rFonts w:hint="eastAsia" w:eastAsia="仿宋"/>
          <w:sz w:val="28"/>
          <w:szCs w:val="28"/>
          <w:highlight w:val="none"/>
          <w:lang w:val="en-US" w:eastAsia="zh-CN"/>
        </w:rPr>
        <w:t>马厂减</w:t>
      </w:r>
      <w:r>
        <w:rPr>
          <w:rFonts w:hint="eastAsia" w:eastAsia="仿宋"/>
          <w:sz w:val="28"/>
          <w:szCs w:val="28"/>
          <w:highlight w:val="none"/>
        </w:rPr>
        <w:t>河。调查本加油站周边地表水体情况，雨水漫流进入</w:t>
      </w:r>
      <w:r>
        <w:rPr>
          <w:rFonts w:hint="eastAsia" w:eastAsia="仿宋"/>
          <w:sz w:val="28"/>
          <w:szCs w:val="28"/>
          <w:highlight w:val="none"/>
          <w:lang w:val="en-US" w:eastAsia="zh-CN"/>
        </w:rPr>
        <w:t>马厂减河</w:t>
      </w:r>
      <w:r>
        <w:rPr>
          <w:rFonts w:eastAsia="仿宋"/>
          <w:sz w:val="28"/>
          <w:szCs w:val="28"/>
          <w:highlight w:val="none"/>
        </w:rPr>
        <w:t>。大气环</w:t>
      </w:r>
      <w:r>
        <w:rPr>
          <w:rFonts w:eastAsia="仿宋"/>
          <w:sz w:val="28"/>
          <w:szCs w:val="28"/>
        </w:rPr>
        <w:t>境风险防控措施方面，本站不涉及毒性较大的有毒有害气体；本站按环评文件的要求落实了相应环境风险防控措施。</w:t>
      </w:r>
    </w:p>
    <w:p w14:paraId="48F8176F">
      <w:pPr>
        <w:spacing w:line="360" w:lineRule="auto"/>
        <w:ind w:firstLine="560" w:firstLineChars="200"/>
        <w:rPr>
          <w:rFonts w:eastAsia="仿宋"/>
          <w:sz w:val="28"/>
          <w:szCs w:val="28"/>
        </w:rPr>
      </w:pPr>
      <w:r>
        <w:rPr>
          <w:rFonts w:eastAsia="仿宋"/>
          <w:sz w:val="28"/>
          <w:szCs w:val="28"/>
        </w:rPr>
        <w:t>（2）本站的销售的乙醇汽油、柴油</w:t>
      </w:r>
      <w:r>
        <w:rPr>
          <w:rFonts w:hint="eastAsia" w:eastAsia="仿宋"/>
          <w:sz w:val="28"/>
          <w:szCs w:val="28"/>
        </w:rPr>
        <w:t>及乙醇汽油中所含的乙醇</w:t>
      </w:r>
      <w:r>
        <w:rPr>
          <w:rFonts w:eastAsia="仿宋"/>
          <w:sz w:val="28"/>
          <w:szCs w:val="28"/>
        </w:rPr>
        <w:t>属于环境风险物质。</w:t>
      </w:r>
    </w:p>
    <w:p w14:paraId="14CAAD94">
      <w:pPr>
        <w:spacing w:line="360" w:lineRule="auto"/>
        <w:ind w:firstLine="560" w:firstLineChars="200"/>
        <w:rPr>
          <w:rFonts w:eastAsia="仿宋"/>
          <w:sz w:val="28"/>
          <w:szCs w:val="28"/>
        </w:rPr>
      </w:pPr>
      <w:r>
        <w:rPr>
          <w:rFonts w:eastAsia="仿宋"/>
          <w:sz w:val="28"/>
          <w:szCs w:val="28"/>
        </w:rPr>
        <w:t>（3）本站为</w:t>
      </w:r>
      <w:r>
        <w:rPr>
          <w:rFonts w:hint="eastAsia" w:eastAsia="仿宋"/>
          <w:sz w:val="28"/>
          <w:szCs w:val="28"/>
        </w:rPr>
        <w:t>较大</w:t>
      </w:r>
      <w:r>
        <w:rPr>
          <w:rFonts w:eastAsia="仿宋"/>
          <w:sz w:val="28"/>
          <w:szCs w:val="28"/>
        </w:rPr>
        <w:t>环境风险等级，表示为一般[一般-大气(Q0)+一般-水（Q0）]。</w:t>
      </w:r>
    </w:p>
    <w:p w14:paraId="55CB90E7">
      <w:pPr>
        <w:spacing w:line="360" w:lineRule="auto"/>
        <w:ind w:firstLine="560" w:firstLineChars="200"/>
        <w:rPr>
          <w:rFonts w:eastAsia="仿宋"/>
          <w:sz w:val="28"/>
          <w:szCs w:val="28"/>
        </w:rPr>
      </w:pPr>
      <w:r>
        <w:rPr>
          <w:rFonts w:eastAsia="仿宋"/>
          <w:sz w:val="28"/>
          <w:szCs w:val="28"/>
        </w:rPr>
        <w:t>（4）本站环境风险事故类型有：火灾爆炸事故、泄漏事故、污染治理设施异常、自然灾害和极端天气事故。加油站对不同事故对应设置了风险防控和应急处置措施，并配备了相应的应急物资。</w:t>
      </w:r>
    </w:p>
    <w:p w14:paraId="3700469A">
      <w:pPr>
        <w:pStyle w:val="22"/>
        <w:rPr>
          <w:rFonts w:hint="eastAsia"/>
        </w:rPr>
        <w:sectPr>
          <w:pgSz w:w="11907" w:h="16839"/>
          <w:pgMar w:top="1418" w:right="1418" w:bottom="1418" w:left="1418" w:header="720" w:footer="720" w:gutter="0"/>
          <w:cols w:space="720" w:num="1"/>
          <w:docGrid w:linePitch="286" w:charSpace="0"/>
        </w:sectPr>
      </w:pPr>
      <w:bookmarkStart w:id="34" w:name="_Toc205262434"/>
      <w:bookmarkStart w:id="35" w:name="_Toc188258406"/>
      <w:bookmarkStart w:id="36" w:name="_Toc149117565"/>
    </w:p>
    <w:p w14:paraId="06A72B95">
      <w:pPr>
        <w:pStyle w:val="2"/>
        <w:rPr>
          <w:highlight w:val="none"/>
        </w:rPr>
      </w:pPr>
      <w:bookmarkStart w:id="37" w:name="_Toc165395067"/>
      <w:r>
        <w:t>4组织机构及职责</w:t>
      </w:r>
      <w:bookmarkEnd w:id="37"/>
    </w:p>
    <w:p w14:paraId="22CBBEC0">
      <w:pPr>
        <w:spacing w:line="360" w:lineRule="auto"/>
        <w:outlineLvl w:val="1"/>
        <w:rPr>
          <w:rFonts w:eastAsia="黑体"/>
          <w:bCs/>
          <w:sz w:val="28"/>
          <w:szCs w:val="32"/>
          <w:highlight w:val="none"/>
        </w:rPr>
      </w:pPr>
      <w:bookmarkStart w:id="38" w:name="_Toc165395068"/>
      <w:r>
        <w:rPr>
          <w:rFonts w:eastAsia="黑体"/>
          <w:bCs/>
          <w:sz w:val="28"/>
          <w:szCs w:val="32"/>
          <w:highlight w:val="none"/>
        </w:rPr>
        <w:t>4.1指挥机构组成</w:t>
      </w:r>
      <w:bookmarkEnd w:id="38"/>
    </w:p>
    <w:p w14:paraId="723BC865">
      <w:pPr>
        <w:spacing w:before="120" w:beforeLines="50" w:line="360" w:lineRule="auto"/>
        <w:ind w:firstLine="560" w:firstLineChars="200"/>
        <w:rPr>
          <w:rFonts w:eastAsia="仿宋_GB2312"/>
          <w:bCs/>
          <w:sz w:val="28"/>
          <w:szCs w:val="28"/>
        </w:rPr>
      </w:pPr>
      <w:r>
        <w:rPr>
          <w:rFonts w:eastAsia="仿宋_GB2312"/>
          <w:bCs/>
          <w:sz w:val="28"/>
          <w:szCs w:val="28"/>
        </w:rPr>
        <w:t>由加油站内站长</w:t>
      </w:r>
      <w:r>
        <w:rPr>
          <w:rFonts w:hint="eastAsia" w:eastAsia="仿宋_GB2312"/>
          <w:bCs/>
          <w:sz w:val="28"/>
          <w:szCs w:val="28"/>
          <w:lang w:val="en-US" w:eastAsia="zh-CN"/>
        </w:rPr>
        <w:t>许莉莉</w:t>
      </w:r>
      <w:r>
        <w:rPr>
          <w:rFonts w:eastAsia="仿宋_GB2312"/>
          <w:bCs/>
          <w:sz w:val="28"/>
          <w:szCs w:val="28"/>
        </w:rPr>
        <w:t>担任事故总指挥，</w:t>
      </w:r>
      <w:r>
        <w:rPr>
          <w:rFonts w:hint="eastAsia" w:eastAsia="仿宋_GB2312"/>
          <w:bCs/>
          <w:sz w:val="28"/>
          <w:szCs w:val="28"/>
          <w:lang w:val="en-US" w:eastAsia="zh-CN"/>
        </w:rPr>
        <w:t>郭金婷</w:t>
      </w:r>
      <w:r>
        <w:rPr>
          <w:rFonts w:eastAsia="仿宋_GB2312"/>
          <w:bCs/>
          <w:sz w:val="28"/>
          <w:szCs w:val="28"/>
        </w:rPr>
        <w:t>担任副总指挥，必要时聘请相关专家，组成环境应急专家组，对环境应急事件提出对应方案</w:t>
      </w:r>
      <w:r>
        <w:rPr>
          <w:rFonts w:eastAsia="仿宋_GB2312"/>
          <w:kern w:val="0"/>
          <w:sz w:val="28"/>
          <w:szCs w:val="28"/>
        </w:rPr>
        <w:t>。</w:t>
      </w:r>
    </w:p>
    <w:p w14:paraId="54A16CA8">
      <w:pPr>
        <w:spacing w:line="360" w:lineRule="auto"/>
        <w:ind w:firstLine="560" w:firstLineChars="200"/>
        <w:rPr>
          <w:rFonts w:eastAsia="仿宋_GB2312"/>
          <w:kern w:val="0"/>
          <w:sz w:val="28"/>
          <w:szCs w:val="28"/>
        </w:rPr>
      </w:pPr>
      <w:r>
        <w:rPr>
          <w:rFonts w:eastAsia="仿宋_GB2312"/>
          <w:bCs/>
          <w:sz w:val="28"/>
          <w:szCs w:val="28"/>
        </w:rPr>
        <w:t>根据站内生产安全事故综合应急预案中人员分配情况，本站突发环境事件应急救援的“应急</w:t>
      </w:r>
      <w:r>
        <w:rPr>
          <w:rFonts w:hint="eastAsia" w:eastAsia="仿宋_GB2312"/>
          <w:bCs/>
          <w:sz w:val="28"/>
          <w:szCs w:val="28"/>
        </w:rPr>
        <w:t>队伍成员</w:t>
      </w:r>
      <w:r>
        <w:rPr>
          <w:rFonts w:eastAsia="仿宋_GB2312"/>
          <w:bCs/>
          <w:sz w:val="28"/>
          <w:szCs w:val="28"/>
        </w:rPr>
        <w:t>”</w:t>
      </w:r>
      <w:r>
        <w:rPr>
          <w:rFonts w:eastAsia="仿宋_GB2312"/>
          <w:kern w:val="0"/>
          <w:sz w:val="28"/>
          <w:szCs w:val="28"/>
        </w:rPr>
        <w:t>如下</w:t>
      </w:r>
      <w:r>
        <w:rPr>
          <w:rFonts w:hint="eastAsia" w:eastAsia="仿宋_GB2312"/>
          <w:kern w:val="0"/>
          <w:sz w:val="28"/>
          <w:szCs w:val="28"/>
        </w:rPr>
        <w:t>表</w:t>
      </w:r>
      <w:r>
        <w:rPr>
          <w:rFonts w:eastAsia="仿宋_GB2312"/>
          <w:kern w:val="0"/>
          <w:sz w:val="28"/>
          <w:szCs w:val="28"/>
        </w:rPr>
        <w:t>所示。</w:t>
      </w:r>
    </w:p>
    <w:p w14:paraId="1325D3CA">
      <w:pPr>
        <w:spacing w:before="120" w:beforeLines="50"/>
        <w:ind w:firstLine="1400" w:firstLineChars="500"/>
        <w:rPr>
          <w:rFonts w:eastAsia="仿宋_GB2312"/>
          <w:kern w:val="0"/>
          <w:sz w:val="28"/>
          <w:szCs w:val="28"/>
          <w:highlight w:val="none"/>
        </w:rPr>
      </w:pPr>
      <w:r>
        <w:rPr>
          <w:rFonts w:eastAsia="仿宋"/>
          <w:sz w:val="28"/>
          <w:szCs w:val="28"/>
          <w:highlight w:val="none"/>
        </w:rPr>
        <w:t>表4.1-1应急队伍成员名单及联系方式表</w:t>
      </w:r>
    </w:p>
    <w:tbl>
      <w:tblPr>
        <w:tblStyle w:val="41"/>
        <w:tblW w:w="47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1"/>
        <w:gridCol w:w="2090"/>
        <w:gridCol w:w="2225"/>
        <w:gridCol w:w="1482"/>
        <w:gridCol w:w="2015"/>
      </w:tblGrid>
      <w:tr w14:paraId="3D0E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vMerge w:val="restart"/>
            <w:tcMar>
              <w:top w:w="0" w:type="dxa"/>
              <w:left w:w="108" w:type="dxa"/>
              <w:bottom w:w="0" w:type="dxa"/>
              <w:right w:w="108" w:type="dxa"/>
            </w:tcMar>
            <w:vAlign w:val="center"/>
          </w:tcPr>
          <w:p w14:paraId="20212532">
            <w:pPr>
              <w:widowControl/>
              <w:autoSpaceDE w:val="0"/>
              <w:autoSpaceDN w:val="0"/>
              <w:adjustRightInd w:val="0"/>
              <w:snapToGrid w:val="0"/>
              <w:jc w:val="center"/>
              <w:rPr>
                <w:rFonts w:eastAsia="仿宋"/>
                <w:sz w:val="24"/>
                <w:szCs w:val="24"/>
              </w:rPr>
            </w:pPr>
            <w:bookmarkStart w:id="39" w:name="_Hlk172301342"/>
            <w:bookmarkStart w:id="40" w:name="_Hlk178001645"/>
            <w:r>
              <w:rPr>
                <w:rFonts w:eastAsia="仿宋"/>
                <w:sz w:val="24"/>
                <w:szCs w:val="24"/>
              </w:rPr>
              <w:t>序号</w:t>
            </w:r>
          </w:p>
        </w:tc>
        <w:tc>
          <w:tcPr>
            <w:tcW w:w="1203" w:type="pct"/>
            <w:vMerge w:val="restart"/>
            <w:tcMar>
              <w:top w:w="0" w:type="dxa"/>
              <w:left w:w="108" w:type="dxa"/>
              <w:bottom w:w="0" w:type="dxa"/>
              <w:right w:w="108" w:type="dxa"/>
            </w:tcMar>
            <w:vAlign w:val="center"/>
          </w:tcPr>
          <w:p w14:paraId="329CAE08">
            <w:pPr>
              <w:widowControl/>
              <w:autoSpaceDE w:val="0"/>
              <w:autoSpaceDN w:val="0"/>
              <w:adjustRightInd w:val="0"/>
              <w:snapToGrid w:val="0"/>
              <w:jc w:val="center"/>
              <w:rPr>
                <w:rFonts w:eastAsia="仿宋"/>
                <w:sz w:val="24"/>
                <w:szCs w:val="24"/>
              </w:rPr>
            </w:pPr>
            <w:r>
              <w:rPr>
                <w:rFonts w:eastAsia="仿宋"/>
                <w:sz w:val="24"/>
                <w:szCs w:val="24"/>
              </w:rPr>
              <w:t>应急职责</w:t>
            </w:r>
          </w:p>
        </w:tc>
        <w:tc>
          <w:tcPr>
            <w:tcW w:w="3294" w:type="pct"/>
            <w:gridSpan w:val="3"/>
            <w:vAlign w:val="center"/>
          </w:tcPr>
          <w:p w14:paraId="3FCD2B98">
            <w:pPr>
              <w:widowControl/>
              <w:autoSpaceDE w:val="0"/>
              <w:autoSpaceDN w:val="0"/>
              <w:adjustRightInd w:val="0"/>
              <w:snapToGrid w:val="0"/>
              <w:jc w:val="center"/>
              <w:rPr>
                <w:rFonts w:eastAsia="仿宋"/>
                <w:sz w:val="24"/>
                <w:szCs w:val="24"/>
              </w:rPr>
            </w:pPr>
            <w:r>
              <w:rPr>
                <w:rFonts w:eastAsia="仿宋"/>
                <w:sz w:val="24"/>
                <w:szCs w:val="24"/>
              </w:rPr>
              <w:t>应急人员</w:t>
            </w:r>
          </w:p>
        </w:tc>
      </w:tr>
      <w:tr w14:paraId="2683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vMerge w:val="continue"/>
            <w:vAlign w:val="center"/>
          </w:tcPr>
          <w:p w14:paraId="64C8279F">
            <w:pPr>
              <w:widowControl/>
              <w:autoSpaceDE w:val="0"/>
              <w:autoSpaceDN w:val="0"/>
              <w:adjustRightInd w:val="0"/>
              <w:snapToGrid w:val="0"/>
              <w:jc w:val="center"/>
              <w:rPr>
                <w:rFonts w:eastAsia="仿宋"/>
                <w:sz w:val="24"/>
                <w:szCs w:val="24"/>
              </w:rPr>
            </w:pPr>
          </w:p>
        </w:tc>
        <w:tc>
          <w:tcPr>
            <w:tcW w:w="1203" w:type="pct"/>
            <w:vMerge w:val="continue"/>
            <w:vAlign w:val="center"/>
          </w:tcPr>
          <w:p w14:paraId="6DA4F2AC">
            <w:pPr>
              <w:widowControl/>
              <w:autoSpaceDE w:val="0"/>
              <w:autoSpaceDN w:val="0"/>
              <w:adjustRightInd w:val="0"/>
              <w:snapToGrid w:val="0"/>
              <w:jc w:val="center"/>
              <w:rPr>
                <w:rFonts w:eastAsia="仿宋"/>
                <w:sz w:val="24"/>
                <w:szCs w:val="24"/>
              </w:rPr>
            </w:pPr>
          </w:p>
        </w:tc>
        <w:tc>
          <w:tcPr>
            <w:tcW w:w="1281" w:type="pct"/>
            <w:tcMar>
              <w:top w:w="0" w:type="dxa"/>
              <w:left w:w="108" w:type="dxa"/>
              <w:bottom w:w="0" w:type="dxa"/>
              <w:right w:w="108" w:type="dxa"/>
            </w:tcMar>
            <w:vAlign w:val="center"/>
          </w:tcPr>
          <w:p w14:paraId="6BFEB09C">
            <w:pPr>
              <w:widowControl/>
              <w:autoSpaceDE w:val="0"/>
              <w:autoSpaceDN w:val="0"/>
              <w:adjustRightInd w:val="0"/>
              <w:snapToGrid w:val="0"/>
              <w:jc w:val="center"/>
              <w:rPr>
                <w:rFonts w:eastAsia="仿宋"/>
                <w:sz w:val="24"/>
                <w:szCs w:val="24"/>
              </w:rPr>
            </w:pPr>
            <w:r>
              <w:rPr>
                <w:rFonts w:eastAsia="仿宋"/>
                <w:sz w:val="24"/>
                <w:szCs w:val="24"/>
              </w:rPr>
              <w:t>职务</w:t>
            </w:r>
          </w:p>
        </w:tc>
        <w:tc>
          <w:tcPr>
            <w:tcW w:w="853" w:type="pct"/>
            <w:vAlign w:val="center"/>
          </w:tcPr>
          <w:p w14:paraId="24CA41E4">
            <w:pPr>
              <w:widowControl/>
              <w:autoSpaceDE w:val="0"/>
              <w:autoSpaceDN w:val="0"/>
              <w:adjustRightInd w:val="0"/>
              <w:snapToGrid w:val="0"/>
              <w:jc w:val="center"/>
              <w:rPr>
                <w:rFonts w:eastAsia="仿宋"/>
                <w:sz w:val="24"/>
                <w:szCs w:val="24"/>
              </w:rPr>
            </w:pPr>
            <w:r>
              <w:rPr>
                <w:rFonts w:eastAsia="仿宋"/>
                <w:sz w:val="24"/>
                <w:szCs w:val="24"/>
              </w:rPr>
              <w:t>姓名</w:t>
            </w:r>
          </w:p>
        </w:tc>
        <w:tc>
          <w:tcPr>
            <w:tcW w:w="1159" w:type="pct"/>
            <w:tcMar>
              <w:top w:w="0" w:type="dxa"/>
              <w:left w:w="108" w:type="dxa"/>
              <w:bottom w:w="0" w:type="dxa"/>
              <w:right w:w="108" w:type="dxa"/>
            </w:tcMar>
            <w:vAlign w:val="center"/>
          </w:tcPr>
          <w:p w14:paraId="7E4E8CFC">
            <w:pPr>
              <w:widowControl/>
              <w:autoSpaceDE w:val="0"/>
              <w:autoSpaceDN w:val="0"/>
              <w:adjustRightInd w:val="0"/>
              <w:snapToGrid w:val="0"/>
              <w:jc w:val="center"/>
              <w:rPr>
                <w:rFonts w:eastAsia="仿宋"/>
                <w:sz w:val="24"/>
                <w:szCs w:val="24"/>
              </w:rPr>
            </w:pPr>
            <w:r>
              <w:rPr>
                <w:rFonts w:eastAsia="仿宋"/>
                <w:sz w:val="24"/>
                <w:szCs w:val="24"/>
              </w:rPr>
              <w:t>手机</w:t>
            </w:r>
          </w:p>
        </w:tc>
      </w:tr>
      <w:bookmarkEnd w:id="39"/>
      <w:tr w14:paraId="44F3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tcMar>
              <w:top w:w="0" w:type="dxa"/>
              <w:left w:w="108" w:type="dxa"/>
              <w:bottom w:w="0" w:type="dxa"/>
              <w:right w:w="108" w:type="dxa"/>
            </w:tcMar>
            <w:vAlign w:val="center"/>
          </w:tcPr>
          <w:p w14:paraId="20979177">
            <w:pPr>
              <w:widowControl/>
              <w:autoSpaceDE w:val="0"/>
              <w:autoSpaceDN w:val="0"/>
              <w:adjustRightInd w:val="0"/>
              <w:snapToGrid w:val="0"/>
              <w:jc w:val="center"/>
              <w:rPr>
                <w:rFonts w:eastAsia="仿宋"/>
                <w:sz w:val="24"/>
                <w:szCs w:val="24"/>
              </w:rPr>
            </w:pPr>
            <w:r>
              <w:rPr>
                <w:rFonts w:eastAsia="仿宋"/>
                <w:sz w:val="24"/>
                <w:szCs w:val="24"/>
              </w:rPr>
              <w:t>1</w:t>
            </w:r>
          </w:p>
        </w:tc>
        <w:tc>
          <w:tcPr>
            <w:tcW w:w="1203" w:type="pct"/>
            <w:tcMar>
              <w:top w:w="0" w:type="dxa"/>
              <w:left w:w="108" w:type="dxa"/>
              <w:bottom w:w="0" w:type="dxa"/>
              <w:right w:w="108" w:type="dxa"/>
            </w:tcMar>
            <w:vAlign w:val="center"/>
          </w:tcPr>
          <w:p w14:paraId="71B443B7">
            <w:pPr>
              <w:widowControl/>
              <w:autoSpaceDE w:val="0"/>
              <w:autoSpaceDN w:val="0"/>
              <w:adjustRightInd w:val="0"/>
              <w:snapToGrid w:val="0"/>
              <w:jc w:val="center"/>
              <w:rPr>
                <w:rFonts w:eastAsia="仿宋"/>
                <w:sz w:val="24"/>
                <w:szCs w:val="24"/>
              </w:rPr>
            </w:pPr>
            <w:r>
              <w:rPr>
                <w:rFonts w:eastAsia="仿宋"/>
                <w:sz w:val="24"/>
                <w:szCs w:val="24"/>
              </w:rPr>
              <w:t>总指挥</w:t>
            </w:r>
          </w:p>
        </w:tc>
        <w:tc>
          <w:tcPr>
            <w:tcW w:w="1281" w:type="pct"/>
            <w:tcMar>
              <w:top w:w="0" w:type="dxa"/>
              <w:left w:w="108" w:type="dxa"/>
              <w:bottom w:w="0" w:type="dxa"/>
              <w:right w:w="108" w:type="dxa"/>
            </w:tcMar>
            <w:vAlign w:val="center"/>
          </w:tcPr>
          <w:p w14:paraId="2B96BA3E">
            <w:pPr>
              <w:widowControl/>
              <w:autoSpaceDE w:val="0"/>
              <w:autoSpaceDN w:val="0"/>
              <w:adjustRightInd w:val="0"/>
              <w:snapToGrid w:val="0"/>
              <w:jc w:val="center"/>
              <w:rPr>
                <w:rFonts w:eastAsia="仿宋"/>
                <w:sz w:val="24"/>
                <w:szCs w:val="24"/>
              </w:rPr>
            </w:pPr>
            <w:r>
              <w:rPr>
                <w:rFonts w:eastAsia="仿宋"/>
                <w:sz w:val="24"/>
                <w:szCs w:val="24"/>
              </w:rPr>
              <w:t>站长</w:t>
            </w:r>
          </w:p>
        </w:tc>
        <w:tc>
          <w:tcPr>
            <w:tcW w:w="853" w:type="pct"/>
            <w:vAlign w:val="center"/>
          </w:tcPr>
          <w:p w14:paraId="5073B29E">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许莉莉</w:t>
            </w:r>
          </w:p>
        </w:tc>
        <w:tc>
          <w:tcPr>
            <w:tcW w:w="1159" w:type="pct"/>
            <w:tcMar>
              <w:top w:w="0" w:type="dxa"/>
              <w:left w:w="108" w:type="dxa"/>
              <w:bottom w:w="0" w:type="dxa"/>
              <w:right w:w="108" w:type="dxa"/>
            </w:tcMar>
            <w:vAlign w:val="center"/>
          </w:tcPr>
          <w:p w14:paraId="019825ED">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13821941311</w:t>
            </w:r>
          </w:p>
        </w:tc>
      </w:tr>
      <w:tr w14:paraId="05FF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tcMar>
              <w:top w:w="0" w:type="dxa"/>
              <w:left w:w="108" w:type="dxa"/>
              <w:bottom w:w="0" w:type="dxa"/>
              <w:right w:w="108" w:type="dxa"/>
            </w:tcMar>
            <w:vAlign w:val="center"/>
          </w:tcPr>
          <w:p w14:paraId="54A7C947">
            <w:pPr>
              <w:widowControl/>
              <w:autoSpaceDE w:val="0"/>
              <w:autoSpaceDN w:val="0"/>
              <w:adjustRightInd w:val="0"/>
              <w:snapToGrid w:val="0"/>
              <w:jc w:val="center"/>
              <w:rPr>
                <w:rFonts w:eastAsia="仿宋"/>
                <w:sz w:val="24"/>
                <w:szCs w:val="24"/>
              </w:rPr>
            </w:pPr>
            <w:r>
              <w:rPr>
                <w:rFonts w:eastAsia="仿宋"/>
                <w:sz w:val="24"/>
                <w:szCs w:val="24"/>
              </w:rPr>
              <w:t>2</w:t>
            </w:r>
          </w:p>
        </w:tc>
        <w:tc>
          <w:tcPr>
            <w:tcW w:w="1203" w:type="pct"/>
            <w:tcMar>
              <w:top w:w="0" w:type="dxa"/>
              <w:left w:w="108" w:type="dxa"/>
              <w:bottom w:w="0" w:type="dxa"/>
              <w:right w:w="108" w:type="dxa"/>
            </w:tcMar>
            <w:vAlign w:val="center"/>
          </w:tcPr>
          <w:p w14:paraId="43E196A3">
            <w:pPr>
              <w:widowControl/>
              <w:autoSpaceDE w:val="0"/>
              <w:autoSpaceDN w:val="0"/>
              <w:adjustRightInd w:val="0"/>
              <w:snapToGrid w:val="0"/>
              <w:jc w:val="center"/>
              <w:rPr>
                <w:rFonts w:eastAsia="仿宋"/>
                <w:sz w:val="24"/>
                <w:szCs w:val="24"/>
              </w:rPr>
            </w:pPr>
            <w:r>
              <w:rPr>
                <w:rFonts w:eastAsia="仿宋"/>
                <w:sz w:val="24"/>
                <w:szCs w:val="24"/>
              </w:rPr>
              <w:t>副总指挥</w:t>
            </w:r>
          </w:p>
        </w:tc>
        <w:tc>
          <w:tcPr>
            <w:tcW w:w="1281" w:type="pct"/>
            <w:tcMar>
              <w:top w:w="0" w:type="dxa"/>
              <w:left w:w="108" w:type="dxa"/>
              <w:bottom w:w="0" w:type="dxa"/>
              <w:right w:w="108" w:type="dxa"/>
            </w:tcMar>
            <w:vAlign w:val="center"/>
          </w:tcPr>
          <w:p w14:paraId="405CCFFE">
            <w:pPr>
              <w:widowControl/>
              <w:autoSpaceDE w:val="0"/>
              <w:autoSpaceDN w:val="0"/>
              <w:adjustRightInd w:val="0"/>
              <w:snapToGrid w:val="0"/>
              <w:jc w:val="center"/>
              <w:rPr>
                <w:rFonts w:eastAsia="仿宋"/>
                <w:sz w:val="24"/>
                <w:szCs w:val="24"/>
              </w:rPr>
            </w:pPr>
            <w:r>
              <w:rPr>
                <w:rFonts w:hint="eastAsia" w:eastAsia="仿宋"/>
                <w:sz w:val="24"/>
                <w:szCs w:val="24"/>
              </w:rPr>
              <w:t>加油员</w:t>
            </w:r>
          </w:p>
        </w:tc>
        <w:tc>
          <w:tcPr>
            <w:tcW w:w="853" w:type="pct"/>
            <w:vAlign w:val="center"/>
          </w:tcPr>
          <w:p w14:paraId="43A428E0">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郭金婷</w:t>
            </w:r>
          </w:p>
        </w:tc>
        <w:tc>
          <w:tcPr>
            <w:tcW w:w="1159" w:type="pct"/>
            <w:tcMar>
              <w:top w:w="0" w:type="dxa"/>
              <w:left w:w="108" w:type="dxa"/>
              <w:bottom w:w="0" w:type="dxa"/>
              <w:right w:w="108" w:type="dxa"/>
            </w:tcMar>
            <w:vAlign w:val="center"/>
          </w:tcPr>
          <w:p w14:paraId="0BC0FEE8">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13821257874</w:t>
            </w:r>
          </w:p>
        </w:tc>
      </w:tr>
      <w:tr w14:paraId="03DF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tcMar>
              <w:top w:w="0" w:type="dxa"/>
              <w:left w:w="108" w:type="dxa"/>
              <w:bottom w:w="0" w:type="dxa"/>
              <w:right w:w="108" w:type="dxa"/>
            </w:tcMar>
            <w:vAlign w:val="center"/>
          </w:tcPr>
          <w:p w14:paraId="3FD4A500">
            <w:pPr>
              <w:widowControl/>
              <w:autoSpaceDE w:val="0"/>
              <w:autoSpaceDN w:val="0"/>
              <w:adjustRightInd w:val="0"/>
              <w:snapToGrid w:val="0"/>
              <w:jc w:val="center"/>
              <w:rPr>
                <w:rFonts w:eastAsia="仿宋"/>
                <w:sz w:val="24"/>
                <w:szCs w:val="24"/>
              </w:rPr>
            </w:pPr>
            <w:r>
              <w:rPr>
                <w:rFonts w:eastAsia="仿宋"/>
                <w:sz w:val="24"/>
                <w:szCs w:val="24"/>
              </w:rPr>
              <w:t>3</w:t>
            </w:r>
          </w:p>
        </w:tc>
        <w:tc>
          <w:tcPr>
            <w:tcW w:w="1203" w:type="pct"/>
            <w:vMerge w:val="restart"/>
            <w:tcMar>
              <w:top w:w="0" w:type="dxa"/>
              <w:left w:w="108" w:type="dxa"/>
              <w:bottom w:w="0" w:type="dxa"/>
              <w:right w:w="108" w:type="dxa"/>
            </w:tcMar>
            <w:vAlign w:val="center"/>
          </w:tcPr>
          <w:p w14:paraId="5BCAD34E">
            <w:pPr>
              <w:widowControl/>
              <w:autoSpaceDE w:val="0"/>
              <w:autoSpaceDN w:val="0"/>
              <w:adjustRightInd w:val="0"/>
              <w:snapToGrid w:val="0"/>
              <w:jc w:val="center"/>
              <w:rPr>
                <w:rFonts w:eastAsia="仿宋"/>
                <w:sz w:val="24"/>
                <w:szCs w:val="24"/>
              </w:rPr>
            </w:pPr>
            <w:r>
              <w:rPr>
                <w:rFonts w:eastAsia="仿宋"/>
                <w:sz w:val="24"/>
                <w:szCs w:val="24"/>
              </w:rPr>
              <w:t>抢险救灾组</w:t>
            </w:r>
          </w:p>
        </w:tc>
        <w:tc>
          <w:tcPr>
            <w:tcW w:w="1281" w:type="pct"/>
            <w:tcMar>
              <w:top w:w="0" w:type="dxa"/>
              <w:left w:w="108" w:type="dxa"/>
              <w:bottom w:w="0" w:type="dxa"/>
              <w:right w:w="108" w:type="dxa"/>
            </w:tcMar>
            <w:vAlign w:val="center"/>
          </w:tcPr>
          <w:p w14:paraId="0F193D2B">
            <w:pPr>
              <w:widowControl/>
              <w:autoSpaceDE w:val="0"/>
              <w:autoSpaceDN w:val="0"/>
              <w:adjustRightInd w:val="0"/>
              <w:snapToGrid w:val="0"/>
              <w:jc w:val="center"/>
              <w:rPr>
                <w:rFonts w:eastAsia="仿宋"/>
                <w:sz w:val="24"/>
                <w:szCs w:val="24"/>
              </w:rPr>
            </w:pPr>
            <w:r>
              <w:rPr>
                <w:rFonts w:hint="eastAsia" w:eastAsia="仿宋"/>
                <w:sz w:val="24"/>
                <w:szCs w:val="24"/>
              </w:rPr>
              <w:t>加油员</w:t>
            </w:r>
          </w:p>
        </w:tc>
        <w:tc>
          <w:tcPr>
            <w:tcW w:w="853" w:type="pct"/>
            <w:vAlign w:val="center"/>
          </w:tcPr>
          <w:p w14:paraId="564C4854">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许莉莉</w:t>
            </w:r>
          </w:p>
        </w:tc>
        <w:tc>
          <w:tcPr>
            <w:tcW w:w="1159" w:type="pct"/>
            <w:tcMar>
              <w:top w:w="0" w:type="dxa"/>
              <w:left w:w="108" w:type="dxa"/>
              <w:bottom w:w="0" w:type="dxa"/>
              <w:right w:w="108" w:type="dxa"/>
            </w:tcMar>
            <w:vAlign w:val="center"/>
          </w:tcPr>
          <w:p w14:paraId="477F90B6">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13821941311</w:t>
            </w:r>
          </w:p>
        </w:tc>
      </w:tr>
      <w:tr w14:paraId="5DF6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tcBorders>
              <w:top w:val="single" w:color="auto" w:sz="4" w:space="0"/>
              <w:left w:val="single" w:color="auto" w:sz="4" w:space="0"/>
              <w:bottom w:val="single" w:color="auto" w:sz="4" w:space="0"/>
            </w:tcBorders>
            <w:tcMar>
              <w:top w:w="0" w:type="dxa"/>
              <w:left w:w="108" w:type="dxa"/>
              <w:bottom w:w="0" w:type="dxa"/>
              <w:right w:w="108" w:type="dxa"/>
            </w:tcMar>
            <w:vAlign w:val="center"/>
          </w:tcPr>
          <w:p w14:paraId="2F552A7A">
            <w:pPr>
              <w:widowControl/>
              <w:autoSpaceDE w:val="0"/>
              <w:autoSpaceDN w:val="0"/>
              <w:adjustRightInd w:val="0"/>
              <w:snapToGrid w:val="0"/>
              <w:jc w:val="center"/>
              <w:rPr>
                <w:rFonts w:eastAsia="仿宋"/>
                <w:sz w:val="24"/>
                <w:szCs w:val="24"/>
              </w:rPr>
            </w:pPr>
            <w:r>
              <w:rPr>
                <w:rFonts w:hint="eastAsia" w:eastAsia="仿宋"/>
                <w:sz w:val="24"/>
                <w:szCs w:val="24"/>
              </w:rPr>
              <w:t>4</w:t>
            </w:r>
          </w:p>
        </w:tc>
        <w:tc>
          <w:tcPr>
            <w:tcW w:w="1203" w:type="pct"/>
            <w:vMerge w:val="continue"/>
            <w:tcMar>
              <w:top w:w="0" w:type="dxa"/>
              <w:left w:w="108" w:type="dxa"/>
              <w:bottom w:w="0" w:type="dxa"/>
              <w:right w:w="108" w:type="dxa"/>
            </w:tcMar>
            <w:vAlign w:val="center"/>
          </w:tcPr>
          <w:p w14:paraId="714B58B1">
            <w:pPr>
              <w:widowControl/>
              <w:autoSpaceDE w:val="0"/>
              <w:autoSpaceDN w:val="0"/>
              <w:adjustRightInd w:val="0"/>
              <w:snapToGrid w:val="0"/>
              <w:jc w:val="center"/>
              <w:rPr>
                <w:rFonts w:eastAsia="仿宋"/>
                <w:sz w:val="24"/>
                <w:szCs w:val="24"/>
              </w:rPr>
            </w:pPr>
          </w:p>
        </w:tc>
        <w:tc>
          <w:tcPr>
            <w:tcW w:w="1281" w:type="pct"/>
            <w:tcBorders>
              <w:top w:val="single" w:color="auto" w:sz="4" w:space="0"/>
              <w:bottom w:val="single" w:color="auto" w:sz="4" w:space="0"/>
              <w:right w:val="single" w:color="auto" w:sz="4" w:space="0"/>
            </w:tcBorders>
            <w:tcMar>
              <w:top w:w="0" w:type="dxa"/>
              <w:left w:w="108" w:type="dxa"/>
              <w:bottom w:w="0" w:type="dxa"/>
              <w:right w:w="108" w:type="dxa"/>
            </w:tcMar>
            <w:vAlign w:val="center"/>
          </w:tcPr>
          <w:p w14:paraId="72967E5A">
            <w:pPr>
              <w:widowControl/>
              <w:autoSpaceDE w:val="0"/>
              <w:autoSpaceDN w:val="0"/>
              <w:adjustRightInd w:val="0"/>
              <w:snapToGrid w:val="0"/>
              <w:jc w:val="center"/>
              <w:rPr>
                <w:rFonts w:eastAsia="仿宋"/>
                <w:sz w:val="24"/>
                <w:szCs w:val="24"/>
              </w:rPr>
            </w:pPr>
            <w:r>
              <w:rPr>
                <w:rFonts w:hint="eastAsia" w:eastAsia="仿宋"/>
                <w:sz w:val="24"/>
                <w:szCs w:val="24"/>
              </w:rPr>
              <w:t>加油员</w:t>
            </w:r>
          </w:p>
        </w:tc>
        <w:tc>
          <w:tcPr>
            <w:tcW w:w="853" w:type="pct"/>
            <w:tcBorders>
              <w:top w:val="single" w:color="auto" w:sz="4" w:space="0"/>
              <w:left w:val="single" w:color="auto" w:sz="4" w:space="0"/>
              <w:bottom w:val="single" w:color="auto" w:sz="4" w:space="0"/>
              <w:right w:val="single" w:color="auto" w:sz="4" w:space="0"/>
            </w:tcBorders>
            <w:vAlign w:val="center"/>
          </w:tcPr>
          <w:p w14:paraId="127A2CDF">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刘俊英</w:t>
            </w:r>
          </w:p>
        </w:tc>
        <w:tc>
          <w:tcPr>
            <w:tcW w:w="1159" w:type="pc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top"/>
          </w:tcPr>
          <w:p w14:paraId="74182952">
            <w:pPr>
              <w:widowControl/>
              <w:autoSpaceDE w:val="0"/>
              <w:autoSpaceDN w:val="0"/>
              <w:adjustRightInd w:val="0"/>
              <w:snapToGrid w:val="0"/>
              <w:jc w:val="center"/>
              <w:rPr>
                <w:rFonts w:hint="default" w:eastAsia="仿宋"/>
                <w:sz w:val="24"/>
                <w:szCs w:val="24"/>
                <w:lang w:val="en-US" w:eastAsia="zh-CN"/>
              </w:rPr>
            </w:pPr>
            <w:r>
              <w:rPr>
                <w:rFonts w:hint="eastAsia" w:eastAsia="仿宋"/>
                <w:sz w:val="24"/>
                <w:szCs w:val="24"/>
                <w:lang w:val="en-US" w:eastAsia="zh-CN"/>
              </w:rPr>
              <w:t>13752698518</w:t>
            </w:r>
          </w:p>
        </w:tc>
      </w:tr>
      <w:tr w14:paraId="1C27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67B0C26">
            <w:pPr>
              <w:widowControl/>
              <w:autoSpaceDE w:val="0"/>
              <w:autoSpaceDN w:val="0"/>
              <w:adjustRightInd w:val="0"/>
              <w:snapToGrid w:val="0"/>
              <w:jc w:val="center"/>
              <w:rPr>
                <w:rFonts w:hint="eastAsia" w:eastAsia="仿宋"/>
                <w:sz w:val="24"/>
                <w:szCs w:val="24"/>
                <w:lang w:val="en-US" w:eastAsia="zh-CN"/>
              </w:rPr>
            </w:pPr>
            <w:r>
              <w:rPr>
                <w:rFonts w:hint="eastAsia" w:eastAsia="仿宋"/>
                <w:sz w:val="24"/>
                <w:szCs w:val="24"/>
                <w:lang w:val="en-US" w:eastAsia="zh-CN"/>
              </w:rPr>
              <w:t>5</w:t>
            </w:r>
          </w:p>
        </w:tc>
        <w:tc>
          <w:tcPr>
            <w:tcW w:w="1203" w:type="pct"/>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798DE791">
            <w:pPr>
              <w:widowControl/>
              <w:autoSpaceDE w:val="0"/>
              <w:autoSpaceDN w:val="0"/>
              <w:adjustRightInd w:val="0"/>
              <w:snapToGrid w:val="0"/>
              <w:jc w:val="center"/>
              <w:rPr>
                <w:rFonts w:eastAsia="仿宋"/>
                <w:sz w:val="24"/>
                <w:szCs w:val="24"/>
              </w:rPr>
            </w:pPr>
            <w:r>
              <w:rPr>
                <w:rFonts w:hint="eastAsia" w:eastAsia="仿宋"/>
                <w:sz w:val="24"/>
                <w:szCs w:val="24"/>
              </w:rPr>
              <w:t>医疗救护组</w:t>
            </w:r>
          </w:p>
        </w:tc>
        <w:tc>
          <w:tcPr>
            <w:tcW w:w="128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3F996BE">
            <w:pPr>
              <w:widowControl/>
              <w:autoSpaceDE w:val="0"/>
              <w:autoSpaceDN w:val="0"/>
              <w:adjustRightInd w:val="0"/>
              <w:snapToGrid w:val="0"/>
              <w:jc w:val="center"/>
              <w:rPr>
                <w:rFonts w:eastAsia="仿宋"/>
                <w:sz w:val="24"/>
                <w:szCs w:val="24"/>
              </w:rPr>
            </w:pPr>
            <w:r>
              <w:rPr>
                <w:rFonts w:hint="eastAsia" w:eastAsia="仿宋"/>
                <w:sz w:val="24"/>
                <w:szCs w:val="24"/>
              </w:rPr>
              <w:t>加油员</w:t>
            </w:r>
          </w:p>
        </w:tc>
        <w:tc>
          <w:tcPr>
            <w:tcW w:w="853" w:type="pct"/>
            <w:tcBorders>
              <w:top w:val="single" w:color="auto" w:sz="4" w:space="0"/>
              <w:left w:val="single" w:color="auto" w:sz="4" w:space="0"/>
              <w:bottom w:val="single" w:color="auto" w:sz="4" w:space="0"/>
              <w:right w:val="single" w:color="auto" w:sz="4" w:space="0"/>
            </w:tcBorders>
            <w:vAlign w:val="center"/>
          </w:tcPr>
          <w:p w14:paraId="2918D49C">
            <w:pPr>
              <w:widowControl/>
              <w:autoSpaceDE w:val="0"/>
              <w:autoSpaceDN w:val="0"/>
              <w:adjustRightInd w:val="0"/>
              <w:snapToGrid w:val="0"/>
              <w:jc w:val="center"/>
              <w:rPr>
                <w:rFonts w:hint="eastAsia" w:eastAsia="仿宋"/>
                <w:sz w:val="24"/>
                <w:szCs w:val="24"/>
              </w:rPr>
            </w:pPr>
            <w:r>
              <w:rPr>
                <w:rFonts w:hint="eastAsia" w:eastAsia="仿宋"/>
                <w:sz w:val="24"/>
                <w:szCs w:val="24"/>
              </w:rPr>
              <w:t xml:space="preserve"> </w:t>
            </w:r>
            <w:r>
              <w:rPr>
                <w:rFonts w:hint="eastAsia" w:eastAsia="仿宋"/>
                <w:sz w:val="24"/>
                <w:szCs w:val="24"/>
                <w:lang w:val="en-US" w:eastAsia="zh-CN"/>
              </w:rPr>
              <w:t>许莉莉</w:t>
            </w:r>
          </w:p>
        </w:tc>
        <w:tc>
          <w:tcPr>
            <w:tcW w:w="115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A1397E">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13821941311</w:t>
            </w:r>
          </w:p>
        </w:tc>
      </w:tr>
      <w:tr w14:paraId="58DA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DE4A20E">
            <w:pPr>
              <w:widowControl/>
              <w:autoSpaceDE w:val="0"/>
              <w:autoSpaceDN w:val="0"/>
              <w:adjustRightInd w:val="0"/>
              <w:snapToGrid w:val="0"/>
              <w:jc w:val="center"/>
              <w:rPr>
                <w:rFonts w:hint="eastAsia" w:eastAsia="仿宋"/>
                <w:sz w:val="24"/>
                <w:szCs w:val="24"/>
                <w:lang w:val="en-US" w:eastAsia="zh-CN"/>
              </w:rPr>
            </w:pPr>
            <w:r>
              <w:rPr>
                <w:rFonts w:hint="eastAsia" w:eastAsia="仿宋"/>
                <w:sz w:val="24"/>
                <w:szCs w:val="24"/>
                <w:lang w:val="en-US" w:eastAsia="zh-CN"/>
              </w:rPr>
              <w:t>6</w:t>
            </w:r>
          </w:p>
        </w:tc>
        <w:tc>
          <w:tcPr>
            <w:tcW w:w="1203" w:type="pct"/>
            <w:vMerge w:val="continue"/>
            <w:tcBorders>
              <w:left w:val="single" w:color="auto" w:sz="4" w:space="0"/>
              <w:right w:val="single" w:color="auto" w:sz="4" w:space="0"/>
            </w:tcBorders>
            <w:tcMar>
              <w:top w:w="0" w:type="dxa"/>
              <w:left w:w="108" w:type="dxa"/>
              <w:bottom w:w="0" w:type="dxa"/>
              <w:right w:w="108" w:type="dxa"/>
            </w:tcMar>
            <w:vAlign w:val="center"/>
          </w:tcPr>
          <w:p w14:paraId="3729CE93">
            <w:pPr>
              <w:widowControl/>
              <w:autoSpaceDE w:val="0"/>
              <w:autoSpaceDN w:val="0"/>
              <w:adjustRightInd w:val="0"/>
              <w:snapToGrid w:val="0"/>
              <w:jc w:val="center"/>
              <w:rPr>
                <w:rFonts w:eastAsia="仿宋"/>
                <w:sz w:val="24"/>
                <w:szCs w:val="24"/>
              </w:rPr>
            </w:pPr>
          </w:p>
        </w:tc>
        <w:tc>
          <w:tcPr>
            <w:tcW w:w="128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9E6AEEC">
            <w:pPr>
              <w:widowControl/>
              <w:autoSpaceDE w:val="0"/>
              <w:autoSpaceDN w:val="0"/>
              <w:adjustRightInd w:val="0"/>
              <w:snapToGrid w:val="0"/>
              <w:jc w:val="center"/>
              <w:rPr>
                <w:rFonts w:eastAsia="仿宋"/>
                <w:sz w:val="24"/>
                <w:szCs w:val="24"/>
              </w:rPr>
            </w:pPr>
            <w:r>
              <w:rPr>
                <w:rFonts w:hint="eastAsia" w:eastAsia="仿宋"/>
                <w:sz w:val="24"/>
                <w:szCs w:val="24"/>
              </w:rPr>
              <w:t>加油员</w:t>
            </w:r>
          </w:p>
        </w:tc>
        <w:tc>
          <w:tcPr>
            <w:tcW w:w="853" w:type="pct"/>
            <w:tcBorders>
              <w:top w:val="single" w:color="auto" w:sz="4" w:space="0"/>
              <w:left w:val="single" w:color="auto" w:sz="4" w:space="0"/>
              <w:bottom w:val="single" w:color="auto" w:sz="4" w:space="0"/>
              <w:right w:val="single" w:color="auto" w:sz="4" w:space="0"/>
            </w:tcBorders>
            <w:vAlign w:val="center"/>
          </w:tcPr>
          <w:p w14:paraId="01D1858E">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王俊霞</w:t>
            </w:r>
          </w:p>
        </w:tc>
        <w:tc>
          <w:tcPr>
            <w:tcW w:w="115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DFD48B0">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15222052828</w:t>
            </w:r>
          </w:p>
        </w:tc>
      </w:tr>
      <w:tr w14:paraId="368C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8EF7534">
            <w:pPr>
              <w:widowControl/>
              <w:autoSpaceDE w:val="0"/>
              <w:autoSpaceDN w:val="0"/>
              <w:adjustRightInd w:val="0"/>
              <w:snapToGrid w:val="0"/>
              <w:jc w:val="center"/>
              <w:rPr>
                <w:rFonts w:hint="eastAsia" w:eastAsia="仿宋"/>
                <w:sz w:val="24"/>
                <w:szCs w:val="24"/>
                <w:lang w:val="en-US" w:eastAsia="zh-CN"/>
              </w:rPr>
            </w:pPr>
            <w:r>
              <w:rPr>
                <w:rFonts w:hint="eastAsia" w:eastAsia="仿宋"/>
                <w:sz w:val="24"/>
                <w:szCs w:val="24"/>
                <w:lang w:val="en-US" w:eastAsia="zh-CN"/>
              </w:rPr>
              <w:t>7</w:t>
            </w:r>
          </w:p>
        </w:tc>
        <w:tc>
          <w:tcPr>
            <w:tcW w:w="1203" w:type="pct"/>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15703DDC">
            <w:pPr>
              <w:widowControl/>
              <w:autoSpaceDE w:val="0"/>
              <w:autoSpaceDN w:val="0"/>
              <w:adjustRightInd w:val="0"/>
              <w:snapToGrid w:val="0"/>
              <w:jc w:val="center"/>
              <w:rPr>
                <w:rFonts w:eastAsia="仿宋"/>
                <w:sz w:val="24"/>
                <w:szCs w:val="24"/>
              </w:rPr>
            </w:pPr>
            <w:r>
              <w:rPr>
                <w:rFonts w:hint="eastAsia" w:eastAsia="仿宋"/>
                <w:sz w:val="24"/>
                <w:szCs w:val="24"/>
              </w:rPr>
              <w:t>疏散监测组</w:t>
            </w:r>
          </w:p>
        </w:tc>
        <w:tc>
          <w:tcPr>
            <w:tcW w:w="128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E01DF0A">
            <w:pPr>
              <w:widowControl/>
              <w:autoSpaceDE w:val="0"/>
              <w:autoSpaceDN w:val="0"/>
              <w:adjustRightInd w:val="0"/>
              <w:snapToGrid w:val="0"/>
              <w:jc w:val="center"/>
              <w:rPr>
                <w:rFonts w:eastAsia="仿宋"/>
                <w:sz w:val="24"/>
                <w:szCs w:val="24"/>
              </w:rPr>
            </w:pPr>
            <w:r>
              <w:rPr>
                <w:rFonts w:hint="eastAsia" w:eastAsia="仿宋"/>
                <w:sz w:val="24"/>
                <w:szCs w:val="24"/>
              </w:rPr>
              <w:t>加油员</w:t>
            </w:r>
          </w:p>
        </w:tc>
        <w:tc>
          <w:tcPr>
            <w:tcW w:w="853" w:type="pct"/>
            <w:tcBorders>
              <w:top w:val="single" w:color="auto" w:sz="4" w:space="0"/>
              <w:left w:val="single" w:color="auto" w:sz="4" w:space="0"/>
              <w:bottom w:val="single" w:color="auto" w:sz="4" w:space="0"/>
              <w:right w:val="single" w:color="auto" w:sz="4" w:space="0"/>
            </w:tcBorders>
            <w:vAlign w:val="center"/>
          </w:tcPr>
          <w:p w14:paraId="78D64C5C">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许莉莉</w:t>
            </w:r>
          </w:p>
        </w:tc>
        <w:tc>
          <w:tcPr>
            <w:tcW w:w="115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03C5B6F">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13821941311</w:t>
            </w:r>
          </w:p>
        </w:tc>
      </w:tr>
      <w:tr w14:paraId="1D04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50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942163D">
            <w:pPr>
              <w:widowControl/>
              <w:autoSpaceDE w:val="0"/>
              <w:autoSpaceDN w:val="0"/>
              <w:adjustRightInd w:val="0"/>
              <w:snapToGrid w:val="0"/>
              <w:jc w:val="center"/>
              <w:rPr>
                <w:rFonts w:hint="default" w:eastAsia="仿宋"/>
                <w:sz w:val="24"/>
                <w:szCs w:val="24"/>
                <w:lang w:val="en-US" w:eastAsia="zh-CN"/>
              </w:rPr>
            </w:pPr>
            <w:r>
              <w:rPr>
                <w:rFonts w:hint="eastAsia" w:eastAsia="仿宋"/>
                <w:sz w:val="24"/>
                <w:szCs w:val="24"/>
                <w:lang w:val="en-US" w:eastAsia="zh-CN"/>
              </w:rPr>
              <w:t>8</w:t>
            </w:r>
          </w:p>
        </w:tc>
        <w:tc>
          <w:tcPr>
            <w:tcW w:w="1203" w:type="pct"/>
            <w:vMerge w:val="continue"/>
            <w:tcBorders>
              <w:left w:val="single" w:color="auto" w:sz="4" w:space="0"/>
              <w:right w:val="single" w:color="auto" w:sz="4" w:space="0"/>
            </w:tcBorders>
            <w:tcMar>
              <w:top w:w="0" w:type="dxa"/>
              <w:left w:w="108" w:type="dxa"/>
              <w:bottom w:w="0" w:type="dxa"/>
              <w:right w:w="108" w:type="dxa"/>
            </w:tcMar>
            <w:vAlign w:val="center"/>
          </w:tcPr>
          <w:p w14:paraId="075C060B">
            <w:pPr>
              <w:widowControl/>
              <w:autoSpaceDE w:val="0"/>
              <w:autoSpaceDN w:val="0"/>
              <w:adjustRightInd w:val="0"/>
              <w:snapToGrid w:val="0"/>
              <w:jc w:val="center"/>
              <w:rPr>
                <w:rFonts w:eastAsia="仿宋"/>
                <w:sz w:val="24"/>
                <w:szCs w:val="24"/>
              </w:rPr>
            </w:pPr>
          </w:p>
        </w:tc>
        <w:tc>
          <w:tcPr>
            <w:tcW w:w="1281"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608C57">
            <w:pPr>
              <w:widowControl/>
              <w:autoSpaceDE w:val="0"/>
              <w:autoSpaceDN w:val="0"/>
              <w:adjustRightInd w:val="0"/>
              <w:snapToGrid w:val="0"/>
              <w:jc w:val="center"/>
              <w:rPr>
                <w:rFonts w:eastAsia="仿宋"/>
                <w:sz w:val="24"/>
                <w:szCs w:val="24"/>
              </w:rPr>
            </w:pPr>
            <w:r>
              <w:rPr>
                <w:rFonts w:hint="eastAsia" w:eastAsia="仿宋"/>
                <w:sz w:val="24"/>
                <w:szCs w:val="24"/>
              </w:rPr>
              <w:t>加油员</w:t>
            </w:r>
          </w:p>
        </w:tc>
        <w:tc>
          <w:tcPr>
            <w:tcW w:w="853" w:type="pct"/>
            <w:tcBorders>
              <w:top w:val="single" w:color="auto" w:sz="4" w:space="0"/>
              <w:left w:val="single" w:color="auto" w:sz="4" w:space="0"/>
              <w:bottom w:val="single" w:color="auto" w:sz="4" w:space="0"/>
              <w:right w:val="single" w:color="auto" w:sz="4" w:space="0"/>
            </w:tcBorders>
            <w:vAlign w:val="center"/>
          </w:tcPr>
          <w:p w14:paraId="42F4D639">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赵素云</w:t>
            </w:r>
          </w:p>
        </w:tc>
        <w:tc>
          <w:tcPr>
            <w:tcW w:w="115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5CB22D9">
            <w:pPr>
              <w:widowControl/>
              <w:autoSpaceDE w:val="0"/>
              <w:autoSpaceDN w:val="0"/>
              <w:adjustRightInd w:val="0"/>
              <w:snapToGrid w:val="0"/>
              <w:jc w:val="center"/>
              <w:rPr>
                <w:rFonts w:hint="eastAsia" w:eastAsia="仿宋"/>
                <w:sz w:val="24"/>
                <w:szCs w:val="24"/>
              </w:rPr>
            </w:pPr>
            <w:r>
              <w:rPr>
                <w:rFonts w:hint="eastAsia" w:eastAsia="仿宋"/>
                <w:sz w:val="24"/>
                <w:szCs w:val="24"/>
                <w:lang w:val="en-US" w:eastAsia="zh-CN"/>
              </w:rPr>
              <w:t>15022395500</w:t>
            </w:r>
          </w:p>
        </w:tc>
      </w:tr>
      <w:bookmarkEnd w:id="40"/>
    </w:tbl>
    <w:p w14:paraId="3D94B3E1">
      <w:pPr>
        <w:spacing w:line="360" w:lineRule="auto"/>
        <w:ind w:firstLine="560" w:firstLineChars="200"/>
        <w:rPr>
          <w:rFonts w:eastAsia="仿宋"/>
          <w:sz w:val="28"/>
          <w:szCs w:val="28"/>
        </w:rPr>
      </w:pPr>
    </w:p>
    <w:p w14:paraId="15CCA8C6">
      <w:pPr>
        <w:spacing w:line="360" w:lineRule="auto"/>
        <w:outlineLvl w:val="1"/>
        <w:rPr>
          <w:rFonts w:eastAsia="黑体"/>
          <w:bCs/>
          <w:sz w:val="28"/>
          <w:szCs w:val="32"/>
        </w:rPr>
      </w:pPr>
      <w:bookmarkStart w:id="41" w:name="_Toc165395069"/>
      <w:r>
        <w:rPr>
          <w:rFonts w:eastAsia="黑体"/>
          <w:bCs/>
          <w:sz w:val="28"/>
          <w:szCs w:val="32"/>
        </w:rPr>
        <w:t>4.2指挥机构的主要职责</w:t>
      </w:r>
      <w:bookmarkEnd w:id="41"/>
    </w:p>
    <w:p w14:paraId="15E4D2A9">
      <w:pPr>
        <w:spacing w:line="360" w:lineRule="auto"/>
        <w:ind w:firstLine="560" w:firstLineChars="200"/>
        <w:rPr>
          <w:rFonts w:eastAsia="仿宋"/>
          <w:sz w:val="28"/>
          <w:szCs w:val="28"/>
        </w:rPr>
      </w:pPr>
      <w:r>
        <w:rPr>
          <w:rFonts w:eastAsia="仿宋"/>
          <w:sz w:val="28"/>
          <w:szCs w:val="28"/>
        </w:rPr>
        <w:t>指挥机构的主要职责如下：</w:t>
      </w:r>
    </w:p>
    <w:p w14:paraId="31D8A26E">
      <w:pPr>
        <w:spacing w:line="360" w:lineRule="auto"/>
        <w:ind w:firstLine="560" w:firstLineChars="200"/>
        <w:rPr>
          <w:rFonts w:eastAsia="仿宋"/>
          <w:sz w:val="28"/>
          <w:szCs w:val="28"/>
        </w:rPr>
      </w:pPr>
      <w:r>
        <w:rPr>
          <w:rFonts w:eastAsia="仿宋"/>
          <w:sz w:val="28"/>
          <w:szCs w:val="28"/>
        </w:rPr>
        <w:t>（1）组织制定应急救援预案。</w:t>
      </w:r>
    </w:p>
    <w:p w14:paraId="4B2DAD9C">
      <w:pPr>
        <w:spacing w:line="360" w:lineRule="auto"/>
        <w:ind w:firstLine="560" w:firstLineChars="200"/>
        <w:rPr>
          <w:rFonts w:eastAsia="仿宋"/>
          <w:sz w:val="28"/>
          <w:szCs w:val="28"/>
        </w:rPr>
      </w:pPr>
      <w:r>
        <w:rPr>
          <w:rFonts w:eastAsia="仿宋"/>
          <w:sz w:val="28"/>
          <w:szCs w:val="28"/>
        </w:rPr>
        <w:t>（2）负责组织向政府相关部门和相邻企业请求救援，报告救援情况。</w:t>
      </w:r>
    </w:p>
    <w:p w14:paraId="0BF0F84C">
      <w:pPr>
        <w:spacing w:line="360" w:lineRule="auto"/>
        <w:ind w:firstLine="560" w:firstLineChars="200"/>
        <w:rPr>
          <w:rFonts w:eastAsia="仿宋"/>
          <w:sz w:val="28"/>
          <w:szCs w:val="28"/>
        </w:rPr>
      </w:pPr>
      <w:r>
        <w:rPr>
          <w:rFonts w:eastAsia="仿宋"/>
          <w:sz w:val="28"/>
          <w:szCs w:val="28"/>
        </w:rPr>
        <w:t>（3）负责批准本预案的启动与终止。</w:t>
      </w:r>
    </w:p>
    <w:p w14:paraId="23440C0B">
      <w:pPr>
        <w:spacing w:line="360" w:lineRule="auto"/>
        <w:ind w:firstLine="560" w:firstLineChars="200"/>
        <w:rPr>
          <w:rFonts w:eastAsia="仿宋"/>
          <w:sz w:val="28"/>
          <w:szCs w:val="28"/>
        </w:rPr>
      </w:pPr>
      <w:r>
        <w:rPr>
          <w:rFonts w:eastAsia="仿宋"/>
          <w:sz w:val="28"/>
          <w:szCs w:val="28"/>
        </w:rPr>
        <w:t>（4）负责配备应急物资装备及队伍，定期组织应急培训和演练。</w:t>
      </w:r>
    </w:p>
    <w:p w14:paraId="697FC319">
      <w:pPr>
        <w:spacing w:line="360" w:lineRule="auto"/>
        <w:ind w:firstLine="560" w:firstLineChars="200"/>
        <w:rPr>
          <w:rFonts w:eastAsia="仿宋"/>
          <w:sz w:val="28"/>
          <w:szCs w:val="28"/>
        </w:rPr>
      </w:pPr>
      <w:r>
        <w:rPr>
          <w:rFonts w:eastAsia="仿宋"/>
          <w:sz w:val="28"/>
          <w:szCs w:val="28"/>
        </w:rPr>
        <w:t>（5）负责组织事故后的相关调查分析工作。</w:t>
      </w:r>
    </w:p>
    <w:p w14:paraId="7865DFF5">
      <w:pPr>
        <w:spacing w:line="360" w:lineRule="auto"/>
        <w:ind w:firstLine="560" w:firstLineChars="200"/>
        <w:rPr>
          <w:rFonts w:eastAsia="仿宋"/>
          <w:sz w:val="28"/>
          <w:szCs w:val="28"/>
        </w:rPr>
      </w:pPr>
      <w:r>
        <w:rPr>
          <w:rFonts w:eastAsia="仿宋"/>
          <w:sz w:val="28"/>
          <w:szCs w:val="28"/>
        </w:rPr>
        <w:t>总指挥职责：</w:t>
      </w:r>
    </w:p>
    <w:p w14:paraId="10B76DDB">
      <w:pPr>
        <w:spacing w:line="360" w:lineRule="auto"/>
        <w:ind w:firstLine="560" w:firstLineChars="200"/>
        <w:rPr>
          <w:rFonts w:eastAsia="仿宋"/>
          <w:sz w:val="28"/>
          <w:szCs w:val="28"/>
        </w:rPr>
      </w:pPr>
      <w:r>
        <w:rPr>
          <w:rFonts w:eastAsia="仿宋"/>
          <w:sz w:val="28"/>
          <w:szCs w:val="28"/>
        </w:rPr>
        <w:t>（1）审批应急预案。担负应急处置行动的最高指挥，根据事件类别、危害程度等确定事件应急救援的最佳方案，并全面指挥现场的应急救援工作。</w:t>
      </w:r>
    </w:p>
    <w:p w14:paraId="039A8546">
      <w:pPr>
        <w:spacing w:line="360" w:lineRule="auto"/>
        <w:ind w:firstLine="560" w:firstLineChars="200"/>
        <w:rPr>
          <w:rFonts w:eastAsia="仿宋"/>
          <w:sz w:val="28"/>
          <w:szCs w:val="28"/>
        </w:rPr>
      </w:pPr>
      <w:r>
        <w:rPr>
          <w:rFonts w:eastAsia="仿宋"/>
          <w:sz w:val="28"/>
          <w:szCs w:val="28"/>
        </w:rPr>
        <w:t>（2）批准本预案的启动与终止。</w:t>
      </w:r>
    </w:p>
    <w:p w14:paraId="02901A8E">
      <w:pPr>
        <w:spacing w:line="360" w:lineRule="auto"/>
        <w:ind w:firstLine="560" w:firstLineChars="200"/>
        <w:rPr>
          <w:rFonts w:eastAsia="仿宋"/>
          <w:sz w:val="28"/>
          <w:szCs w:val="28"/>
        </w:rPr>
      </w:pPr>
      <w:r>
        <w:rPr>
          <w:rFonts w:eastAsia="仿宋"/>
          <w:sz w:val="28"/>
          <w:szCs w:val="28"/>
        </w:rPr>
        <w:t>（3）组织向政府相关部门和相邻企业请求救援，报告救援情况，对外信息发布。</w:t>
      </w:r>
    </w:p>
    <w:p w14:paraId="6B972431">
      <w:pPr>
        <w:spacing w:line="360" w:lineRule="auto"/>
        <w:ind w:firstLine="560" w:firstLineChars="200"/>
        <w:rPr>
          <w:rFonts w:eastAsia="仿宋"/>
          <w:sz w:val="28"/>
          <w:szCs w:val="28"/>
        </w:rPr>
      </w:pPr>
      <w:r>
        <w:rPr>
          <w:rFonts w:eastAsia="仿宋"/>
          <w:sz w:val="28"/>
          <w:szCs w:val="28"/>
        </w:rPr>
        <w:t>（4）接受上级应急指挥部门或政府的指令和调动，配合政府部门对环境进行恢复、事故调查、经验教训总结等。</w:t>
      </w:r>
    </w:p>
    <w:p w14:paraId="495F1816">
      <w:pPr>
        <w:spacing w:line="360" w:lineRule="auto"/>
        <w:ind w:firstLine="560" w:firstLineChars="200"/>
        <w:rPr>
          <w:rFonts w:eastAsia="仿宋"/>
          <w:sz w:val="28"/>
          <w:szCs w:val="28"/>
        </w:rPr>
      </w:pPr>
      <w:r>
        <w:rPr>
          <w:rFonts w:eastAsia="仿宋"/>
          <w:sz w:val="28"/>
          <w:szCs w:val="28"/>
        </w:rPr>
        <w:t>（5）负责组织事故后的相关调查分析工作，组织恢复生产。</w:t>
      </w:r>
    </w:p>
    <w:p w14:paraId="4128C7F0">
      <w:pPr>
        <w:spacing w:line="360" w:lineRule="auto"/>
        <w:ind w:firstLine="560" w:firstLineChars="200"/>
        <w:rPr>
          <w:rFonts w:eastAsia="仿宋"/>
          <w:sz w:val="28"/>
          <w:szCs w:val="28"/>
        </w:rPr>
      </w:pPr>
      <w:r>
        <w:rPr>
          <w:rFonts w:eastAsia="仿宋"/>
          <w:sz w:val="28"/>
          <w:szCs w:val="28"/>
        </w:rPr>
        <w:t>（6）负责组织预案的更新。</w:t>
      </w:r>
    </w:p>
    <w:p w14:paraId="0912B126">
      <w:pPr>
        <w:spacing w:line="360" w:lineRule="auto"/>
        <w:ind w:firstLine="560" w:firstLineChars="200"/>
        <w:rPr>
          <w:rFonts w:eastAsia="仿宋"/>
          <w:sz w:val="28"/>
          <w:szCs w:val="28"/>
        </w:rPr>
      </w:pPr>
      <w:r>
        <w:rPr>
          <w:rFonts w:eastAsia="仿宋"/>
          <w:sz w:val="28"/>
          <w:szCs w:val="28"/>
        </w:rPr>
        <w:t>副总指挥职责：</w:t>
      </w:r>
    </w:p>
    <w:p w14:paraId="60CE065C">
      <w:pPr>
        <w:spacing w:line="360" w:lineRule="auto"/>
        <w:ind w:firstLine="560" w:firstLineChars="200"/>
        <w:rPr>
          <w:rFonts w:eastAsia="仿宋"/>
          <w:sz w:val="28"/>
          <w:szCs w:val="28"/>
        </w:rPr>
      </w:pPr>
      <w:r>
        <w:rPr>
          <w:rFonts w:eastAsia="仿宋"/>
          <w:sz w:val="28"/>
          <w:szCs w:val="28"/>
        </w:rPr>
        <w:t>（1）协助总指挥负责具体的指挥工作。</w:t>
      </w:r>
    </w:p>
    <w:p w14:paraId="633BAB7D">
      <w:pPr>
        <w:spacing w:line="360" w:lineRule="auto"/>
        <w:ind w:firstLine="560" w:firstLineChars="200"/>
        <w:rPr>
          <w:rFonts w:eastAsia="仿宋"/>
          <w:sz w:val="28"/>
          <w:szCs w:val="28"/>
        </w:rPr>
      </w:pPr>
      <w:r>
        <w:rPr>
          <w:rFonts w:eastAsia="仿宋"/>
          <w:sz w:val="28"/>
          <w:szCs w:val="28"/>
        </w:rPr>
        <w:t>（2）总指挥不在时履行总指挥的应急指挥职责，必要时代表指挥部对外发布相关信息。</w:t>
      </w:r>
    </w:p>
    <w:p w14:paraId="155333CC">
      <w:pPr>
        <w:spacing w:line="360" w:lineRule="auto"/>
        <w:ind w:firstLine="560" w:firstLineChars="200"/>
        <w:rPr>
          <w:rFonts w:eastAsia="仿宋"/>
          <w:sz w:val="28"/>
          <w:szCs w:val="28"/>
        </w:rPr>
      </w:pPr>
      <w:r>
        <w:rPr>
          <w:rFonts w:eastAsia="仿宋"/>
          <w:sz w:val="28"/>
          <w:szCs w:val="28"/>
        </w:rPr>
        <w:t>（3）有计划的组织实施突发环境应急处置培训和演练。</w:t>
      </w:r>
    </w:p>
    <w:p w14:paraId="660C6EEE">
      <w:pPr>
        <w:spacing w:line="360" w:lineRule="auto"/>
        <w:ind w:firstLine="560" w:firstLineChars="200"/>
        <w:rPr>
          <w:rFonts w:eastAsia="仿宋"/>
          <w:sz w:val="28"/>
          <w:szCs w:val="28"/>
        </w:rPr>
      </w:pPr>
      <w:r>
        <w:rPr>
          <w:rFonts w:eastAsia="仿宋"/>
          <w:sz w:val="28"/>
          <w:szCs w:val="28"/>
        </w:rPr>
        <w:t>应急指挥部成员职责：</w:t>
      </w:r>
    </w:p>
    <w:p w14:paraId="2E8E41A5">
      <w:pPr>
        <w:spacing w:line="360" w:lineRule="auto"/>
        <w:ind w:firstLine="560" w:firstLineChars="200"/>
        <w:rPr>
          <w:rFonts w:eastAsia="仿宋"/>
          <w:sz w:val="28"/>
          <w:szCs w:val="28"/>
        </w:rPr>
      </w:pPr>
      <w:r>
        <w:rPr>
          <w:rFonts w:eastAsia="仿宋"/>
          <w:sz w:val="28"/>
          <w:szCs w:val="28"/>
        </w:rPr>
        <w:t>（1）在总指挥的领导下，开展应急救援工作。</w:t>
      </w:r>
    </w:p>
    <w:p w14:paraId="446ADB67">
      <w:pPr>
        <w:spacing w:line="360" w:lineRule="auto"/>
        <w:ind w:firstLine="560" w:firstLineChars="200"/>
        <w:rPr>
          <w:rFonts w:eastAsia="仿宋"/>
          <w:sz w:val="28"/>
          <w:szCs w:val="28"/>
        </w:rPr>
      </w:pPr>
      <w:r>
        <w:rPr>
          <w:rFonts w:eastAsia="仿宋"/>
          <w:sz w:val="28"/>
          <w:szCs w:val="28"/>
        </w:rPr>
        <w:t>（2）维持现场秩序，协助总指挥工作。</w:t>
      </w:r>
    </w:p>
    <w:p w14:paraId="2745E203">
      <w:pPr>
        <w:spacing w:line="360" w:lineRule="auto"/>
        <w:ind w:firstLine="560" w:firstLineChars="200"/>
        <w:rPr>
          <w:rFonts w:eastAsia="仿宋"/>
          <w:sz w:val="28"/>
          <w:szCs w:val="28"/>
        </w:rPr>
      </w:pPr>
      <w:r>
        <w:rPr>
          <w:rFonts w:eastAsia="仿宋"/>
          <w:sz w:val="28"/>
          <w:szCs w:val="28"/>
        </w:rPr>
        <w:t>（3）指挥现场员工撤离到指定的紧急集合地点并立即清点人数，报告总指挥。</w:t>
      </w:r>
    </w:p>
    <w:p w14:paraId="18AC31D6">
      <w:pPr>
        <w:spacing w:line="360" w:lineRule="auto"/>
        <w:ind w:firstLine="560" w:firstLineChars="200"/>
        <w:rPr>
          <w:rFonts w:eastAsia="仿宋"/>
          <w:sz w:val="28"/>
          <w:szCs w:val="28"/>
        </w:rPr>
      </w:pPr>
      <w:r>
        <w:rPr>
          <w:rFonts w:eastAsia="仿宋"/>
          <w:sz w:val="28"/>
          <w:szCs w:val="28"/>
        </w:rPr>
        <w:t>（4）了解主要危险点源位置，掌握事故应对措施。</w:t>
      </w:r>
      <w:bookmarkStart w:id="42" w:name="_Toc367055049"/>
    </w:p>
    <w:p w14:paraId="2498A2A3">
      <w:pPr>
        <w:spacing w:line="360" w:lineRule="auto"/>
        <w:ind w:firstLine="560" w:firstLineChars="200"/>
        <w:rPr>
          <w:rFonts w:eastAsia="仿宋"/>
          <w:sz w:val="28"/>
          <w:szCs w:val="28"/>
        </w:rPr>
      </w:pPr>
      <w:r>
        <w:rPr>
          <w:rFonts w:eastAsia="仿宋"/>
          <w:sz w:val="28"/>
          <w:szCs w:val="28"/>
        </w:rPr>
        <w:t>（5）负责应急防范设施的维护，以及应急处置物质的储备。</w:t>
      </w:r>
    </w:p>
    <w:p w14:paraId="1451C3D4">
      <w:pPr>
        <w:spacing w:line="360" w:lineRule="auto"/>
        <w:ind w:firstLine="560" w:firstLineChars="200"/>
        <w:rPr>
          <w:rFonts w:eastAsia="仿宋"/>
          <w:sz w:val="28"/>
          <w:szCs w:val="28"/>
        </w:rPr>
      </w:pPr>
      <w:r>
        <w:rPr>
          <w:rFonts w:eastAsia="仿宋"/>
          <w:sz w:val="28"/>
          <w:szCs w:val="28"/>
        </w:rPr>
        <w:t>（6）检查、督促做好突发环境事件的预防措施和应急处置各项贮备工作，督促、协助相关部门及时消除安全隐患。</w:t>
      </w:r>
    </w:p>
    <w:p w14:paraId="7508B98A">
      <w:pPr>
        <w:pStyle w:val="2"/>
      </w:pPr>
      <w:r>
        <w:br w:type="page"/>
      </w:r>
      <w:bookmarkStart w:id="43" w:name="_Toc165395070"/>
      <w:bookmarkStart w:id="44" w:name="_Toc524420340"/>
      <w:r>
        <w:t>5应急能力建设</w:t>
      </w:r>
      <w:bookmarkEnd w:id="43"/>
      <w:bookmarkEnd w:id="44"/>
    </w:p>
    <w:p w14:paraId="1A19EDB6">
      <w:pPr>
        <w:spacing w:line="360" w:lineRule="auto"/>
        <w:outlineLvl w:val="1"/>
        <w:rPr>
          <w:rFonts w:eastAsia="黑体"/>
          <w:bCs/>
          <w:sz w:val="28"/>
          <w:szCs w:val="32"/>
        </w:rPr>
      </w:pPr>
      <w:bookmarkStart w:id="45" w:name="_Toc165395071"/>
      <w:bookmarkStart w:id="46" w:name="_Toc524420341"/>
      <w:bookmarkStart w:id="47" w:name="_Toc367055050"/>
      <w:r>
        <w:rPr>
          <w:rFonts w:eastAsia="黑体"/>
          <w:bCs/>
          <w:sz w:val="28"/>
          <w:szCs w:val="32"/>
        </w:rPr>
        <w:t>5.1应急处置队伍</w:t>
      </w:r>
      <w:bookmarkEnd w:id="45"/>
      <w:bookmarkEnd w:id="46"/>
      <w:bookmarkEnd w:id="47"/>
    </w:p>
    <w:p w14:paraId="64B77AB2">
      <w:pPr>
        <w:spacing w:line="360" w:lineRule="auto"/>
        <w:ind w:firstLine="560" w:firstLineChars="200"/>
        <w:rPr>
          <w:rFonts w:eastAsia="仿宋"/>
          <w:sz w:val="28"/>
          <w:szCs w:val="28"/>
        </w:rPr>
      </w:pPr>
      <w:r>
        <w:rPr>
          <w:rFonts w:eastAsia="仿宋"/>
          <w:sz w:val="28"/>
          <w:szCs w:val="28"/>
        </w:rPr>
        <w:t>加油站应急队伍包括：</w:t>
      </w:r>
      <w:r>
        <w:rPr>
          <w:rFonts w:hint="eastAsia" w:eastAsia="仿宋"/>
          <w:sz w:val="28"/>
          <w:szCs w:val="28"/>
        </w:rPr>
        <w:t>抢险救援</w:t>
      </w:r>
      <w:r>
        <w:rPr>
          <w:rFonts w:eastAsia="仿宋"/>
          <w:sz w:val="28"/>
          <w:szCs w:val="28"/>
        </w:rPr>
        <w:t>组、医疗救护组、疏散监测组。各小组具体职责和任务如下所示。</w:t>
      </w:r>
    </w:p>
    <w:p w14:paraId="16E4ED2D">
      <w:pPr>
        <w:spacing w:line="360" w:lineRule="auto"/>
        <w:ind w:firstLine="560" w:firstLineChars="200"/>
        <w:rPr>
          <w:rFonts w:eastAsia="仿宋"/>
          <w:sz w:val="28"/>
          <w:szCs w:val="28"/>
        </w:rPr>
      </w:pPr>
      <w:r>
        <w:rPr>
          <w:rFonts w:eastAsia="仿宋"/>
          <w:sz w:val="28"/>
          <w:szCs w:val="28"/>
        </w:rPr>
        <w:t>1、总指挥：</w:t>
      </w:r>
    </w:p>
    <w:p w14:paraId="3BEE1C26">
      <w:pPr>
        <w:spacing w:line="360" w:lineRule="auto"/>
        <w:ind w:firstLine="560" w:firstLineChars="200"/>
        <w:rPr>
          <w:rFonts w:eastAsia="仿宋"/>
          <w:sz w:val="28"/>
          <w:szCs w:val="28"/>
        </w:rPr>
      </w:pPr>
      <w:r>
        <w:rPr>
          <w:rFonts w:eastAsia="仿宋"/>
          <w:sz w:val="28"/>
          <w:szCs w:val="28"/>
        </w:rPr>
        <w:t>总指挥为企业应对突发环境事件的总指挥，一般由企业的负责人直接负责。</w:t>
      </w:r>
    </w:p>
    <w:p w14:paraId="53CBB30E">
      <w:pPr>
        <w:spacing w:line="360" w:lineRule="auto"/>
        <w:ind w:firstLine="560" w:firstLineChars="200"/>
        <w:rPr>
          <w:rFonts w:eastAsia="仿宋"/>
          <w:sz w:val="28"/>
          <w:szCs w:val="28"/>
        </w:rPr>
      </w:pPr>
      <w:r>
        <w:rPr>
          <w:rFonts w:eastAsia="仿宋"/>
          <w:sz w:val="28"/>
          <w:szCs w:val="28"/>
        </w:rPr>
        <w:t>（1）日常职责</w:t>
      </w:r>
    </w:p>
    <w:p w14:paraId="5CB667FF">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贯彻执行国家、当地政府、上级主管部门关于突发环境事件发生和应急救援的方针、政策及有关规定；</w:t>
      </w:r>
    </w:p>
    <w:p w14:paraId="4316C6D3">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对突发环境事件应急预案的编制、修订内容进行审定、批准；</w:t>
      </w:r>
    </w:p>
    <w:p w14:paraId="1634B78B">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保障企业突发环境事件应急保障经费的投入。</w:t>
      </w:r>
    </w:p>
    <w:p w14:paraId="5D17AFF9">
      <w:pPr>
        <w:spacing w:line="360" w:lineRule="auto"/>
        <w:ind w:firstLine="560" w:firstLineChars="200"/>
        <w:rPr>
          <w:rFonts w:eastAsia="仿宋"/>
          <w:sz w:val="28"/>
          <w:szCs w:val="28"/>
        </w:rPr>
      </w:pPr>
      <w:r>
        <w:rPr>
          <w:rFonts w:eastAsia="仿宋"/>
          <w:sz w:val="28"/>
          <w:szCs w:val="28"/>
        </w:rPr>
        <w:t>（2）应急职责</w:t>
      </w:r>
    </w:p>
    <w:p w14:paraId="0BEEF8CD">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接受政府的指令和调动；</w:t>
      </w:r>
    </w:p>
    <w:p w14:paraId="0815E833">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决定应急预案的启动与终止；</w:t>
      </w:r>
    </w:p>
    <w:p w14:paraId="54039410">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审核突发环境事件的险情及应急处理进展等情况，确定预警和应急响应级别；</w:t>
      </w:r>
    </w:p>
    <w:p w14:paraId="1DB9439B">
      <w:pPr>
        <w:spacing w:line="360" w:lineRule="auto"/>
        <w:ind w:firstLine="560" w:firstLineChars="200"/>
        <w:rPr>
          <w:rFonts w:eastAsia="仿宋"/>
          <w:sz w:val="28"/>
          <w:szCs w:val="28"/>
        </w:rPr>
      </w:pPr>
      <w:r>
        <w:rPr>
          <w:rFonts w:hint="eastAsia" w:ascii="宋体" w:hAnsi="宋体" w:cs="宋体"/>
          <w:sz w:val="28"/>
          <w:szCs w:val="28"/>
        </w:rPr>
        <w:t>④</w:t>
      </w:r>
      <w:r>
        <w:rPr>
          <w:rFonts w:eastAsia="仿宋"/>
          <w:sz w:val="28"/>
          <w:szCs w:val="28"/>
        </w:rPr>
        <w:t>发生环境事件时，亲自或委托副总指挥赶赴现场进行指挥及组织现场应急处理；</w:t>
      </w:r>
    </w:p>
    <w:p w14:paraId="49EC7F7C">
      <w:pPr>
        <w:spacing w:line="360" w:lineRule="auto"/>
        <w:ind w:firstLine="560" w:firstLineChars="200"/>
        <w:rPr>
          <w:rFonts w:eastAsia="仿宋"/>
          <w:sz w:val="28"/>
          <w:szCs w:val="28"/>
        </w:rPr>
      </w:pPr>
      <w:r>
        <w:rPr>
          <w:rFonts w:hint="eastAsia" w:ascii="宋体" w:hAnsi="宋体" w:cs="宋体"/>
          <w:sz w:val="28"/>
          <w:szCs w:val="28"/>
        </w:rPr>
        <w:t>⑤</w:t>
      </w:r>
      <w:r>
        <w:rPr>
          <w:rFonts w:eastAsia="仿宋"/>
          <w:sz w:val="28"/>
          <w:szCs w:val="28"/>
        </w:rPr>
        <w:t>发布应急处置命令；</w:t>
      </w:r>
    </w:p>
    <w:p w14:paraId="7EFDFF73">
      <w:pPr>
        <w:spacing w:line="360" w:lineRule="auto"/>
        <w:ind w:firstLine="560" w:firstLineChars="200"/>
        <w:rPr>
          <w:rFonts w:eastAsia="仿宋"/>
          <w:sz w:val="28"/>
          <w:szCs w:val="28"/>
        </w:rPr>
      </w:pPr>
      <w:r>
        <w:rPr>
          <w:rFonts w:hint="eastAsia" w:ascii="宋体" w:hAnsi="宋体" w:cs="宋体"/>
          <w:sz w:val="28"/>
          <w:szCs w:val="28"/>
        </w:rPr>
        <w:t>⑥</w:t>
      </w:r>
      <w:r>
        <w:rPr>
          <w:rFonts w:eastAsia="仿宋"/>
          <w:sz w:val="28"/>
          <w:szCs w:val="28"/>
        </w:rPr>
        <w:t>如果事故级别升级到社会应急，负责及时向政府部门报告并提出协助请求。</w:t>
      </w:r>
    </w:p>
    <w:p w14:paraId="0A9B26D3">
      <w:pPr>
        <w:spacing w:line="360" w:lineRule="auto"/>
        <w:ind w:firstLine="560" w:firstLineChars="200"/>
        <w:rPr>
          <w:rFonts w:eastAsia="仿宋"/>
          <w:sz w:val="28"/>
          <w:szCs w:val="28"/>
        </w:rPr>
      </w:pPr>
      <w:r>
        <w:rPr>
          <w:rFonts w:eastAsia="仿宋"/>
          <w:sz w:val="28"/>
          <w:szCs w:val="28"/>
        </w:rPr>
        <w:t>2、副</w:t>
      </w:r>
      <w:r>
        <w:rPr>
          <w:rFonts w:hint="eastAsia" w:eastAsia="仿宋"/>
          <w:sz w:val="28"/>
          <w:szCs w:val="28"/>
        </w:rPr>
        <w:t>总</w:t>
      </w:r>
      <w:r>
        <w:rPr>
          <w:rFonts w:eastAsia="仿宋"/>
          <w:sz w:val="28"/>
          <w:szCs w:val="28"/>
        </w:rPr>
        <w:t>指挥：</w:t>
      </w:r>
    </w:p>
    <w:p w14:paraId="09A29B78">
      <w:pPr>
        <w:spacing w:line="360" w:lineRule="auto"/>
        <w:ind w:firstLine="560" w:firstLineChars="200"/>
        <w:rPr>
          <w:rFonts w:eastAsia="仿宋"/>
          <w:sz w:val="28"/>
          <w:szCs w:val="28"/>
        </w:rPr>
      </w:pPr>
      <w:r>
        <w:rPr>
          <w:rFonts w:eastAsia="仿宋"/>
          <w:sz w:val="28"/>
          <w:szCs w:val="28"/>
        </w:rPr>
        <w:t>副</w:t>
      </w:r>
      <w:r>
        <w:rPr>
          <w:rFonts w:hint="eastAsia" w:eastAsia="仿宋"/>
          <w:sz w:val="28"/>
          <w:szCs w:val="28"/>
        </w:rPr>
        <w:t>总</w:t>
      </w:r>
      <w:r>
        <w:rPr>
          <w:rFonts w:eastAsia="仿宋"/>
          <w:sz w:val="28"/>
          <w:szCs w:val="28"/>
        </w:rPr>
        <w:t>指挥为企业应对突发环境事件的副指挥，一般由企业的相关部门负责人负责，并需要熟悉现场的实际情况。</w:t>
      </w:r>
    </w:p>
    <w:p w14:paraId="5B1647B4">
      <w:pPr>
        <w:spacing w:line="360" w:lineRule="auto"/>
        <w:ind w:firstLine="560" w:firstLineChars="200"/>
        <w:rPr>
          <w:rFonts w:eastAsia="仿宋"/>
          <w:sz w:val="28"/>
          <w:szCs w:val="28"/>
        </w:rPr>
      </w:pPr>
      <w:r>
        <w:rPr>
          <w:rFonts w:eastAsia="仿宋"/>
          <w:sz w:val="28"/>
          <w:szCs w:val="28"/>
        </w:rPr>
        <w:t>（1）日常职责</w:t>
      </w:r>
    </w:p>
    <w:p w14:paraId="35F26909">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组织、指导员工突发环境事件的应急培训工作，协调指导应急救援队伍的管理和救援能力评估工作；</w:t>
      </w:r>
    </w:p>
    <w:p w14:paraId="5B3A7703">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检查、督促做好突发环境事件的预防措施和应急救援的各项准备工作；</w:t>
      </w:r>
    </w:p>
    <w:p w14:paraId="59DB0169">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监督应急体系的建设和运转，审查应急救援工作报告。</w:t>
      </w:r>
    </w:p>
    <w:p w14:paraId="24FB6863">
      <w:pPr>
        <w:spacing w:line="360" w:lineRule="auto"/>
        <w:ind w:firstLine="560" w:firstLineChars="200"/>
        <w:rPr>
          <w:rFonts w:eastAsia="仿宋"/>
          <w:sz w:val="28"/>
          <w:szCs w:val="28"/>
        </w:rPr>
      </w:pPr>
      <w:r>
        <w:rPr>
          <w:rFonts w:eastAsia="仿宋"/>
          <w:sz w:val="28"/>
          <w:szCs w:val="28"/>
        </w:rPr>
        <w:t>（2）应急职责</w:t>
      </w:r>
    </w:p>
    <w:p w14:paraId="4340886D">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协助总指挥组织和指挥应急任务；</w:t>
      </w:r>
    </w:p>
    <w:p w14:paraId="0F3DFF0D">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事故现场应急的直接指挥和协调；</w:t>
      </w:r>
    </w:p>
    <w:p w14:paraId="12BDD9D6">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对应急行动提出建议；</w:t>
      </w:r>
    </w:p>
    <w:p w14:paraId="6FB84077">
      <w:pPr>
        <w:spacing w:line="360" w:lineRule="auto"/>
        <w:ind w:firstLine="560" w:firstLineChars="200"/>
        <w:rPr>
          <w:rFonts w:eastAsia="仿宋"/>
          <w:sz w:val="28"/>
          <w:szCs w:val="28"/>
        </w:rPr>
      </w:pPr>
      <w:r>
        <w:rPr>
          <w:rFonts w:hint="eastAsia" w:ascii="宋体" w:hAnsi="宋体" w:cs="宋体"/>
          <w:sz w:val="28"/>
          <w:szCs w:val="28"/>
        </w:rPr>
        <w:t>④</w:t>
      </w:r>
      <w:r>
        <w:rPr>
          <w:rFonts w:eastAsia="仿宋"/>
          <w:sz w:val="28"/>
          <w:szCs w:val="28"/>
        </w:rPr>
        <w:t>负责企业人员的应急行动的顺利执行；</w:t>
      </w:r>
    </w:p>
    <w:p w14:paraId="3E3E3E4A">
      <w:pPr>
        <w:spacing w:line="360" w:lineRule="auto"/>
        <w:ind w:firstLine="560" w:firstLineChars="200"/>
        <w:rPr>
          <w:rFonts w:eastAsia="仿宋"/>
          <w:sz w:val="28"/>
          <w:szCs w:val="28"/>
        </w:rPr>
      </w:pPr>
      <w:r>
        <w:rPr>
          <w:rFonts w:hint="eastAsia" w:ascii="宋体" w:hAnsi="宋体" w:cs="宋体"/>
          <w:sz w:val="28"/>
          <w:szCs w:val="28"/>
        </w:rPr>
        <w:t>⑤</w:t>
      </w:r>
      <w:r>
        <w:rPr>
          <w:rFonts w:eastAsia="仿宋"/>
          <w:sz w:val="28"/>
          <w:szCs w:val="28"/>
        </w:rPr>
        <w:t>控制现场出现的紧急情况；</w:t>
      </w:r>
    </w:p>
    <w:p w14:paraId="6E8ECF92">
      <w:pPr>
        <w:spacing w:line="360" w:lineRule="auto"/>
        <w:ind w:firstLine="560" w:firstLineChars="200"/>
        <w:rPr>
          <w:rFonts w:eastAsia="仿宋"/>
          <w:sz w:val="28"/>
          <w:szCs w:val="28"/>
        </w:rPr>
      </w:pPr>
      <w:r>
        <w:rPr>
          <w:rFonts w:hint="eastAsia" w:eastAsia="仿宋"/>
          <w:sz w:val="28"/>
          <w:szCs w:val="28"/>
        </w:rPr>
        <w:t>⑥</w:t>
      </w:r>
      <w:r>
        <w:rPr>
          <w:rFonts w:eastAsia="仿宋"/>
          <w:sz w:val="28"/>
          <w:szCs w:val="28"/>
        </w:rPr>
        <w:t>现场应急行动与场外人员操作指挥的协调</w:t>
      </w:r>
    </w:p>
    <w:p w14:paraId="5138D327">
      <w:pPr>
        <w:spacing w:line="360" w:lineRule="auto"/>
        <w:ind w:firstLine="560" w:firstLineChars="200"/>
        <w:rPr>
          <w:rFonts w:eastAsia="仿宋"/>
          <w:sz w:val="28"/>
          <w:szCs w:val="28"/>
        </w:rPr>
      </w:pPr>
      <w:r>
        <w:rPr>
          <w:rFonts w:eastAsia="仿宋"/>
          <w:sz w:val="28"/>
          <w:szCs w:val="28"/>
        </w:rPr>
        <w:t>3、医疗救护组：</w:t>
      </w:r>
    </w:p>
    <w:p w14:paraId="3CEA84D5">
      <w:pPr>
        <w:spacing w:line="360" w:lineRule="auto"/>
        <w:ind w:firstLine="560" w:firstLineChars="200"/>
        <w:rPr>
          <w:rFonts w:eastAsia="仿宋"/>
          <w:sz w:val="28"/>
          <w:szCs w:val="28"/>
        </w:rPr>
      </w:pPr>
      <w:r>
        <w:rPr>
          <w:rFonts w:eastAsia="仿宋"/>
          <w:sz w:val="28"/>
          <w:szCs w:val="28"/>
        </w:rPr>
        <w:t>（1）储备足量的急救器材和药品，并随时取用。</w:t>
      </w:r>
    </w:p>
    <w:p w14:paraId="56261B69">
      <w:pPr>
        <w:spacing w:line="360" w:lineRule="auto"/>
        <w:ind w:firstLine="560" w:firstLineChars="200"/>
        <w:rPr>
          <w:rFonts w:eastAsia="仿宋"/>
          <w:sz w:val="28"/>
          <w:szCs w:val="28"/>
        </w:rPr>
      </w:pPr>
      <w:r>
        <w:rPr>
          <w:rFonts w:eastAsia="仿宋"/>
          <w:sz w:val="28"/>
          <w:szCs w:val="28"/>
        </w:rPr>
        <w:t>（2）接到救援指令后，立即组织人员，做好急救准备，并做好重伤者转院就职准备。</w:t>
      </w:r>
    </w:p>
    <w:p w14:paraId="1FEAB6EA">
      <w:pPr>
        <w:spacing w:line="360" w:lineRule="auto"/>
        <w:ind w:firstLine="560" w:firstLineChars="200"/>
        <w:rPr>
          <w:rFonts w:eastAsia="仿宋"/>
          <w:sz w:val="28"/>
          <w:szCs w:val="28"/>
        </w:rPr>
      </w:pPr>
      <w:r>
        <w:rPr>
          <w:rFonts w:eastAsia="仿宋"/>
          <w:sz w:val="28"/>
          <w:szCs w:val="28"/>
        </w:rPr>
        <w:t>（3）如加油站的救援力量无法满足救援需要时，向医疗单位申请救援并转送伤者。</w:t>
      </w:r>
    </w:p>
    <w:p w14:paraId="0730742B">
      <w:pPr>
        <w:numPr>
          <w:ilvl w:val="0"/>
          <w:numId w:val="1"/>
        </w:numPr>
        <w:spacing w:line="360" w:lineRule="auto"/>
        <w:ind w:firstLine="560" w:firstLineChars="200"/>
        <w:rPr>
          <w:rFonts w:eastAsia="仿宋"/>
          <w:sz w:val="28"/>
          <w:szCs w:val="28"/>
        </w:rPr>
      </w:pPr>
      <w:r>
        <w:rPr>
          <w:rFonts w:eastAsia="仿宋"/>
          <w:sz w:val="28"/>
          <w:szCs w:val="28"/>
        </w:rPr>
        <w:t>疏散监测组：</w:t>
      </w:r>
    </w:p>
    <w:p w14:paraId="41B9A7E5">
      <w:pPr>
        <w:spacing w:line="360" w:lineRule="auto"/>
        <w:ind w:firstLine="560" w:firstLineChars="200"/>
        <w:rPr>
          <w:rFonts w:eastAsia="仿宋"/>
          <w:sz w:val="28"/>
          <w:szCs w:val="28"/>
        </w:rPr>
      </w:pPr>
      <w:r>
        <w:rPr>
          <w:rFonts w:eastAsia="仿宋"/>
          <w:sz w:val="28"/>
          <w:szCs w:val="28"/>
        </w:rPr>
        <w:t>在紧急情况发生时，负责组织其他与应急救援无关的所有员工和顾客的疏散，对现场进行警戒，阻止无关人员进入油站，联络临近的单位、社区</w:t>
      </w:r>
      <w:r>
        <w:rPr>
          <w:rFonts w:hint="eastAsia" w:eastAsia="仿宋"/>
          <w:sz w:val="28"/>
          <w:szCs w:val="28"/>
        </w:rPr>
        <w:t>；联系相关单位进行应急监测</w:t>
      </w:r>
      <w:r>
        <w:rPr>
          <w:rFonts w:eastAsia="仿宋"/>
          <w:sz w:val="28"/>
          <w:szCs w:val="28"/>
        </w:rPr>
        <w:t>等。</w:t>
      </w:r>
    </w:p>
    <w:p w14:paraId="79BEAA5E">
      <w:pPr>
        <w:spacing w:line="360" w:lineRule="auto"/>
        <w:ind w:firstLine="560" w:firstLineChars="200"/>
        <w:rPr>
          <w:rFonts w:eastAsia="仿宋"/>
          <w:sz w:val="28"/>
          <w:szCs w:val="28"/>
        </w:rPr>
      </w:pPr>
      <w:r>
        <w:rPr>
          <w:rFonts w:eastAsia="仿宋"/>
          <w:sz w:val="28"/>
          <w:szCs w:val="28"/>
        </w:rPr>
        <w:t>5、抢险救</w:t>
      </w:r>
      <w:r>
        <w:rPr>
          <w:rFonts w:hint="eastAsia" w:eastAsia="仿宋"/>
          <w:sz w:val="28"/>
          <w:szCs w:val="28"/>
        </w:rPr>
        <w:t>援</w:t>
      </w:r>
      <w:r>
        <w:rPr>
          <w:rFonts w:eastAsia="仿宋"/>
          <w:sz w:val="28"/>
          <w:szCs w:val="28"/>
        </w:rPr>
        <w:t>组：</w:t>
      </w:r>
    </w:p>
    <w:p w14:paraId="3B9537DC">
      <w:pPr>
        <w:spacing w:line="360" w:lineRule="auto"/>
        <w:ind w:firstLine="560" w:firstLineChars="200"/>
        <w:rPr>
          <w:rFonts w:eastAsia="仿宋"/>
          <w:sz w:val="28"/>
          <w:szCs w:val="28"/>
        </w:rPr>
      </w:pPr>
      <w:r>
        <w:rPr>
          <w:rFonts w:eastAsia="仿宋"/>
          <w:sz w:val="28"/>
          <w:szCs w:val="28"/>
        </w:rPr>
        <w:t>在应急总指挥的带领下，对现场发生的紧急情况进行处理，包括关闭加油站的紧急按钮，切断油站总电源，灭火，处理泄露。在外援（如消防队）到达后，配合外援人员的行动。</w:t>
      </w:r>
    </w:p>
    <w:p w14:paraId="0A68C34D">
      <w:pPr>
        <w:spacing w:line="360" w:lineRule="auto"/>
        <w:outlineLvl w:val="1"/>
        <w:rPr>
          <w:rFonts w:eastAsia="黑体"/>
          <w:bCs/>
          <w:sz w:val="28"/>
          <w:szCs w:val="32"/>
        </w:rPr>
      </w:pPr>
      <w:bookmarkStart w:id="48" w:name="_Toc524420342"/>
      <w:bookmarkStart w:id="49" w:name="_Toc165395072"/>
      <w:r>
        <w:rPr>
          <w:rFonts w:eastAsia="黑体"/>
          <w:bCs/>
          <w:sz w:val="28"/>
          <w:szCs w:val="32"/>
        </w:rPr>
        <w:t>5.2应急设施和物资</w:t>
      </w:r>
      <w:bookmarkEnd w:id="48"/>
      <w:bookmarkEnd w:id="49"/>
    </w:p>
    <w:p w14:paraId="3F25AEDA">
      <w:pPr>
        <w:spacing w:line="360" w:lineRule="auto"/>
        <w:ind w:firstLine="560" w:firstLineChars="200"/>
        <w:rPr>
          <w:rFonts w:eastAsia="仿宋"/>
          <w:sz w:val="28"/>
          <w:szCs w:val="28"/>
        </w:rPr>
      </w:pPr>
      <w:r>
        <w:rPr>
          <w:rFonts w:eastAsia="仿宋"/>
          <w:sz w:val="28"/>
          <w:szCs w:val="28"/>
        </w:rPr>
        <w:t>参考加油站《突发环境事件应急资源调查报告》的相关内容，应急设施及物资等资源情况如下表所示。</w:t>
      </w:r>
    </w:p>
    <w:p w14:paraId="3478EFA1">
      <w:pPr>
        <w:spacing w:before="120" w:beforeLines="50" w:line="300" w:lineRule="auto"/>
        <w:jc w:val="center"/>
        <w:rPr>
          <w:rFonts w:eastAsia="仿宋"/>
          <w:sz w:val="28"/>
          <w:szCs w:val="28"/>
          <w:highlight w:val="none"/>
        </w:rPr>
      </w:pPr>
      <w:r>
        <w:rPr>
          <w:rFonts w:eastAsia="仿宋"/>
          <w:sz w:val="28"/>
          <w:szCs w:val="28"/>
          <w:highlight w:val="none"/>
        </w:rPr>
        <w:t>表5.2-1加油站内应急物资与装备情况</w:t>
      </w:r>
    </w:p>
    <w:tbl>
      <w:tblPr>
        <w:tblStyle w:val="283"/>
        <w:tblW w:w="915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549"/>
        <w:gridCol w:w="1104"/>
        <w:gridCol w:w="1026"/>
        <w:gridCol w:w="1034"/>
        <w:gridCol w:w="756"/>
        <w:gridCol w:w="1576"/>
        <w:gridCol w:w="1436"/>
      </w:tblGrid>
      <w:tr w14:paraId="513EA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2227" w:type="dxa"/>
            <w:gridSpan w:val="2"/>
            <w:tcBorders>
              <w:top w:val="single" w:color="000000" w:sz="10" w:space="0"/>
              <w:left w:val="single" w:color="000000" w:sz="10" w:space="0"/>
            </w:tcBorders>
            <w:noWrap w:val="0"/>
            <w:vAlign w:val="top"/>
          </w:tcPr>
          <w:p w14:paraId="1335812A">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单位名称</w:t>
            </w:r>
          </w:p>
        </w:tc>
        <w:tc>
          <w:tcPr>
            <w:tcW w:w="6932" w:type="dxa"/>
            <w:gridSpan w:val="6"/>
            <w:tcBorders>
              <w:top w:val="single" w:color="000000" w:sz="10" w:space="0"/>
              <w:right w:val="single" w:color="000000" w:sz="10" w:space="0"/>
            </w:tcBorders>
            <w:noWrap w:val="0"/>
            <w:vAlign w:val="top"/>
          </w:tcPr>
          <w:p w14:paraId="3CFC1F9F">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中国石化销售股份有限公司天津石油分公司津南水利加油站</w:t>
            </w:r>
          </w:p>
        </w:tc>
      </w:tr>
      <w:tr w14:paraId="0A2ED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227" w:type="dxa"/>
            <w:gridSpan w:val="2"/>
            <w:tcBorders>
              <w:left w:val="single" w:color="000000" w:sz="10" w:space="0"/>
            </w:tcBorders>
            <w:noWrap w:val="0"/>
            <w:vAlign w:val="top"/>
          </w:tcPr>
          <w:p w14:paraId="19BB2DA2">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物资库位置</w:t>
            </w:r>
          </w:p>
        </w:tc>
        <w:tc>
          <w:tcPr>
            <w:tcW w:w="6932" w:type="dxa"/>
            <w:gridSpan w:val="6"/>
            <w:tcBorders>
              <w:right w:val="single" w:color="000000" w:sz="10" w:space="0"/>
            </w:tcBorders>
            <w:noWrap w:val="0"/>
            <w:vAlign w:val="top"/>
          </w:tcPr>
          <w:p w14:paraId="509A7DE2">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油罐区、加油岛、站房等</w:t>
            </w:r>
          </w:p>
        </w:tc>
      </w:tr>
      <w:tr w14:paraId="71871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159" w:type="dxa"/>
            <w:gridSpan w:val="8"/>
            <w:tcBorders>
              <w:left w:val="single" w:color="000000" w:sz="10" w:space="0"/>
              <w:right w:val="single" w:color="000000" w:sz="10" w:space="0"/>
            </w:tcBorders>
            <w:noWrap w:val="0"/>
            <w:vAlign w:val="top"/>
          </w:tcPr>
          <w:p w14:paraId="1956D338">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环境应急资源信息</w:t>
            </w:r>
          </w:p>
        </w:tc>
      </w:tr>
      <w:tr w14:paraId="1BD103D8">
        <w:tblPrEx>
          <w:tblCellMar>
            <w:top w:w="0" w:type="dxa"/>
            <w:left w:w="0" w:type="dxa"/>
            <w:bottom w:w="0" w:type="dxa"/>
            <w:right w:w="0" w:type="dxa"/>
          </w:tblCellMar>
        </w:tblPrEx>
        <w:trPr>
          <w:trHeight w:val="627" w:hRule="atLeast"/>
        </w:trPr>
        <w:tc>
          <w:tcPr>
            <w:tcW w:w="678" w:type="dxa"/>
            <w:tcBorders>
              <w:left w:val="single" w:color="000000" w:sz="10" w:space="0"/>
            </w:tcBorders>
            <w:noWrap w:val="0"/>
            <w:vAlign w:val="center"/>
          </w:tcPr>
          <w:p w14:paraId="4A147D73">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序号</w:t>
            </w:r>
          </w:p>
        </w:tc>
        <w:tc>
          <w:tcPr>
            <w:tcW w:w="1549" w:type="dxa"/>
            <w:tcBorders>
              <w:bottom w:val="single" w:color="auto" w:sz="4" w:space="0"/>
            </w:tcBorders>
            <w:noWrap w:val="0"/>
            <w:vAlign w:val="top"/>
          </w:tcPr>
          <w:p w14:paraId="5D409BD6">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名称</w:t>
            </w:r>
          </w:p>
        </w:tc>
        <w:tc>
          <w:tcPr>
            <w:tcW w:w="1104" w:type="dxa"/>
            <w:tcBorders>
              <w:bottom w:val="single" w:color="auto" w:sz="4" w:space="0"/>
            </w:tcBorders>
            <w:noWrap w:val="0"/>
            <w:textDirection w:val="tbRlV"/>
            <w:vAlign w:val="top"/>
          </w:tcPr>
          <w:p w14:paraId="16B7647F">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品牌</w:t>
            </w:r>
          </w:p>
        </w:tc>
        <w:tc>
          <w:tcPr>
            <w:tcW w:w="1026" w:type="dxa"/>
            <w:tcBorders>
              <w:bottom w:val="single" w:color="auto" w:sz="4" w:space="0"/>
            </w:tcBorders>
            <w:noWrap w:val="0"/>
            <w:vAlign w:val="top"/>
          </w:tcPr>
          <w:p w14:paraId="15D3DB8C">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型号/规格</w:t>
            </w:r>
          </w:p>
        </w:tc>
        <w:tc>
          <w:tcPr>
            <w:tcW w:w="1034" w:type="dxa"/>
            <w:tcBorders>
              <w:bottom w:val="single" w:color="auto" w:sz="4" w:space="0"/>
            </w:tcBorders>
            <w:noWrap w:val="0"/>
            <w:vAlign w:val="top"/>
          </w:tcPr>
          <w:p w14:paraId="3C7385C2">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储备量</w:t>
            </w:r>
          </w:p>
        </w:tc>
        <w:tc>
          <w:tcPr>
            <w:tcW w:w="756" w:type="dxa"/>
            <w:tcBorders>
              <w:bottom w:val="single" w:color="auto" w:sz="4" w:space="0"/>
            </w:tcBorders>
            <w:noWrap w:val="0"/>
            <w:vAlign w:val="top"/>
          </w:tcPr>
          <w:p w14:paraId="464ED35D">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报废日期</w:t>
            </w:r>
          </w:p>
        </w:tc>
        <w:tc>
          <w:tcPr>
            <w:tcW w:w="1576" w:type="dxa"/>
            <w:tcBorders>
              <w:bottom w:val="single" w:color="auto" w:sz="4" w:space="0"/>
            </w:tcBorders>
            <w:noWrap w:val="0"/>
            <w:vAlign w:val="top"/>
          </w:tcPr>
          <w:p w14:paraId="57C40B0B">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主要功能</w:t>
            </w:r>
          </w:p>
        </w:tc>
        <w:tc>
          <w:tcPr>
            <w:tcW w:w="1436" w:type="dxa"/>
            <w:tcBorders>
              <w:bottom w:val="single" w:color="auto" w:sz="4" w:space="0"/>
              <w:right w:val="single" w:color="000000" w:sz="10" w:space="0"/>
            </w:tcBorders>
            <w:noWrap w:val="0"/>
            <w:vAlign w:val="top"/>
          </w:tcPr>
          <w:p w14:paraId="2252A6E0">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备注</w:t>
            </w:r>
          </w:p>
        </w:tc>
      </w:tr>
      <w:tr w14:paraId="7D72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678" w:type="dxa"/>
            <w:tcBorders>
              <w:left w:val="single" w:color="000000" w:sz="10" w:space="0"/>
              <w:right w:val="single" w:color="auto" w:sz="4" w:space="0"/>
            </w:tcBorders>
            <w:noWrap w:val="0"/>
            <w:vAlign w:val="center"/>
          </w:tcPr>
          <w:p w14:paraId="7A3EE85F">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w:t>
            </w:r>
          </w:p>
        </w:tc>
        <w:tc>
          <w:tcPr>
            <w:tcW w:w="1549" w:type="dxa"/>
            <w:tcBorders>
              <w:top w:val="single" w:color="auto" w:sz="4" w:space="0"/>
              <w:left w:val="single" w:color="auto" w:sz="4" w:space="0"/>
              <w:bottom w:val="single" w:color="auto" w:sz="4" w:space="0"/>
            </w:tcBorders>
            <w:noWrap w:val="0"/>
            <w:vAlign w:val="top"/>
          </w:tcPr>
          <w:p w14:paraId="04CAE99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5</w:t>
            </w:r>
            <w:r>
              <w:rPr>
                <w:rFonts w:hint="eastAsia" w:ascii="仿宋" w:hAnsi="仿宋" w:eastAsia="仿宋" w:cs="仿宋"/>
                <w:b w:val="0"/>
                <w:bCs w:val="0"/>
                <w:sz w:val="28"/>
                <w:szCs w:val="28"/>
                <w:highlight w:val="none"/>
                <w:vertAlign w:val="baseline"/>
                <w:lang w:val="en-US" w:eastAsia="en-US"/>
              </w:rPr>
              <w:t>kg干粉灭火器</w:t>
            </w:r>
          </w:p>
        </w:tc>
        <w:tc>
          <w:tcPr>
            <w:tcW w:w="1104" w:type="dxa"/>
            <w:tcBorders>
              <w:top w:val="single" w:color="auto" w:sz="4" w:space="0"/>
              <w:bottom w:val="single" w:color="auto" w:sz="4" w:space="0"/>
            </w:tcBorders>
            <w:noWrap w:val="0"/>
            <w:vAlign w:val="top"/>
          </w:tcPr>
          <w:p w14:paraId="4684A4B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tcBorders>
              <w:top w:val="single" w:color="auto" w:sz="4" w:space="0"/>
              <w:bottom w:val="single" w:color="auto" w:sz="4" w:space="0"/>
            </w:tcBorders>
            <w:noWrap w:val="0"/>
            <w:vAlign w:val="top"/>
          </w:tcPr>
          <w:p w14:paraId="4A28B5EE">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tcBorders>
              <w:top w:val="single" w:color="auto" w:sz="4" w:space="0"/>
              <w:bottom w:val="single" w:color="auto" w:sz="4" w:space="0"/>
            </w:tcBorders>
            <w:noWrap w:val="0"/>
            <w:vAlign w:val="top"/>
          </w:tcPr>
          <w:p w14:paraId="681FA46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13</w:t>
            </w:r>
            <w:r>
              <w:rPr>
                <w:rFonts w:hint="eastAsia" w:ascii="仿宋" w:hAnsi="仿宋" w:eastAsia="仿宋" w:cs="仿宋"/>
                <w:b w:val="0"/>
                <w:bCs w:val="0"/>
                <w:sz w:val="28"/>
                <w:szCs w:val="28"/>
                <w:highlight w:val="none"/>
                <w:vertAlign w:val="baseline"/>
                <w:lang w:val="en-US" w:eastAsia="en-US"/>
              </w:rPr>
              <w:t>个</w:t>
            </w:r>
          </w:p>
        </w:tc>
        <w:tc>
          <w:tcPr>
            <w:tcW w:w="756" w:type="dxa"/>
            <w:tcBorders>
              <w:top w:val="single" w:color="auto" w:sz="4" w:space="0"/>
              <w:bottom w:val="single" w:color="auto" w:sz="4" w:space="0"/>
              <w:right w:val="single" w:color="auto" w:sz="4" w:space="0"/>
            </w:tcBorders>
            <w:noWrap w:val="0"/>
            <w:vAlign w:val="top"/>
          </w:tcPr>
          <w:p w14:paraId="6A2C0A4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vMerge w:val="restart"/>
            <w:tcBorders>
              <w:top w:val="single" w:color="auto" w:sz="4" w:space="0"/>
              <w:left w:val="single" w:color="auto" w:sz="4" w:space="0"/>
              <w:bottom w:val="single" w:color="auto" w:sz="4" w:space="0"/>
              <w:right w:val="single" w:color="auto" w:sz="4" w:space="0"/>
            </w:tcBorders>
            <w:noWrap w:val="0"/>
            <w:vAlign w:val="top"/>
          </w:tcPr>
          <w:p w14:paraId="3F37CB99">
            <w:pPr>
              <w:numPr>
                <w:ilvl w:val="0"/>
                <w:numId w:val="0"/>
              </w:numPr>
              <w:jc w:val="center"/>
              <w:rPr>
                <w:rFonts w:hint="eastAsia" w:ascii="仿宋" w:hAnsi="仿宋" w:eastAsia="仿宋" w:cs="仿宋"/>
                <w:b w:val="0"/>
                <w:bCs w:val="0"/>
                <w:sz w:val="28"/>
                <w:szCs w:val="28"/>
                <w:highlight w:val="none"/>
                <w:vertAlign w:val="baseline"/>
                <w:lang w:val="en-US" w:eastAsia="en-US"/>
              </w:rPr>
            </w:pPr>
          </w:p>
          <w:p w14:paraId="3BF598A8">
            <w:pPr>
              <w:numPr>
                <w:ilvl w:val="0"/>
                <w:numId w:val="0"/>
              </w:numPr>
              <w:jc w:val="center"/>
              <w:rPr>
                <w:rFonts w:hint="eastAsia" w:ascii="仿宋" w:hAnsi="仿宋" w:eastAsia="仿宋" w:cs="仿宋"/>
                <w:b w:val="0"/>
                <w:bCs w:val="0"/>
                <w:sz w:val="28"/>
                <w:szCs w:val="28"/>
                <w:highlight w:val="none"/>
                <w:vertAlign w:val="baseline"/>
                <w:lang w:val="en-US" w:eastAsia="en-US"/>
              </w:rPr>
            </w:pPr>
          </w:p>
          <w:p w14:paraId="79AD7E8A">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消防灭火</w:t>
            </w:r>
          </w:p>
        </w:tc>
        <w:tc>
          <w:tcPr>
            <w:tcW w:w="1436" w:type="dxa"/>
            <w:tcBorders>
              <w:top w:val="single" w:color="auto" w:sz="4" w:space="0"/>
              <w:left w:val="single" w:color="auto" w:sz="4" w:space="0"/>
              <w:bottom w:val="single" w:color="auto" w:sz="4" w:space="0"/>
              <w:right w:val="single" w:color="auto" w:sz="4" w:space="0"/>
            </w:tcBorders>
            <w:noWrap w:val="0"/>
            <w:vAlign w:val="top"/>
          </w:tcPr>
          <w:p w14:paraId="1A4A2F23">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位于加油区，营业厅、油罐区</w:t>
            </w:r>
          </w:p>
        </w:tc>
      </w:tr>
      <w:tr w14:paraId="0F013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dxa"/>
            <w:tcBorders>
              <w:left w:val="single" w:color="000000" w:sz="10" w:space="0"/>
            </w:tcBorders>
            <w:noWrap w:val="0"/>
            <w:vAlign w:val="center"/>
          </w:tcPr>
          <w:p w14:paraId="3638FF0C">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2.</w:t>
            </w:r>
          </w:p>
        </w:tc>
        <w:tc>
          <w:tcPr>
            <w:tcW w:w="1549" w:type="dxa"/>
            <w:tcBorders>
              <w:top w:val="single" w:color="auto" w:sz="4" w:space="0"/>
            </w:tcBorders>
            <w:noWrap w:val="0"/>
            <w:vAlign w:val="top"/>
          </w:tcPr>
          <w:p w14:paraId="7C9BA1A2">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消防掀</w:t>
            </w:r>
          </w:p>
        </w:tc>
        <w:tc>
          <w:tcPr>
            <w:tcW w:w="1104" w:type="dxa"/>
            <w:tcBorders>
              <w:top w:val="single" w:color="auto" w:sz="4" w:space="0"/>
            </w:tcBorders>
            <w:noWrap w:val="0"/>
            <w:vAlign w:val="top"/>
          </w:tcPr>
          <w:p w14:paraId="6C527AF1">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tcBorders>
              <w:top w:val="single" w:color="auto" w:sz="4" w:space="0"/>
            </w:tcBorders>
            <w:noWrap w:val="0"/>
            <w:vAlign w:val="top"/>
          </w:tcPr>
          <w:p w14:paraId="54551FD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tcBorders>
              <w:top w:val="single" w:color="auto" w:sz="4" w:space="0"/>
            </w:tcBorders>
            <w:noWrap w:val="0"/>
            <w:vAlign w:val="top"/>
          </w:tcPr>
          <w:p w14:paraId="6A05C60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4</w:t>
            </w:r>
            <w:r>
              <w:rPr>
                <w:rFonts w:hint="eastAsia" w:ascii="仿宋" w:hAnsi="仿宋" w:eastAsia="仿宋" w:cs="仿宋"/>
                <w:b w:val="0"/>
                <w:bCs w:val="0"/>
                <w:sz w:val="28"/>
                <w:szCs w:val="28"/>
                <w:highlight w:val="none"/>
                <w:vertAlign w:val="baseline"/>
                <w:lang w:val="en-US" w:eastAsia="en-US"/>
              </w:rPr>
              <w:t>把</w:t>
            </w:r>
          </w:p>
        </w:tc>
        <w:tc>
          <w:tcPr>
            <w:tcW w:w="756" w:type="dxa"/>
            <w:tcBorders>
              <w:top w:val="single" w:color="auto" w:sz="4" w:space="0"/>
              <w:right w:val="single" w:color="auto" w:sz="4" w:space="0"/>
            </w:tcBorders>
            <w:noWrap w:val="0"/>
            <w:vAlign w:val="top"/>
          </w:tcPr>
          <w:p w14:paraId="4F53A44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vMerge w:val="continue"/>
            <w:tcBorders>
              <w:top w:val="single" w:color="auto" w:sz="4" w:space="0"/>
              <w:left w:val="single" w:color="auto" w:sz="4" w:space="0"/>
              <w:bottom w:val="single" w:color="auto" w:sz="4" w:space="0"/>
              <w:right w:val="single" w:color="auto" w:sz="4" w:space="0"/>
            </w:tcBorders>
            <w:noWrap w:val="0"/>
            <w:vAlign w:val="top"/>
          </w:tcPr>
          <w:p w14:paraId="7152C0C1">
            <w:pPr>
              <w:numPr>
                <w:ilvl w:val="0"/>
                <w:numId w:val="0"/>
              </w:numPr>
              <w:jc w:val="center"/>
              <w:rPr>
                <w:rFonts w:hint="eastAsia" w:ascii="仿宋" w:hAnsi="仿宋" w:eastAsia="仿宋" w:cs="仿宋"/>
                <w:b w:val="0"/>
                <w:bCs w:val="0"/>
                <w:sz w:val="28"/>
                <w:szCs w:val="28"/>
                <w:highlight w:val="none"/>
                <w:vertAlign w:val="baseline"/>
                <w:lang w:val="en-US" w:eastAsia="en-US"/>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81ACDC5">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4B06D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dxa"/>
            <w:tcBorders>
              <w:left w:val="single" w:color="000000" w:sz="10" w:space="0"/>
            </w:tcBorders>
            <w:noWrap w:val="0"/>
            <w:vAlign w:val="center"/>
          </w:tcPr>
          <w:p w14:paraId="75F0C5D8">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3.</w:t>
            </w:r>
          </w:p>
        </w:tc>
        <w:tc>
          <w:tcPr>
            <w:tcW w:w="1549" w:type="dxa"/>
            <w:noWrap w:val="0"/>
            <w:vAlign w:val="top"/>
          </w:tcPr>
          <w:p w14:paraId="4A39FE2C">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消防沙</w:t>
            </w:r>
          </w:p>
        </w:tc>
        <w:tc>
          <w:tcPr>
            <w:tcW w:w="1104" w:type="dxa"/>
            <w:noWrap w:val="0"/>
            <w:vAlign w:val="top"/>
          </w:tcPr>
          <w:p w14:paraId="2301D27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1BF5AC6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09671DCC">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2m</w:t>
            </w:r>
            <w:r>
              <w:rPr>
                <w:rFonts w:hint="eastAsia" w:ascii="仿宋" w:hAnsi="仿宋" w:eastAsia="仿宋" w:cs="仿宋"/>
                <w:b w:val="0"/>
                <w:bCs w:val="0"/>
                <w:sz w:val="28"/>
                <w:szCs w:val="28"/>
                <w:vertAlign w:val="superscript"/>
                <w:lang w:val="en-US" w:eastAsia="zh-CN"/>
              </w:rPr>
              <w:t>3</w:t>
            </w:r>
          </w:p>
        </w:tc>
        <w:tc>
          <w:tcPr>
            <w:tcW w:w="756" w:type="dxa"/>
            <w:tcBorders>
              <w:right w:val="single" w:color="auto" w:sz="4" w:space="0"/>
            </w:tcBorders>
            <w:noWrap w:val="0"/>
            <w:vAlign w:val="top"/>
          </w:tcPr>
          <w:p w14:paraId="5BA68224">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vMerge w:val="continue"/>
            <w:tcBorders>
              <w:top w:val="single" w:color="auto" w:sz="4" w:space="0"/>
              <w:left w:val="single" w:color="auto" w:sz="4" w:space="0"/>
              <w:bottom w:val="single" w:color="auto" w:sz="4" w:space="0"/>
              <w:right w:val="single" w:color="auto" w:sz="4" w:space="0"/>
            </w:tcBorders>
            <w:noWrap w:val="0"/>
            <w:vAlign w:val="top"/>
          </w:tcPr>
          <w:p w14:paraId="74D3E645">
            <w:pPr>
              <w:numPr>
                <w:ilvl w:val="0"/>
                <w:numId w:val="0"/>
              </w:numPr>
              <w:jc w:val="center"/>
              <w:rPr>
                <w:rFonts w:hint="eastAsia" w:ascii="仿宋" w:hAnsi="仿宋" w:eastAsia="仿宋" w:cs="仿宋"/>
                <w:b w:val="0"/>
                <w:bCs w:val="0"/>
                <w:sz w:val="28"/>
                <w:szCs w:val="28"/>
                <w:highlight w:val="none"/>
                <w:vertAlign w:val="baseline"/>
                <w:lang w:val="en-US" w:eastAsia="en-US"/>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45B5BEBA">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41B5C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78" w:type="dxa"/>
            <w:tcBorders>
              <w:left w:val="single" w:color="000000" w:sz="10" w:space="0"/>
            </w:tcBorders>
            <w:noWrap w:val="0"/>
            <w:vAlign w:val="center"/>
          </w:tcPr>
          <w:p w14:paraId="41EBF7D8">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4.</w:t>
            </w:r>
          </w:p>
        </w:tc>
        <w:tc>
          <w:tcPr>
            <w:tcW w:w="1549" w:type="dxa"/>
            <w:noWrap w:val="0"/>
            <w:vAlign w:val="top"/>
          </w:tcPr>
          <w:p w14:paraId="338D8874">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吸油毡</w:t>
            </w:r>
          </w:p>
        </w:tc>
        <w:tc>
          <w:tcPr>
            <w:tcW w:w="1104" w:type="dxa"/>
            <w:noWrap w:val="0"/>
            <w:vAlign w:val="top"/>
          </w:tcPr>
          <w:p w14:paraId="66327CDB">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54A865F2">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69A2C8A4">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50片</w:t>
            </w:r>
          </w:p>
        </w:tc>
        <w:tc>
          <w:tcPr>
            <w:tcW w:w="756" w:type="dxa"/>
            <w:tcBorders>
              <w:right w:val="single" w:color="auto" w:sz="4" w:space="0"/>
            </w:tcBorders>
            <w:noWrap w:val="0"/>
            <w:vAlign w:val="top"/>
          </w:tcPr>
          <w:p w14:paraId="51A1A7F9">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vMerge w:val="continue"/>
            <w:tcBorders>
              <w:top w:val="single" w:color="auto" w:sz="4" w:space="0"/>
              <w:left w:val="single" w:color="auto" w:sz="4" w:space="0"/>
              <w:bottom w:val="single" w:color="auto" w:sz="4" w:space="0"/>
              <w:right w:val="single" w:color="auto" w:sz="4" w:space="0"/>
            </w:tcBorders>
            <w:noWrap w:val="0"/>
            <w:vAlign w:val="top"/>
          </w:tcPr>
          <w:p w14:paraId="32ED3AD2">
            <w:pPr>
              <w:numPr>
                <w:ilvl w:val="0"/>
                <w:numId w:val="0"/>
              </w:numPr>
              <w:jc w:val="center"/>
              <w:rPr>
                <w:rFonts w:hint="eastAsia" w:ascii="仿宋" w:hAnsi="仿宋" w:eastAsia="仿宋" w:cs="仿宋"/>
                <w:b w:val="0"/>
                <w:bCs w:val="0"/>
                <w:sz w:val="28"/>
                <w:szCs w:val="28"/>
                <w:highlight w:val="none"/>
                <w:vertAlign w:val="baseline"/>
                <w:lang w:val="en-US" w:eastAsia="en-US"/>
              </w:rPr>
            </w:pPr>
          </w:p>
        </w:tc>
        <w:tc>
          <w:tcPr>
            <w:tcW w:w="1436" w:type="dxa"/>
            <w:tcBorders>
              <w:top w:val="single" w:color="auto" w:sz="4" w:space="0"/>
              <w:left w:val="single" w:color="auto" w:sz="4" w:space="0"/>
              <w:bottom w:val="single" w:color="auto" w:sz="4" w:space="0"/>
              <w:right w:val="single" w:color="auto" w:sz="4" w:space="0"/>
            </w:tcBorders>
            <w:noWrap w:val="0"/>
            <w:vAlign w:val="top"/>
          </w:tcPr>
          <w:p w14:paraId="13954045">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0CB73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dxa"/>
            <w:tcBorders>
              <w:left w:val="single" w:color="000000" w:sz="10" w:space="0"/>
            </w:tcBorders>
            <w:noWrap w:val="0"/>
            <w:vAlign w:val="center"/>
          </w:tcPr>
          <w:p w14:paraId="3A72538B">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5.</w:t>
            </w:r>
          </w:p>
        </w:tc>
        <w:tc>
          <w:tcPr>
            <w:tcW w:w="1549" w:type="dxa"/>
            <w:noWrap w:val="0"/>
            <w:vAlign w:val="top"/>
          </w:tcPr>
          <w:p w14:paraId="5E1CAD0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灭火毯</w:t>
            </w:r>
          </w:p>
        </w:tc>
        <w:tc>
          <w:tcPr>
            <w:tcW w:w="1104" w:type="dxa"/>
            <w:noWrap w:val="0"/>
            <w:vAlign w:val="top"/>
          </w:tcPr>
          <w:p w14:paraId="02D68C2A">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1613E79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431A014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6</w:t>
            </w:r>
            <w:r>
              <w:rPr>
                <w:rFonts w:hint="eastAsia" w:ascii="仿宋" w:hAnsi="仿宋" w:eastAsia="仿宋" w:cs="仿宋"/>
                <w:b w:val="0"/>
                <w:bCs w:val="0"/>
                <w:sz w:val="28"/>
                <w:szCs w:val="28"/>
                <w:highlight w:val="none"/>
                <w:vertAlign w:val="baseline"/>
                <w:lang w:val="en-US" w:eastAsia="en-US"/>
              </w:rPr>
              <w:t>张</w:t>
            </w:r>
          </w:p>
        </w:tc>
        <w:tc>
          <w:tcPr>
            <w:tcW w:w="756" w:type="dxa"/>
            <w:tcBorders>
              <w:right w:val="single" w:color="auto" w:sz="4" w:space="0"/>
            </w:tcBorders>
            <w:noWrap w:val="0"/>
            <w:vAlign w:val="top"/>
          </w:tcPr>
          <w:p w14:paraId="626C264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vMerge w:val="continue"/>
            <w:tcBorders>
              <w:top w:val="single" w:color="auto" w:sz="4" w:space="0"/>
              <w:left w:val="single" w:color="auto" w:sz="4" w:space="0"/>
              <w:right w:val="single" w:color="auto" w:sz="4" w:space="0"/>
            </w:tcBorders>
            <w:noWrap w:val="0"/>
            <w:vAlign w:val="top"/>
          </w:tcPr>
          <w:p w14:paraId="70EDA42A">
            <w:pPr>
              <w:numPr>
                <w:ilvl w:val="0"/>
                <w:numId w:val="0"/>
              </w:numPr>
              <w:jc w:val="center"/>
              <w:rPr>
                <w:rFonts w:hint="eastAsia" w:ascii="仿宋" w:hAnsi="仿宋" w:eastAsia="仿宋" w:cs="仿宋"/>
                <w:b w:val="0"/>
                <w:bCs w:val="0"/>
                <w:sz w:val="28"/>
                <w:szCs w:val="28"/>
                <w:highlight w:val="none"/>
                <w:vertAlign w:val="baseline"/>
                <w:lang w:val="en-US" w:eastAsia="en-US"/>
              </w:rPr>
            </w:pPr>
          </w:p>
        </w:tc>
        <w:tc>
          <w:tcPr>
            <w:tcW w:w="1436" w:type="dxa"/>
            <w:tcBorders>
              <w:top w:val="single" w:color="auto" w:sz="4" w:space="0"/>
              <w:left w:val="single" w:color="auto" w:sz="4" w:space="0"/>
              <w:right w:val="single" w:color="000000" w:sz="10" w:space="0"/>
            </w:tcBorders>
            <w:noWrap w:val="0"/>
            <w:vAlign w:val="top"/>
          </w:tcPr>
          <w:p w14:paraId="289BB86A">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6C24F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8" w:type="dxa"/>
            <w:tcBorders>
              <w:left w:val="single" w:color="000000" w:sz="10" w:space="0"/>
            </w:tcBorders>
            <w:noWrap w:val="0"/>
            <w:vAlign w:val="center"/>
          </w:tcPr>
          <w:p w14:paraId="445270B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6</w:t>
            </w:r>
            <w:r>
              <w:rPr>
                <w:rFonts w:hint="eastAsia" w:ascii="仿宋" w:hAnsi="仿宋" w:eastAsia="仿宋" w:cs="仿宋"/>
                <w:b w:val="0"/>
                <w:bCs w:val="0"/>
                <w:sz w:val="28"/>
                <w:szCs w:val="28"/>
                <w:highlight w:val="none"/>
                <w:vertAlign w:val="baseline"/>
                <w:lang w:val="en-US" w:eastAsia="en-US"/>
              </w:rPr>
              <w:t>.</w:t>
            </w:r>
          </w:p>
        </w:tc>
        <w:tc>
          <w:tcPr>
            <w:tcW w:w="1549" w:type="dxa"/>
            <w:noWrap w:val="0"/>
            <w:vAlign w:val="top"/>
          </w:tcPr>
          <w:p w14:paraId="26541EF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消防沙袋</w:t>
            </w:r>
          </w:p>
        </w:tc>
        <w:tc>
          <w:tcPr>
            <w:tcW w:w="1104" w:type="dxa"/>
            <w:noWrap w:val="0"/>
            <w:vAlign w:val="top"/>
          </w:tcPr>
          <w:p w14:paraId="0E8D7614">
            <w:pPr>
              <w:numPr>
                <w:ilvl w:val="0"/>
                <w:numId w:val="0"/>
              </w:numPr>
              <w:jc w:val="center"/>
              <w:rPr>
                <w:rFonts w:hint="eastAsia" w:ascii="仿宋" w:hAnsi="仿宋" w:eastAsia="仿宋" w:cs="仿宋"/>
                <w:b w:val="0"/>
                <w:bCs w:val="0"/>
                <w:sz w:val="28"/>
                <w:szCs w:val="28"/>
                <w:highlight w:val="none"/>
                <w:vertAlign w:val="baseline"/>
                <w:lang w:val="en-US" w:eastAsia="en-US"/>
              </w:rPr>
            </w:pPr>
          </w:p>
        </w:tc>
        <w:tc>
          <w:tcPr>
            <w:tcW w:w="1026" w:type="dxa"/>
            <w:noWrap w:val="0"/>
            <w:vAlign w:val="top"/>
          </w:tcPr>
          <w:p w14:paraId="0BA3A4BC">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78145EB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10</w:t>
            </w:r>
            <w:r>
              <w:rPr>
                <w:rFonts w:hint="eastAsia" w:ascii="仿宋" w:hAnsi="仿宋" w:eastAsia="仿宋" w:cs="仿宋"/>
                <w:b w:val="0"/>
                <w:bCs w:val="0"/>
                <w:sz w:val="28"/>
                <w:szCs w:val="28"/>
                <w:highlight w:val="none"/>
                <w:vertAlign w:val="baseline"/>
                <w:lang w:val="en-US" w:eastAsia="en-US"/>
              </w:rPr>
              <w:t>个</w:t>
            </w:r>
          </w:p>
        </w:tc>
        <w:tc>
          <w:tcPr>
            <w:tcW w:w="756" w:type="dxa"/>
            <w:noWrap w:val="0"/>
            <w:vAlign w:val="top"/>
          </w:tcPr>
          <w:p w14:paraId="6291FD18">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top"/>
          </w:tcPr>
          <w:p w14:paraId="0CA6F04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截留消防废</w:t>
            </w:r>
          </w:p>
          <w:p w14:paraId="7EC9280E">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水</w:t>
            </w:r>
          </w:p>
        </w:tc>
        <w:tc>
          <w:tcPr>
            <w:tcW w:w="1436" w:type="dxa"/>
            <w:tcBorders>
              <w:right w:val="single" w:color="000000" w:sz="10" w:space="0"/>
            </w:tcBorders>
            <w:noWrap w:val="0"/>
            <w:vAlign w:val="top"/>
          </w:tcPr>
          <w:p w14:paraId="2CA000A2">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06FB4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78" w:type="dxa"/>
            <w:tcBorders>
              <w:left w:val="single" w:color="000000" w:sz="10" w:space="0"/>
            </w:tcBorders>
            <w:noWrap w:val="0"/>
            <w:vAlign w:val="center"/>
          </w:tcPr>
          <w:p w14:paraId="4F94E81A">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7.</w:t>
            </w:r>
          </w:p>
        </w:tc>
        <w:tc>
          <w:tcPr>
            <w:tcW w:w="1549" w:type="dxa"/>
            <w:noWrap w:val="0"/>
            <w:vAlign w:val="top"/>
          </w:tcPr>
          <w:p w14:paraId="1C78CD4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35kg干粉灭火器</w:t>
            </w:r>
          </w:p>
        </w:tc>
        <w:tc>
          <w:tcPr>
            <w:tcW w:w="1104" w:type="dxa"/>
            <w:noWrap w:val="0"/>
            <w:vAlign w:val="top"/>
          </w:tcPr>
          <w:p w14:paraId="71C24BA7">
            <w:pPr>
              <w:numPr>
                <w:ilvl w:val="0"/>
                <w:numId w:val="0"/>
              </w:numPr>
              <w:jc w:val="center"/>
              <w:rPr>
                <w:rFonts w:hint="eastAsia" w:ascii="仿宋" w:hAnsi="仿宋" w:eastAsia="仿宋" w:cs="仿宋"/>
                <w:b w:val="0"/>
                <w:bCs w:val="0"/>
                <w:sz w:val="28"/>
                <w:szCs w:val="28"/>
                <w:highlight w:val="none"/>
                <w:vertAlign w:val="baseline"/>
                <w:lang w:val="en-US" w:eastAsia="en-US"/>
              </w:rPr>
            </w:pPr>
          </w:p>
          <w:p w14:paraId="2A8BDF84">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305F8372">
            <w:pPr>
              <w:numPr>
                <w:ilvl w:val="0"/>
                <w:numId w:val="0"/>
              </w:numPr>
              <w:jc w:val="center"/>
              <w:rPr>
                <w:rFonts w:hint="eastAsia" w:ascii="仿宋" w:hAnsi="仿宋" w:eastAsia="仿宋" w:cs="仿宋"/>
                <w:b w:val="0"/>
                <w:bCs w:val="0"/>
                <w:sz w:val="28"/>
                <w:szCs w:val="28"/>
                <w:highlight w:val="none"/>
                <w:vertAlign w:val="baseline"/>
                <w:lang w:val="en-US" w:eastAsia="en-US"/>
              </w:rPr>
            </w:pPr>
          </w:p>
          <w:p w14:paraId="349B8869">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4A5FEC31">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2个</w:t>
            </w:r>
          </w:p>
        </w:tc>
        <w:tc>
          <w:tcPr>
            <w:tcW w:w="756" w:type="dxa"/>
            <w:noWrap w:val="0"/>
            <w:vAlign w:val="top"/>
          </w:tcPr>
          <w:p w14:paraId="7FABDCA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top"/>
          </w:tcPr>
          <w:p w14:paraId="75D1355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消防灭火</w:t>
            </w:r>
          </w:p>
        </w:tc>
        <w:tc>
          <w:tcPr>
            <w:tcW w:w="1436" w:type="dxa"/>
            <w:tcBorders>
              <w:right w:val="single" w:color="000000" w:sz="10" w:space="0"/>
            </w:tcBorders>
            <w:noWrap w:val="0"/>
            <w:vAlign w:val="top"/>
          </w:tcPr>
          <w:p w14:paraId="1FC32B10">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395A6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dxa"/>
            <w:tcBorders>
              <w:left w:val="single" w:color="000000" w:sz="10" w:space="0"/>
            </w:tcBorders>
            <w:noWrap w:val="0"/>
            <w:vAlign w:val="center"/>
          </w:tcPr>
          <w:p w14:paraId="614B475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8.</w:t>
            </w:r>
          </w:p>
        </w:tc>
        <w:tc>
          <w:tcPr>
            <w:tcW w:w="1549" w:type="dxa"/>
            <w:noWrap w:val="0"/>
            <w:vAlign w:val="top"/>
          </w:tcPr>
          <w:p w14:paraId="0347162B">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应急灯</w:t>
            </w:r>
          </w:p>
        </w:tc>
        <w:tc>
          <w:tcPr>
            <w:tcW w:w="1104" w:type="dxa"/>
            <w:noWrap w:val="0"/>
            <w:vAlign w:val="top"/>
          </w:tcPr>
          <w:p w14:paraId="20B2DC4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772C567F">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1105BD05">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7</w:t>
            </w:r>
            <w:r>
              <w:rPr>
                <w:rFonts w:hint="eastAsia" w:ascii="仿宋" w:hAnsi="仿宋" w:eastAsia="仿宋" w:cs="仿宋"/>
                <w:b w:val="0"/>
                <w:bCs w:val="0"/>
                <w:sz w:val="28"/>
                <w:szCs w:val="28"/>
                <w:highlight w:val="none"/>
                <w:vertAlign w:val="baseline"/>
                <w:lang w:val="en-US" w:eastAsia="en-US"/>
              </w:rPr>
              <w:t>个</w:t>
            </w:r>
          </w:p>
        </w:tc>
        <w:tc>
          <w:tcPr>
            <w:tcW w:w="756" w:type="dxa"/>
            <w:noWrap w:val="0"/>
            <w:vAlign w:val="top"/>
          </w:tcPr>
          <w:p w14:paraId="0A69491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top"/>
          </w:tcPr>
          <w:p w14:paraId="7EAED15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紧急照明</w:t>
            </w:r>
          </w:p>
        </w:tc>
        <w:tc>
          <w:tcPr>
            <w:tcW w:w="1436" w:type="dxa"/>
            <w:tcBorders>
              <w:right w:val="single" w:color="000000" w:sz="10" w:space="0"/>
            </w:tcBorders>
            <w:noWrap w:val="0"/>
            <w:vAlign w:val="top"/>
          </w:tcPr>
          <w:p w14:paraId="72C51BF1">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罩棚、营业厅、配电间</w:t>
            </w:r>
          </w:p>
        </w:tc>
      </w:tr>
      <w:tr w14:paraId="669C6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78" w:type="dxa"/>
            <w:tcBorders>
              <w:left w:val="single" w:color="000000" w:sz="10" w:space="0"/>
            </w:tcBorders>
            <w:noWrap w:val="0"/>
            <w:vAlign w:val="center"/>
          </w:tcPr>
          <w:p w14:paraId="1778CBC3">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9.</w:t>
            </w:r>
          </w:p>
        </w:tc>
        <w:tc>
          <w:tcPr>
            <w:tcW w:w="1549" w:type="dxa"/>
            <w:noWrap w:val="0"/>
            <w:vAlign w:val="top"/>
          </w:tcPr>
          <w:p w14:paraId="16AAAD4A">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Ups应急电源</w:t>
            </w:r>
          </w:p>
        </w:tc>
        <w:tc>
          <w:tcPr>
            <w:tcW w:w="1104" w:type="dxa"/>
            <w:noWrap w:val="0"/>
            <w:vAlign w:val="top"/>
          </w:tcPr>
          <w:p w14:paraId="674E1B1C">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3DA089D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1749A1E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3</w:t>
            </w:r>
            <w:r>
              <w:rPr>
                <w:rFonts w:hint="eastAsia" w:ascii="仿宋" w:hAnsi="仿宋" w:eastAsia="仿宋" w:cs="仿宋"/>
                <w:b w:val="0"/>
                <w:bCs w:val="0"/>
                <w:sz w:val="28"/>
                <w:szCs w:val="28"/>
                <w:highlight w:val="none"/>
                <w:vertAlign w:val="baseline"/>
                <w:lang w:val="en-US" w:eastAsia="en-US"/>
              </w:rPr>
              <w:t>个</w:t>
            </w:r>
          </w:p>
        </w:tc>
        <w:tc>
          <w:tcPr>
            <w:tcW w:w="756" w:type="dxa"/>
            <w:noWrap w:val="0"/>
            <w:vAlign w:val="top"/>
          </w:tcPr>
          <w:p w14:paraId="0A3CB42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top"/>
          </w:tcPr>
          <w:p w14:paraId="7D0681B8">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紧急供电</w:t>
            </w:r>
          </w:p>
        </w:tc>
        <w:tc>
          <w:tcPr>
            <w:tcW w:w="1436" w:type="dxa"/>
            <w:tcBorders>
              <w:right w:val="single" w:color="000000" w:sz="10" w:space="0"/>
            </w:tcBorders>
            <w:noWrap w:val="0"/>
            <w:vAlign w:val="top"/>
          </w:tcPr>
          <w:p w14:paraId="28F27D60">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72000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dxa"/>
            <w:tcBorders>
              <w:left w:val="single" w:color="000000" w:sz="10" w:space="0"/>
            </w:tcBorders>
            <w:noWrap w:val="0"/>
            <w:vAlign w:val="center"/>
          </w:tcPr>
          <w:p w14:paraId="1CD431A4">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10.</w:t>
            </w:r>
          </w:p>
        </w:tc>
        <w:tc>
          <w:tcPr>
            <w:tcW w:w="1549" w:type="dxa"/>
            <w:noWrap w:val="0"/>
            <w:vAlign w:val="top"/>
          </w:tcPr>
          <w:p w14:paraId="103A72B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警示标识</w:t>
            </w:r>
          </w:p>
        </w:tc>
        <w:tc>
          <w:tcPr>
            <w:tcW w:w="1104" w:type="dxa"/>
            <w:noWrap w:val="0"/>
            <w:vAlign w:val="top"/>
          </w:tcPr>
          <w:p w14:paraId="6C06F34C">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491A693E">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51986E75">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若干</w:t>
            </w:r>
          </w:p>
        </w:tc>
        <w:tc>
          <w:tcPr>
            <w:tcW w:w="756" w:type="dxa"/>
            <w:noWrap w:val="0"/>
            <w:vAlign w:val="top"/>
          </w:tcPr>
          <w:p w14:paraId="76DA80BF">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top"/>
          </w:tcPr>
          <w:p w14:paraId="5E3D75E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提示</w:t>
            </w:r>
          </w:p>
        </w:tc>
        <w:tc>
          <w:tcPr>
            <w:tcW w:w="1436" w:type="dxa"/>
            <w:tcBorders>
              <w:right w:val="single" w:color="000000" w:sz="10" w:space="0"/>
            </w:tcBorders>
            <w:noWrap w:val="0"/>
            <w:vAlign w:val="top"/>
          </w:tcPr>
          <w:p w14:paraId="18163197">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6740B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dxa"/>
            <w:tcBorders>
              <w:left w:val="single" w:color="000000" w:sz="10" w:space="0"/>
            </w:tcBorders>
            <w:noWrap w:val="0"/>
            <w:vAlign w:val="center"/>
          </w:tcPr>
          <w:p w14:paraId="315D72D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11.</w:t>
            </w:r>
          </w:p>
        </w:tc>
        <w:tc>
          <w:tcPr>
            <w:tcW w:w="1549" w:type="dxa"/>
            <w:noWrap w:val="0"/>
            <w:vAlign w:val="top"/>
          </w:tcPr>
          <w:p w14:paraId="30249D1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液位报警仪</w:t>
            </w:r>
          </w:p>
        </w:tc>
        <w:tc>
          <w:tcPr>
            <w:tcW w:w="1104" w:type="dxa"/>
            <w:noWrap w:val="0"/>
            <w:vAlign w:val="top"/>
          </w:tcPr>
          <w:p w14:paraId="68890A21">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31EEED73">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5990BC7C">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1</w:t>
            </w:r>
            <w:r>
              <w:rPr>
                <w:rFonts w:hint="eastAsia" w:ascii="仿宋" w:hAnsi="仿宋" w:eastAsia="仿宋" w:cs="仿宋"/>
                <w:b w:val="0"/>
                <w:bCs w:val="0"/>
                <w:sz w:val="28"/>
                <w:szCs w:val="28"/>
                <w:highlight w:val="none"/>
                <w:vertAlign w:val="baseline"/>
                <w:lang w:val="en-US" w:eastAsia="en-US"/>
              </w:rPr>
              <w:t>个</w:t>
            </w:r>
          </w:p>
        </w:tc>
        <w:tc>
          <w:tcPr>
            <w:tcW w:w="756" w:type="dxa"/>
            <w:noWrap w:val="0"/>
            <w:vAlign w:val="top"/>
          </w:tcPr>
          <w:p w14:paraId="13FCB2E8">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vMerge w:val="restart"/>
            <w:tcBorders>
              <w:bottom w:val="nil"/>
            </w:tcBorders>
            <w:noWrap w:val="0"/>
            <w:vAlign w:val="top"/>
          </w:tcPr>
          <w:p w14:paraId="372FF059">
            <w:pPr>
              <w:numPr>
                <w:ilvl w:val="0"/>
                <w:numId w:val="0"/>
              </w:numPr>
              <w:jc w:val="center"/>
              <w:rPr>
                <w:rFonts w:hint="eastAsia" w:ascii="仿宋" w:hAnsi="仿宋" w:eastAsia="仿宋" w:cs="仿宋"/>
                <w:b w:val="0"/>
                <w:bCs w:val="0"/>
                <w:sz w:val="28"/>
                <w:szCs w:val="28"/>
                <w:highlight w:val="none"/>
                <w:vertAlign w:val="baseline"/>
                <w:lang w:val="en-US" w:eastAsia="en-US"/>
              </w:rPr>
            </w:pPr>
          </w:p>
          <w:p w14:paraId="22A020F5">
            <w:pPr>
              <w:numPr>
                <w:ilvl w:val="0"/>
                <w:numId w:val="0"/>
              </w:numPr>
              <w:jc w:val="center"/>
              <w:rPr>
                <w:rFonts w:hint="eastAsia" w:ascii="仿宋" w:hAnsi="仿宋" w:eastAsia="仿宋" w:cs="仿宋"/>
                <w:b w:val="0"/>
                <w:bCs w:val="0"/>
                <w:sz w:val="28"/>
                <w:szCs w:val="28"/>
                <w:highlight w:val="none"/>
                <w:vertAlign w:val="baseline"/>
                <w:lang w:val="en-US" w:eastAsia="en-US"/>
              </w:rPr>
            </w:pPr>
          </w:p>
          <w:p w14:paraId="1741A5BF">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预警</w:t>
            </w:r>
          </w:p>
        </w:tc>
        <w:tc>
          <w:tcPr>
            <w:tcW w:w="1436" w:type="dxa"/>
            <w:tcBorders>
              <w:right w:val="single" w:color="000000" w:sz="10" w:space="0"/>
            </w:tcBorders>
            <w:noWrap w:val="0"/>
            <w:vAlign w:val="top"/>
          </w:tcPr>
          <w:p w14:paraId="20D5F5D1">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0370E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dxa"/>
            <w:tcBorders>
              <w:left w:val="single" w:color="000000" w:sz="10" w:space="0"/>
            </w:tcBorders>
            <w:noWrap w:val="0"/>
            <w:vAlign w:val="center"/>
          </w:tcPr>
          <w:p w14:paraId="756110E4">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w:t>
            </w:r>
            <w:r>
              <w:rPr>
                <w:rFonts w:hint="eastAsia" w:ascii="仿宋" w:hAnsi="仿宋" w:eastAsia="仿宋" w:cs="仿宋"/>
                <w:b w:val="0"/>
                <w:bCs w:val="0"/>
                <w:sz w:val="28"/>
                <w:szCs w:val="28"/>
                <w:highlight w:val="none"/>
                <w:vertAlign w:val="baseline"/>
                <w:lang w:val="en-US" w:eastAsia="zh-CN"/>
              </w:rPr>
              <w:t>2</w:t>
            </w:r>
            <w:r>
              <w:rPr>
                <w:rFonts w:hint="eastAsia" w:ascii="仿宋" w:hAnsi="仿宋" w:eastAsia="仿宋" w:cs="仿宋"/>
                <w:b w:val="0"/>
                <w:bCs w:val="0"/>
                <w:sz w:val="28"/>
                <w:szCs w:val="28"/>
                <w:highlight w:val="none"/>
                <w:vertAlign w:val="baseline"/>
                <w:lang w:val="en-US" w:eastAsia="en-US"/>
              </w:rPr>
              <w:t>.</w:t>
            </w:r>
          </w:p>
        </w:tc>
        <w:tc>
          <w:tcPr>
            <w:tcW w:w="1549" w:type="dxa"/>
            <w:noWrap w:val="0"/>
            <w:vAlign w:val="top"/>
          </w:tcPr>
          <w:p w14:paraId="57F6738C">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静电接地仪</w:t>
            </w:r>
          </w:p>
        </w:tc>
        <w:tc>
          <w:tcPr>
            <w:tcW w:w="1104" w:type="dxa"/>
            <w:noWrap w:val="0"/>
            <w:vAlign w:val="top"/>
          </w:tcPr>
          <w:p w14:paraId="1885ACA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56ADFE0A">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6087DCF2">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1套</w:t>
            </w:r>
          </w:p>
        </w:tc>
        <w:tc>
          <w:tcPr>
            <w:tcW w:w="756" w:type="dxa"/>
            <w:noWrap w:val="0"/>
            <w:vAlign w:val="top"/>
          </w:tcPr>
          <w:p w14:paraId="4C4FCFA5">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vMerge w:val="continue"/>
            <w:tcBorders>
              <w:top w:val="nil"/>
              <w:bottom w:val="nil"/>
            </w:tcBorders>
            <w:noWrap w:val="0"/>
            <w:vAlign w:val="top"/>
          </w:tcPr>
          <w:p w14:paraId="6233541C">
            <w:pPr>
              <w:numPr>
                <w:ilvl w:val="0"/>
                <w:numId w:val="0"/>
              </w:numPr>
              <w:jc w:val="center"/>
              <w:rPr>
                <w:rFonts w:hint="eastAsia" w:ascii="仿宋" w:hAnsi="仿宋" w:eastAsia="仿宋" w:cs="仿宋"/>
                <w:b w:val="0"/>
                <w:bCs w:val="0"/>
                <w:sz w:val="28"/>
                <w:szCs w:val="28"/>
                <w:highlight w:val="none"/>
                <w:vertAlign w:val="baseline"/>
                <w:lang w:val="en-US" w:eastAsia="en-US"/>
              </w:rPr>
            </w:pPr>
          </w:p>
        </w:tc>
        <w:tc>
          <w:tcPr>
            <w:tcW w:w="1436" w:type="dxa"/>
            <w:tcBorders>
              <w:right w:val="single" w:color="000000" w:sz="10" w:space="0"/>
            </w:tcBorders>
            <w:noWrap w:val="0"/>
            <w:vAlign w:val="top"/>
          </w:tcPr>
          <w:p w14:paraId="76AB2F74">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3F957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78" w:type="dxa"/>
            <w:tcBorders>
              <w:left w:val="single" w:color="000000" w:sz="10" w:space="0"/>
            </w:tcBorders>
            <w:noWrap w:val="0"/>
            <w:vAlign w:val="center"/>
          </w:tcPr>
          <w:p w14:paraId="01D7EC0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13.</w:t>
            </w:r>
          </w:p>
        </w:tc>
        <w:tc>
          <w:tcPr>
            <w:tcW w:w="1549" w:type="dxa"/>
            <w:noWrap w:val="0"/>
            <w:vAlign w:val="top"/>
          </w:tcPr>
          <w:p w14:paraId="06ADF8AB">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双层管线检漏检测仪</w:t>
            </w:r>
          </w:p>
        </w:tc>
        <w:tc>
          <w:tcPr>
            <w:tcW w:w="1104" w:type="dxa"/>
            <w:noWrap w:val="0"/>
            <w:vAlign w:val="top"/>
          </w:tcPr>
          <w:p w14:paraId="7A4D6856">
            <w:pPr>
              <w:numPr>
                <w:ilvl w:val="0"/>
                <w:numId w:val="0"/>
              </w:numPr>
              <w:jc w:val="center"/>
              <w:rPr>
                <w:rFonts w:hint="eastAsia" w:ascii="仿宋" w:hAnsi="仿宋" w:eastAsia="仿宋" w:cs="仿宋"/>
                <w:b w:val="0"/>
                <w:bCs w:val="0"/>
                <w:sz w:val="28"/>
                <w:szCs w:val="28"/>
                <w:highlight w:val="none"/>
                <w:vertAlign w:val="baseline"/>
                <w:lang w:val="en-US" w:eastAsia="en-US"/>
              </w:rPr>
            </w:pPr>
          </w:p>
          <w:p w14:paraId="3FF2658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013F0029">
            <w:pPr>
              <w:numPr>
                <w:ilvl w:val="0"/>
                <w:numId w:val="0"/>
              </w:numPr>
              <w:jc w:val="center"/>
              <w:rPr>
                <w:rFonts w:hint="eastAsia" w:ascii="仿宋" w:hAnsi="仿宋" w:eastAsia="仿宋" w:cs="仿宋"/>
                <w:b w:val="0"/>
                <w:bCs w:val="0"/>
                <w:sz w:val="28"/>
                <w:szCs w:val="28"/>
                <w:highlight w:val="none"/>
                <w:vertAlign w:val="baseline"/>
                <w:lang w:val="en-US" w:eastAsia="en-US"/>
              </w:rPr>
            </w:pPr>
          </w:p>
          <w:p w14:paraId="6825754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68EC1DA9">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1套</w:t>
            </w:r>
          </w:p>
        </w:tc>
        <w:tc>
          <w:tcPr>
            <w:tcW w:w="756" w:type="dxa"/>
            <w:noWrap w:val="0"/>
            <w:vAlign w:val="top"/>
          </w:tcPr>
          <w:p w14:paraId="1BFEEC4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vMerge w:val="continue"/>
            <w:tcBorders>
              <w:top w:val="nil"/>
              <w:bottom w:val="nil"/>
            </w:tcBorders>
            <w:noWrap w:val="0"/>
            <w:vAlign w:val="top"/>
          </w:tcPr>
          <w:p w14:paraId="124F50AF">
            <w:pPr>
              <w:numPr>
                <w:ilvl w:val="0"/>
                <w:numId w:val="0"/>
              </w:numPr>
              <w:jc w:val="center"/>
              <w:rPr>
                <w:rFonts w:hint="eastAsia" w:ascii="仿宋" w:hAnsi="仿宋" w:eastAsia="仿宋" w:cs="仿宋"/>
                <w:b w:val="0"/>
                <w:bCs w:val="0"/>
                <w:sz w:val="28"/>
                <w:szCs w:val="28"/>
                <w:highlight w:val="none"/>
                <w:vertAlign w:val="baseline"/>
                <w:lang w:val="en-US" w:eastAsia="en-US"/>
              </w:rPr>
            </w:pPr>
          </w:p>
        </w:tc>
        <w:tc>
          <w:tcPr>
            <w:tcW w:w="1436" w:type="dxa"/>
            <w:tcBorders>
              <w:right w:val="single" w:color="000000" w:sz="10" w:space="0"/>
            </w:tcBorders>
            <w:noWrap w:val="0"/>
            <w:vAlign w:val="top"/>
          </w:tcPr>
          <w:p w14:paraId="18AE19AE">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1FB91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78" w:type="dxa"/>
            <w:tcBorders>
              <w:left w:val="single" w:color="000000" w:sz="10" w:space="0"/>
            </w:tcBorders>
            <w:noWrap w:val="0"/>
            <w:vAlign w:val="center"/>
          </w:tcPr>
          <w:p w14:paraId="125CB26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14.</w:t>
            </w:r>
          </w:p>
        </w:tc>
        <w:tc>
          <w:tcPr>
            <w:tcW w:w="1549" w:type="dxa"/>
            <w:noWrap w:val="0"/>
            <w:vAlign w:val="top"/>
          </w:tcPr>
          <w:p w14:paraId="0B38B7A9">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泄漏报警仪</w:t>
            </w:r>
          </w:p>
        </w:tc>
        <w:tc>
          <w:tcPr>
            <w:tcW w:w="1104" w:type="dxa"/>
            <w:noWrap w:val="0"/>
            <w:vAlign w:val="top"/>
          </w:tcPr>
          <w:p w14:paraId="132F420E">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3939DF52">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76010F3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1套</w:t>
            </w:r>
          </w:p>
        </w:tc>
        <w:tc>
          <w:tcPr>
            <w:tcW w:w="756" w:type="dxa"/>
            <w:noWrap w:val="0"/>
            <w:vAlign w:val="top"/>
          </w:tcPr>
          <w:p w14:paraId="153BEBD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vMerge w:val="continue"/>
            <w:tcBorders>
              <w:top w:val="nil"/>
            </w:tcBorders>
            <w:noWrap w:val="0"/>
            <w:vAlign w:val="top"/>
          </w:tcPr>
          <w:p w14:paraId="2A20C6FE">
            <w:pPr>
              <w:numPr>
                <w:ilvl w:val="0"/>
                <w:numId w:val="0"/>
              </w:numPr>
              <w:jc w:val="center"/>
              <w:rPr>
                <w:rFonts w:hint="eastAsia" w:ascii="仿宋" w:hAnsi="仿宋" w:eastAsia="仿宋" w:cs="仿宋"/>
                <w:b w:val="0"/>
                <w:bCs w:val="0"/>
                <w:sz w:val="28"/>
                <w:szCs w:val="28"/>
                <w:highlight w:val="none"/>
                <w:vertAlign w:val="baseline"/>
                <w:lang w:val="en-US" w:eastAsia="en-US"/>
              </w:rPr>
            </w:pPr>
          </w:p>
        </w:tc>
        <w:tc>
          <w:tcPr>
            <w:tcW w:w="1436" w:type="dxa"/>
            <w:tcBorders>
              <w:right w:val="single" w:color="000000" w:sz="10" w:space="0"/>
            </w:tcBorders>
            <w:noWrap w:val="0"/>
            <w:vAlign w:val="top"/>
          </w:tcPr>
          <w:p w14:paraId="61B89BF7">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16380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dxa"/>
            <w:tcBorders>
              <w:left w:val="single" w:color="000000" w:sz="10" w:space="0"/>
            </w:tcBorders>
            <w:noWrap w:val="0"/>
            <w:vAlign w:val="center"/>
          </w:tcPr>
          <w:p w14:paraId="664E455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15.</w:t>
            </w:r>
          </w:p>
        </w:tc>
        <w:tc>
          <w:tcPr>
            <w:tcW w:w="1549" w:type="dxa"/>
            <w:noWrap w:val="0"/>
            <w:vAlign w:val="top"/>
          </w:tcPr>
          <w:p w14:paraId="21C0133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人员防护装备</w:t>
            </w:r>
          </w:p>
        </w:tc>
        <w:tc>
          <w:tcPr>
            <w:tcW w:w="1104" w:type="dxa"/>
            <w:noWrap w:val="0"/>
            <w:vAlign w:val="top"/>
          </w:tcPr>
          <w:p w14:paraId="6C28FD7E">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67310C13">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5EED2A7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若干</w:t>
            </w:r>
          </w:p>
        </w:tc>
        <w:tc>
          <w:tcPr>
            <w:tcW w:w="756" w:type="dxa"/>
            <w:noWrap w:val="0"/>
            <w:vAlign w:val="top"/>
          </w:tcPr>
          <w:p w14:paraId="69E4C05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top"/>
          </w:tcPr>
          <w:p w14:paraId="656BF8B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人员防护</w:t>
            </w:r>
          </w:p>
        </w:tc>
        <w:tc>
          <w:tcPr>
            <w:tcW w:w="1436" w:type="dxa"/>
            <w:tcBorders>
              <w:right w:val="single" w:color="000000" w:sz="10" w:space="0"/>
            </w:tcBorders>
            <w:noWrap w:val="0"/>
            <w:vAlign w:val="top"/>
          </w:tcPr>
          <w:p w14:paraId="36EA79F8">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21A67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78" w:type="dxa"/>
            <w:tcBorders>
              <w:left w:val="single" w:color="000000" w:sz="10" w:space="0"/>
            </w:tcBorders>
            <w:noWrap w:val="0"/>
            <w:vAlign w:val="center"/>
          </w:tcPr>
          <w:p w14:paraId="26DC5CC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16.</w:t>
            </w:r>
          </w:p>
        </w:tc>
        <w:tc>
          <w:tcPr>
            <w:tcW w:w="1549" w:type="dxa"/>
            <w:noWrap w:val="0"/>
            <w:vAlign w:val="top"/>
          </w:tcPr>
          <w:p w14:paraId="7B728F0B">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加油岛一键急停</w:t>
            </w:r>
          </w:p>
          <w:p w14:paraId="5B9DE70F">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装置</w:t>
            </w:r>
          </w:p>
        </w:tc>
        <w:tc>
          <w:tcPr>
            <w:tcW w:w="1104" w:type="dxa"/>
            <w:noWrap w:val="0"/>
            <w:vAlign w:val="top"/>
          </w:tcPr>
          <w:p w14:paraId="60A045A1">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783F3D32">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30FCDF68">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1</w:t>
            </w:r>
            <w:r>
              <w:rPr>
                <w:rFonts w:hint="eastAsia" w:ascii="仿宋" w:hAnsi="仿宋" w:eastAsia="仿宋" w:cs="仿宋"/>
                <w:b w:val="0"/>
                <w:bCs w:val="0"/>
                <w:sz w:val="28"/>
                <w:szCs w:val="28"/>
                <w:highlight w:val="none"/>
                <w:vertAlign w:val="baseline"/>
                <w:lang w:val="en-US" w:eastAsia="en-US"/>
              </w:rPr>
              <w:t>个</w:t>
            </w:r>
          </w:p>
        </w:tc>
        <w:tc>
          <w:tcPr>
            <w:tcW w:w="756" w:type="dxa"/>
            <w:noWrap w:val="0"/>
            <w:vAlign w:val="top"/>
          </w:tcPr>
          <w:p w14:paraId="7817D50E">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top"/>
          </w:tcPr>
          <w:p w14:paraId="69D13AFF">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应急停止加</w:t>
            </w:r>
          </w:p>
          <w:p w14:paraId="42B4C269">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油</w:t>
            </w:r>
          </w:p>
        </w:tc>
        <w:tc>
          <w:tcPr>
            <w:tcW w:w="1436" w:type="dxa"/>
            <w:tcBorders>
              <w:right w:val="single" w:color="000000" w:sz="10" w:space="0"/>
            </w:tcBorders>
            <w:noWrap w:val="0"/>
            <w:vAlign w:val="top"/>
          </w:tcPr>
          <w:p w14:paraId="4A26535F">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12B33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78" w:type="dxa"/>
            <w:tcBorders>
              <w:left w:val="single" w:color="000000" w:sz="10" w:space="0"/>
            </w:tcBorders>
            <w:noWrap w:val="0"/>
            <w:vAlign w:val="center"/>
          </w:tcPr>
          <w:p w14:paraId="24A557FE">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17</w:t>
            </w:r>
          </w:p>
        </w:tc>
        <w:tc>
          <w:tcPr>
            <w:tcW w:w="1549" w:type="dxa"/>
            <w:noWrap w:val="0"/>
            <w:vAlign w:val="top"/>
          </w:tcPr>
          <w:p w14:paraId="2EF834AA">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加油机一键急停装置</w:t>
            </w:r>
          </w:p>
        </w:tc>
        <w:tc>
          <w:tcPr>
            <w:tcW w:w="1104" w:type="dxa"/>
            <w:noWrap w:val="0"/>
            <w:vAlign w:val="top"/>
          </w:tcPr>
          <w:p w14:paraId="2D737AD9">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01A2CC00">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2D4D1775">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8</w:t>
            </w:r>
            <w:r>
              <w:rPr>
                <w:rFonts w:hint="eastAsia" w:ascii="仿宋" w:hAnsi="仿宋" w:eastAsia="仿宋" w:cs="仿宋"/>
                <w:b w:val="0"/>
                <w:bCs w:val="0"/>
                <w:sz w:val="28"/>
                <w:szCs w:val="28"/>
                <w:highlight w:val="none"/>
                <w:vertAlign w:val="baseline"/>
                <w:lang w:val="en-US" w:eastAsia="en-US"/>
              </w:rPr>
              <w:t>个</w:t>
            </w:r>
          </w:p>
        </w:tc>
        <w:tc>
          <w:tcPr>
            <w:tcW w:w="756" w:type="dxa"/>
            <w:noWrap w:val="0"/>
            <w:vAlign w:val="top"/>
          </w:tcPr>
          <w:p w14:paraId="46F7950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top"/>
          </w:tcPr>
          <w:p w14:paraId="01D756F5">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应急停止加</w:t>
            </w:r>
          </w:p>
          <w:p w14:paraId="2F4C0106">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油</w:t>
            </w:r>
          </w:p>
        </w:tc>
        <w:tc>
          <w:tcPr>
            <w:tcW w:w="1436" w:type="dxa"/>
            <w:tcBorders>
              <w:right w:val="single" w:color="000000" w:sz="10" w:space="0"/>
            </w:tcBorders>
            <w:noWrap w:val="0"/>
            <w:vAlign w:val="top"/>
          </w:tcPr>
          <w:p w14:paraId="5B5B07F5">
            <w:pPr>
              <w:numPr>
                <w:ilvl w:val="0"/>
                <w:numId w:val="0"/>
              </w:numPr>
              <w:jc w:val="center"/>
              <w:rPr>
                <w:rFonts w:hint="eastAsia" w:ascii="仿宋" w:hAnsi="仿宋" w:eastAsia="仿宋" w:cs="仿宋"/>
                <w:b w:val="0"/>
                <w:bCs w:val="0"/>
                <w:sz w:val="28"/>
                <w:szCs w:val="28"/>
                <w:highlight w:val="none"/>
                <w:vertAlign w:val="baseline"/>
                <w:lang w:val="en-US" w:eastAsia="en-US"/>
              </w:rPr>
            </w:pPr>
          </w:p>
        </w:tc>
      </w:tr>
      <w:tr w14:paraId="4E0CE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78" w:type="dxa"/>
            <w:tcBorders>
              <w:left w:val="single" w:color="000000" w:sz="10" w:space="0"/>
            </w:tcBorders>
            <w:noWrap w:val="0"/>
            <w:vAlign w:val="center"/>
          </w:tcPr>
          <w:p w14:paraId="4B6DAF61">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1</w:t>
            </w:r>
            <w:r>
              <w:rPr>
                <w:rFonts w:hint="eastAsia" w:ascii="仿宋" w:hAnsi="仿宋" w:eastAsia="仿宋" w:cs="仿宋"/>
                <w:b w:val="0"/>
                <w:bCs w:val="0"/>
                <w:sz w:val="28"/>
                <w:szCs w:val="28"/>
                <w:highlight w:val="none"/>
                <w:vertAlign w:val="baseline"/>
                <w:lang w:val="en-US" w:eastAsia="zh-CN"/>
              </w:rPr>
              <w:t>8</w:t>
            </w:r>
            <w:r>
              <w:rPr>
                <w:rFonts w:hint="eastAsia" w:ascii="仿宋" w:hAnsi="仿宋" w:eastAsia="仿宋" w:cs="仿宋"/>
                <w:b w:val="0"/>
                <w:bCs w:val="0"/>
                <w:sz w:val="28"/>
                <w:szCs w:val="28"/>
                <w:highlight w:val="none"/>
                <w:vertAlign w:val="baseline"/>
                <w:lang w:val="en-US" w:eastAsia="en-US"/>
              </w:rPr>
              <w:t>.</w:t>
            </w:r>
          </w:p>
        </w:tc>
        <w:tc>
          <w:tcPr>
            <w:tcW w:w="1549" w:type="dxa"/>
            <w:noWrap w:val="0"/>
            <w:vAlign w:val="top"/>
          </w:tcPr>
          <w:p w14:paraId="63788C51">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二氧化碳灭火器</w:t>
            </w:r>
          </w:p>
        </w:tc>
        <w:tc>
          <w:tcPr>
            <w:tcW w:w="1104" w:type="dxa"/>
            <w:noWrap w:val="0"/>
            <w:vAlign w:val="top"/>
          </w:tcPr>
          <w:p w14:paraId="7AD59EB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top"/>
          </w:tcPr>
          <w:p w14:paraId="420198C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top"/>
          </w:tcPr>
          <w:p w14:paraId="576A184B">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2</w:t>
            </w:r>
            <w:r>
              <w:rPr>
                <w:rFonts w:hint="eastAsia" w:ascii="仿宋" w:hAnsi="仿宋" w:eastAsia="仿宋" w:cs="仿宋"/>
                <w:b w:val="0"/>
                <w:bCs w:val="0"/>
                <w:sz w:val="28"/>
                <w:szCs w:val="28"/>
                <w:highlight w:val="none"/>
                <w:vertAlign w:val="baseline"/>
                <w:lang w:val="en-US" w:eastAsia="en-US"/>
              </w:rPr>
              <w:t>个</w:t>
            </w:r>
          </w:p>
        </w:tc>
        <w:tc>
          <w:tcPr>
            <w:tcW w:w="756" w:type="dxa"/>
            <w:noWrap w:val="0"/>
            <w:vAlign w:val="top"/>
          </w:tcPr>
          <w:p w14:paraId="47EA43C9">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top"/>
          </w:tcPr>
          <w:p w14:paraId="744A81C9">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消防灭火</w:t>
            </w:r>
          </w:p>
        </w:tc>
        <w:tc>
          <w:tcPr>
            <w:tcW w:w="1436" w:type="dxa"/>
            <w:tcBorders>
              <w:right w:val="single" w:color="000000" w:sz="10" w:space="0"/>
            </w:tcBorders>
            <w:noWrap w:val="0"/>
            <w:vAlign w:val="top"/>
          </w:tcPr>
          <w:p w14:paraId="498DEED6">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配电室</w:t>
            </w:r>
          </w:p>
        </w:tc>
      </w:tr>
      <w:tr w14:paraId="2ECD8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78" w:type="dxa"/>
            <w:tcBorders>
              <w:left w:val="single" w:color="000000" w:sz="10" w:space="0"/>
            </w:tcBorders>
            <w:noWrap w:val="0"/>
            <w:vAlign w:val="center"/>
          </w:tcPr>
          <w:p w14:paraId="2EF77276">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en-US"/>
              </w:rPr>
              <w:t>1</w:t>
            </w:r>
            <w:r>
              <w:rPr>
                <w:rFonts w:hint="eastAsia" w:ascii="仿宋" w:hAnsi="仿宋" w:eastAsia="仿宋" w:cs="仿宋"/>
                <w:b w:val="0"/>
                <w:bCs w:val="0"/>
                <w:sz w:val="28"/>
                <w:szCs w:val="28"/>
                <w:highlight w:val="none"/>
                <w:vertAlign w:val="baseline"/>
                <w:lang w:val="en-US" w:eastAsia="zh-CN"/>
              </w:rPr>
              <w:t>9</w:t>
            </w:r>
            <w:r>
              <w:rPr>
                <w:rFonts w:hint="eastAsia" w:ascii="仿宋" w:hAnsi="仿宋" w:eastAsia="仿宋" w:cs="仿宋"/>
                <w:b w:val="0"/>
                <w:bCs w:val="0"/>
                <w:sz w:val="28"/>
                <w:szCs w:val="28"/>
                <w:highlight w:val="none"/>
                <w:vertAlign w:val="baseline"/>
                <w:lang w:val="en-US" w:eastAsia="en-US"/>
              </w:rPr>
              <w:t>.</w:t>
            </w:r>
          </w:p>
        </w:tc>
        <w:tc>
          <w:tcPr>
            <w:tcW w:w="1549" w:type="dxa"/>
            <w:noWrap w:val="0"/>
            <w:vAlign w:val="center"/>
          </w:tcPr>
          <w:p w14:paraId="519601E0">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en-US"/>
              </w:rPr>
              <w:t>摄像头</w:t>
            </w:r>
          </w:p>
        </w:tc>
        <w:tc>
          <w:tcPr>
            <w:tcW w:w="1104" w:type="dxa"/>
            <w:noWrap w:val="0"/>
            <w:vAlign w:val="center"/>
          </w:tcPr>
          <w:p w14:paraId="328575DC">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noWrap w:val="0"/>
            <w:vAlign w:val="center"/>
          </w:tcPr>
          <w:p w14:paraId="309E1F73">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noWrap w:val="0"/>
            <w:vAlign w:val="center"/>
          </w:tcPr>
          <w:p w14:paraId="561F77ED">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16个</w:t>
            </w:r>
          </w:p>
        </w:tc>
        <w:tc>
          <w:tcPr>
            <w:tcW w:w="756" w:type="dxa"/>
            <w:noWrap w:val="0"/>
            <w:vAlign w:val="top"/>
          </w:tcPr>
          <w:p w14:paraId="77580CAE">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noWrap w:val="0"/>
            <w:vAlign w:val="center"/>
          </w:tcPr>
          <w:p w14:paraId="28F036A4">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en-US"/>
              </w:rPr>
              <w:t>视频监控</w:t>
            </w:r>
          </w:p>
        </w:tc>
        <w:tc>
          <w:tcPr>
            <w:tcW w:w="1436" w:type="dxa"/>
            <w:tcBorders>
              <w:right w:val="single" w:color="000000" w:sz="10" w:space="0"/>
            </w:tcBorders>
            <w:noWrap w:val="0"/>
            <w:vAlign w:val="center"/>
          </w:tcPr>
          <w:p w14:paraId="0E9BC42D">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全站区</w:t>
            </w:r>
          </w:p>
        </w:tc>
      </w:tr>
      <w:tr w14:paraId="2CC64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78" w:type="dxa"/>
            <w:tcBorders>
              <w:left w:val="single" w:color="000000" w:sz="10" w:space="0"/>
              <w:bottom w:val="single" w:color="000000" w:sz="10" w:space="0"/>
            </w:tcBorders>
            <w:noWrap w:val="0"/>
            <w:vAlign w:val="center"/>
          </w:tcPr>
          <w:p w14:paraId="4BA1CC5B">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20</w:t>
            </w:r>
            <w:r>
              <w:rPr>
                <w:rFonts w:hint="eastAsia" w:ascii="仿宋" w:hAnsi="仿宋" w:eastAsia="仿宋" w:cs="仿宋"/>
                <w:b w:val="0"/>
                <w:bCs w:val="0"/>
                <w:sz w:val="28"/>
                <w:szCs w:val="28"/>
                <w:highlight w:val="none"/>
                <w:vertAlign w:val="baseline"/>
                <w:lang w:val="en-US" w:eastAsia="en-US"/>
              </w:rPr>
              <w:t>.</w:t>
            </w:r>
          </w:p>
        </w:tc>
        <w:tc>
          <w:tcPr>
            <w:tcW w:w="1549" w:type="dxa"/>
            <w:tcBorders>
              <w:bottom w:val="single" w:color="000000" w:sz="10" w:space="0"/>
            </w:tcBorders>
            <w:noWrap w:val="0"/>
            <w:vAlign w:val="center"/>
          </w:tcPr>
          <w:p w14:paraId="3E8202FC">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en-US"/>
              </w:rPr>
              <w:t>便携式气体检测仪</w:t>
            </w:r>
          </w:p>
        </w:tc>
        <w:tc>
          <w:tcPr>
            <w:tcW w:w="1104" w:type="dxa"/>
            <w:tcBorders>
              <w:bottom w:val="single" w:color="000000" w:sz="10" w:space="0"/>
            </w:tcBorders>
            <w:noWrap w:val="0"/>
            <w:vAlign w:val="center"/>
          </w:tcPr>
          <w:p w14:paraId="7E1C38EF">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26" w:type="dxa"/>
            <w:tcBorders>
              <w:bottom w:val="single" w:color="000000" w:sz="10" w:space="0"/>
            </w:tcBorders>
            <w:noWrap w:val="0"/>
            <w:vAlign w:val="center"/>
          </w:tcPr>
          <w:p w14:paraId="01BDE489">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w:t>
            </w:r>
          </w:p>
        </w:tc>
        <w:tc>
          <w:tcPr>
            <w:tcW w:w="1034" w:type="dxa"/>
            <w:tcBorders>
              <w:bottom w:val="single" w:color="000000" w:sz="10" w:space="0"/>
            </w:tcBorders>
            <w:noWrap w:val="0"/>
            <w:vAlign w:val="center"/>
          </w:tcPr>
          <w:p w14:paraId="74407915">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zh-CN"/>
              </w:rPr>
              <w:t>1个</w:t>
            </w:r>
          </w:p>
        </w:tc>
        <w:tc>
          <w:tcPr>
            <w:tcW w:w="756" w:type="dxa"/>
            <w:tcBorders>
              <w:bottom w:val="single" w:color="000000" w:sz="10" w:space="0"/>
            </w:tcBorders>
            <w:noWrap w:val="0"/>
            <w:vAlign w:val="top"/>
          </w:tcPr>
          <w:p w14:paraId="7F5B2A17">
            <w:pPr>
              <w:numPr>
                <w:ilvl w:val="0"/>
                <w:numId w:val="0"/>
              </w:numPr>
              <w:jc w:val="center"/>
              <w:rPr>
                <w:rFonts w:hint="eastAsia" w:ascii="仿宋" w:hAnsi="仿宋" w:eastAsia="仿宋" w:cs="仿宋"/>
                <w:b w:val="0"/>
                <w:bCs w:val="0"/>
                <w:sz w:val="28"/>
                <w:szCs w:val="28"/>
                <w:highlight w:val="none"/>
                <w:vertAlign w:val="baseline"/>
                <w:lang w:val="en-US" w:eastAsia="en-US"/>
              </w:rPr>
            </w:pPr>
            <w:r>
              <w:rPr>
                <w:rFonts w:hint="eastAsia" w:ascii="仿宋" w:hAnsi="仿宋" w:eastAsia="仿宋" w:cs="仿宋"/>
                <w:b w:val="0"/>
                <w:bCs w:val="0"/>
                <w:sz w:val="28"/>
                <w:szCs w:val="28"/>
                <w:highlight w:val="none"/>
                <w:vertAlign w:val="baseline"/>
                <w:lang w:val="en-US" w:eastAsia="en-US"/>
              </w:rPr>
              <w:t>有效</w:t>
            </w:r>
          </w:p>
        </w:tc>
        <w:tc>
          <w:tcPr>
            <w:tcW w:w="1576" w:type="dxa"/>
            <w:tcBorders>
              <w:bottom w:val="single" w:color="000000" w:sz="10" w:space="0"/>
            </w:tcBorders>
            <w:noWrap w:val="0"/>
            <w:vAlign w:val="center"/>
          </w:tcPr>
          <w:p w14:paraId="732805D0">
            <w:pPr>
              <w:numPr>
                <w:ilvl w:val="0"/>
                <w:numId w:val="0"/>
              </w:numPr>
              <w:jc w:val="center"/>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预警</w:t>
            </w:r>
          </w:p>
        </w:tc>
        <w:tc>
          <w:tcPr>
            <w:tcW w:w="1436" w:type="dxa"/>
            <w:tcBorders>
              <w:bottom w:val="single" w:color="000000" w:sz="10" w:space="0"/>
              <w:right w:val="single" w:color="000000" w:sz="10" w:space="0"/>
            </w:tcBorders>
            <w:noWrap w:val="0"/>
            <w:vAlign w:val="center"/>
          </w:tcPr>
          <w:p w14:paraId="3C705F14">
            <w:pPr>
              <w:numPr>
                <w:ilvl w:val="0"/>
                <w:numId w:val="0"/>
              </w:numPr>
              <w:jc w:val="center"/>
              <w:rPr>
                <w:rFonts w:hint="eastAsia" w:ascii="仿宋" w:hAnsi="仿宋" w:eastAsia="仿宋" w:cs="仿宋"/>
                <w:b w:val="0"/>
                <w:bCs w:val="0"/>
                <w:sz w:val="28"/>
                <w:szCs w:val="28"/>
                <w:highlight w:val="none"/>
                <w:vertAlign w:val="baseline"/>
                <w:lang w:val="en-US" w:eastAsia="en-US"/>
              </w:rPr>
            </w:pPr>
          </w:p>
        </w:tc>
      </w:tr>
    </w:tbl>
    <w:p w14:paraId="7D2777D0">
      <w:pPr>
        <w:pStyle w:val="22"/>
        <w:jc w:val="both"/>
        <w:rPr>
          <w:rFonts w:hint="eastAsia"/>
        </w:rPr>
        <w:sectPr>
          <w:pgSz w:w="11907" w:h="16839"/>
          <w:pgMar w:top="1418" w:right="1418" w:bottom="1418" w:left="1418" w:header="720" w:footer="720" w:gutter="0"/>
          <w:cols w:space="720" w:num="1"/>
          <w:docGrid w:linePitch="286" w:charSpace="0"/>
        </w:sectPr>
      </w:pPr>
    </w:p>
    <w:p w14:paraId="42794DC0">
      <w:pPr>
        <w:pStyle w:val="2"/>
      </w:pPr>
      <w:bookmarkStart w:id="50" w:name="_Toc165395073"/>
      <w:r>
        <w:t>6预警及应急处置</w:t>
      </w:r>
      <w:bookmarkEnd w:id="50"/>
    </w:p>
    <w:p w14:paraId="14DA26CF">
      <w:pPr>
        <w:spacing w:line="360" w:lineRule="auto"/>
        <w:outlineLvl w:val="1"/>
        <w:rPr>
          <w:rFonts w:eastAsia="黑体"/>
          <w:bCs/>
          <w:sz w:val="28"/>
          <w:szCs w:val="32"/>
        </w:rPr>
      </w:pPr>
      <w:bookmarkStart w:id="51" w:name="_Toc165395074"/>
      <w:r>
        <w:rPr>
          <w:rFonts w:eastAsia="黑体"/>
          <w:bCs/>
          <w:sz w:val="28"/>
          <w:szCs w:val="32"/>
        </w:rPr>
        <w:t>6.1预警监控</w:t>
      </w:r>
      <w:bookmarkEnd w:id="51"/>
    </w:p>
    <w:p w14:paraId="64DD7775">
      <w:pPr>
        <w:pStyle w:val="175"/>
        <w:spacing w:line="360" w:lineRule="auto"/>
        <w:ind w:firstLine="560" w:firstLineChars="200"/>
        <w:rPr>
          <w:rFonts w:eastAsia="仿宋_GB2312"/>
          <w:bCs/>
          <w:kern w:val="2"/>
          <w:sz w:val="28"/>
          <w:szCs w:val="28"/>
        </w:rPr>
      </w:pPr>
      <w:r>
        <w:rPr>
          <w:rFonts w:hint="eastAsia" w:eastAsia="仿宋_GB2312"/>
          <w:bCs/>
          <w:kern w:val="2"/>
          <w:sz w:val="28"/>
          <w:szCs w:val="28"/>
          <w:lang w:eastAsia="zh-CN"/>
        </w:rPr>
        <w:t>水利</w:t>
      </w:r>
      <w:r>
        <w:rPr>
          <w:rFonts w:eastAsia="仿宋_GB2312"/>
          <w:bCs/>
          <w:kern w:val="2"/>
          <w:sz w:val="28"/>
          <w:szCs w:val="28"/>
        </w:rPr>
        <w:t>站加油站与市、区各级应急部门建立了联系，对于极端天气等自然灾害情况，可通过政府部门、网络或者是广播等媒介方式获取，针对企业可能受到的影响提前做好预警及响应措施。对于生产安全事故等事故灾难、相关监测</w:t>
      </w:r>
      <w:r>
        <w:rPr>
          <w:rFonts w:eastAsia="仿宋_GB2312"/>
          <w:bCs/>
          <w:kern w:val="2"/>
          <w:sz w:val="28"/>
          <w:szCs w:val="28"/>
          <w:highlight w:val="none"/>
        </w:rPr>
        <w:t>信息等，</w:t>
      </w:r>
      <w:r>
        <w:rPr>
          <w:rFonts w:hint="eastAsia" w:eastAsia="仿宋_GB2312"/>
          <w:bCs/>
          <w:kern w:val="2"/>
          <w:sz w:val="28"/>
          <w:szCs w:val="28"/>
          <w:highlight w:val="none"/>
          <w:lang w:eastAsia="zh-CN"/>
        </w:rPr>
        <w:t>水利</w:t>
      </w:r>
      <w:r>
        <w:rPr>
          <w:rFonts w:eastAsia="仿宋_GB2312"/>
          <w:bCs/>
          <w:kern w:val="2"/>
          <w:sz w:val="28"/>
          <w:szCs w:val="28"/>
          <w:highlight w:val="none"/>
        </w:rPr>
        <w:t>加油站</w:t>
      </w:r>
      <w:r>
        <w:rPr>
          <w:rFonts w:eastAsia="仿宋_GB2312"/>
          <w:bCs/>
          <w:kern w:val="2"/>
          <w:sz w:val="28"/>
          <w:szCs w:val="28"/>
        </w:rPr>
        <w:t>站内设置报警装置，24小时监控，加强防范。若收集到相关突发环境污染事件发生或者即将发生的可行较大的信息，应急小组根据发生事故的类型进行讨论，明确环境污染事件的预警及响应级别，及时向可能发生事故的现场通报，启动相应突发环境事件应急预警，采取相应预警及分级响应措施。</w:t>
      </w:r>
    </w:p>
    <w:p w14:paraId="32C45163">
      <w:pPr>
        <w:spacing w:line="360" w:lineRule="auto"/>
        <w:outlineLvl w:val="2"/>
        <w:rPr>
          <w:rFonts w:eastAsia="仿宋_GB2312"/>
          <w:b/>
          <w:bCs/>
          <w:sz w:val="28"/>
          <w:szCs w:val="32"/>
        </w:rPr>
      </w:pPr>
      <w:r>
        <w:rPr>
          <w:rFonts w:eastAsia="仿宋_GB2312"/>
          <w:b/>
          <w:bCs/>
          <w:sz w:val="28"/>
          <w:szCs w:val="32"/>
        </w:rPr>
        <w:t>6.1.1预警及分级响应机制</w:t>
      </w:r>
    </w:p>
    <w:p w14:paraId="4D75696D">
      <w:pPr>
        <w:spacing w:line="360" w:lineRule="auto"/>
        <w:ind w:firstLine="560" w:firstLineChars="200"/>
        <w:rPr>
          <w:rFonts w:eastAsia="仿宋"/>
          <w:sz w:val="28"/>
          <w:szCs w:val="28"/>
        </w:rPr>
      </w:pPr>
      <w:r>
        <w:rPr>
          <w:rFonts w:eastAsia="仿宋"/>
          <w:sz w:val="28"/>
          <w:szCs w:val="28"/>
        </w:rPr>
        <w:t>由于</w:t>
      </w:r>
      <w:r>
        <w:rPr>
          <w:rFonts w:hint="eastAsia" w:eastAsia="仿宋"/>
          <w:sz w:val="28"/>
          <w:szCs w:val="28"/>
          <w:lang w:eastAsia="zh-CN"/>
        </w:rPr>
        <w:t>水利</w:t>
      </w:r>
      <w:r>
        <w:rPr>
          <w:rFonts w:eastAsia="仿宋"/>
          <w:sz w:val="28"/>
          <w:szCs w:val="28"/>
        </w:rPr>
        <w:t>站加油站发生的突发环境事件等级与实际危害程度有关，事故初时难以确定事件等级，因此结合自身情况，根据可能发生突发环境事件的危害程度、影响范围和企业对事件的可控能力，建立了相应的突发环境事件预警及分级应急响应机制。不同的应急响应级别对应的指挥权限、应急响应措施不同。</w:t>
      </w:r>
    </w:p>
    <w:p w14:paraId="0A2F9D8C">
      <w:pPr>
        <w:spacing w:line="360" w:lineRule="auto"/>
        <w:ind w:firstLine="560" w:firstLineChars="200"/>
        <w:rPr>
          <w:rFonts w:eastAsia="仿宋"/>
          <w:sz w:val="28"/>
          <w:szCs w:val="28"/>
        </w:rPr>
      </w:pPr>
      <w:r>
        <w:rPr>
          <w:rFonts w:eastAsia="仿宋"/>
          <w:sz w:val="28"/>
          <w:szCs w:val="28"/>
        </w:rPr>
        <w:t>根据《国务院办公厅关于印发国家突发环境事件应急预案的通知》（国办函〔2014〕119号），按突发环境事件的可控性、严重程度和影响范围，突发环境事件的应急响应分为特别重大（I级响应）、重大（II级响应）、较大（III级响应）、一般（Ⅳ级响应）四级。</w:t>
      </w:r>
    </w:p>
    <w:p w14:paraId="2FD23B84">
      <w:pPr>
        <w:spacing w:line="360" w:lineRule="auto"/>
        <w:ind w:firstLine="560" w:firstLineChars="200"/>
        <w:rPr>
          <w:rFonts w:eastAsia="仿宋"/>
          <w:sz w:val="28"/>
          <w:szCs w:val="28"/>
        </w:rPr>
      </w:pPr>
      <w:r>
        <w:rPr>
          <w:rFonts w:eastAsia="仿宋"/>
          <w:sz w:val="28"/>
          <w:szCs w:val="28"/>
        </w:rPr>
        <w:t>本加油站突发环境事件属于国家分级的一般（Ⅳ级响应）四级。为便于实际操作，将</w:t>
      </w:r>
      <w:r>
        <w:rPr>
          <w:rFonts w:hint="eastAsia" w:eastAsia="仿宋"/>
          <w:sz w:val="28"/>
          <w:szCs w:val="28"/>
        </w:rPr>
        <w:t>突发环境事件应急处置行动划分为三级响应、二级响应和一级响应，三级响应为加油站级响应，二级响分公司级响应，一级响应为社会级响应。</w:t>
      </w:r>
    </w:p>
    <w:p w14:paraId="1A2EF3C3">
      <w:pPr>
        <w:spacing w:line="360" w:lineRule="auto"/>
        <w:ind w:firstLine="560" w:firstLineChars="200"/>
        <w:rPr>
          <w:rFonts w:eastAsia="仿宋"/>
          <w:sz w:val="28"/>
          <w:szCs w:val="28"/>
        </w:rPr>
      </w:pPr>
      <w:r>
        <w:rPr>
          <w:rFonts w:eastAsia="仿宋"/>
          <w:sz w:val="28"/>
          <w:szCs w:val="28"/>
        </w:rPr>
        <w:t>预警条件及相关信息如下表所示：</w:t>
      </w:r>
    </w:p>
    <w:p w14:paraId="7900A4E3">
      <w:pPr>
        <w:spacing w:before="120" w:beforeLines="50" w:line="300" w:lineRule="auto"/>
        <w:ind w:firstLine="1400" w:firstLineChars="500"/>
        <w:rPr>
          <w:rFonts w:eastAsia="仿宋"/>
          <w:sz w:val="28"/>
          <w:szCs w:val="28"/>
        </w:rPr>
      </w:pPr>
      <w:r>
        <w:rPr>
          <w:rFonts w:eastAsia="仿宋"/>
          <w:sz w:val="28"/>
          <w:szCs w:val="28"/>
        </w:rPr>
        <w:t>表6.1-1加油站内部预警条件及相关信息</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2381"/>
        <w:gridCol w:w="1746"/>
        <w:gridCol w:w="3769"/>
      </w:tblGrid>
      <w:tr w14:paraId="7799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9" w:type="pct"/>
            <w:vAlign w:val="center"/>
          </w:tcPr>
          <w:p w14:paraId="1C72E727">
            <w:pPr>
              <w:jc w:val="center"/>
              <w:rPr>
                <w:rFonts w:eastAsia="仿宋_GB2312"/>
                <w:color w:val="000000"/>
                <w:sz w:val="24"/>
                <w:szCs w:val="18"/>
              </w:rPr>
            </w:pPr>
            <w:r>
              <w:rPr>
                <w:rFonts w:eastAsia="仿宋_GB2312"/>
                <w:color w:val="000000"/>
                <w:sz w:val="24"/>
                <w:szCs w:val="18"/>
              </w:rPr>
              <w:t>事故情景</w:t>
            </w:r>
          </w:p>
        </w:tc>
        <w:tc>
          <w:tcPr>
            <w:tcW w:w="1282" w:type="pct"/>
            <w:vAlign w:val="center"/>
          </w:tcPr>
          <w:p w14:paraId="74E8BE32">
            <w:pPr>
              <w:jc w:val="center"/>
              <w:rPr>
                <w:rFonts w:eastAsia="仿宋_GB2312"/>
                <w:color w:val="000000"/>
                <w:sz w:val="24"/>
                <w:szCs w:val="18"/>
              </w:rPr>
            </w:pPr>
            <w:r>
              <w:rPr>
                <w:rFonts w:eastAsia="仿宋_GB2312"/>
                <w:color w:val="000000"/>
                <w:sz w:val="24"/>
                <w:szCs w:val="18"/>
              </w:rPr>
              <w:t>预警条件</w:t>
            </w:r>
          </w:p>
        </w:tc>
        <w:tc>
          <w:tcPr>
            <w:tcW w:w="2970" w:type="pct"/>
            <w:gridSpan w:val="2"/>
            <w:vAlign w:val="center"/>
          </w:tcPr>
          <w:p w14:paraId="234C3321">
            <w:pPr>
              <w:jc w:val="center"/>
              <w:rPr>
                <w:rFonts w:eastAsia="仿宋_GB2312"/>
                <w:color w:val="000000"/>
                <w:sz w:val="24"/>
                <w:szCs w:val="18"/>
              </w:rPr>
            </w:pPr>
            <w:r>
              <w:rPr>
                <w:rFonts w:eastAsia="仿宋_GB2312"/>
                <w:color w:val="000000"/>
                <w:sz w:val="24"/>
                <w:szCs w:val="18"/>
              </w:rPr>
              <w:t>预警信息</w:t>
            </w:r>
          </w:p>
        </w:tc>
      </w:tr>
      <w:tr w14:paraId="450B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9" w:type="pct"/>
            <w:vMerge w:val="restart"/>
            <w:vAlign w:val="center"/>
          </w:tcPr>
          <w:p w14:paraId="5A10310E">
            <w:pPr>
              <w:rPr>
                <w:rFonts w:eastAsia="仿宋_GB2312"/>
                <w:color w:val="000000"/>
                <w:sz w:val="24"/>
                <w:szCs w:val="18"/>
              </w:rPr>
            </w:pPr>
            <w:r>
              <w:rPr>
                <w:rFonts w:hint="eastAsia" w:eastAsia="仿宋_GB2312"/>
                <w:color w:val="000000"/>
                <w:sz w:val="24"/>
                <w:szCs w:val="18"/>
              </w:rPr>
              <w:t>罐区、加油加气站区、危险废物暂存区</w:t>
            </w:r>
            <w:r>
              <w:rPr>
                <w:rFonts w:eastAsia="仿宋_GB2312"/>
                <w:color w:val="000000"/>
                <w:sz w:val="24"/>
                <w:szCs w:val="18"/>
              </w:rPr>
              <w:t>火灾、爆炸</w:t>
            </w:r>
          </w:p>
        </w:tc>
        <w:tc>
          <w:tcPr>
            <w:tcW w:w="1282" w:type="pct"/>
            <w:vMerge w:val="restart"/>
            <w:vAlign w:val="center"/>
          </w:tcPr>
          <w:p w14:paraId="6AB836B5">
            <w:pPr>
              <w:rPr>
                <w:rFonts w:eastAsia="仿宋_GB2312"/>
                <w:color w:val="000000"/>
                <w:sz w:val="24"/>
                <w:szCs w:val="18"/>
              </w:rPr>
            </w:pPr>
            <w:r>
              <w:rPr>
                <w:rFonts w:eastAsia="仿宋_GB2312"/>
                <w:color w:val="000000"/>
                <w:sz w:val="24"/>
                <w:szCs w:val="18"/>
              </w:rPr>
              <w:t>1．储罐罐壁材料缺陷、安全阀失效；</w:t>
            </w:r>
          </w:p>
          <w:p w14:paraId="268FF9AE">
            <w:pPr>
              <w:rPr>
                <w:rFonts w:eastAsia="仿宋_GB2312"/>
                <w:color w:val="000000"/>
                <w:sz w:val="24"/>
                <w:szCs w:val="18"/>
              </w:rPr>
            </w:pPr>
            <w:r>
              <w:rPr>
                <w:rFonts w:eastAsia="仿宋_GB2312"/>
                <w:color w:val="000000"/>
                <w:sz w:val="24"/>
                <w:szCs w:val="18"/>
              </w:rPr>
              <w:t>2.设备、管道接地电阻不良静电；</w:t>
            </w:r>
          </w:p>
          <w:p w14:paraId="78E846C1">
            <w:pPr>
              <w:rPr>
                <w:rFonts w:eastAsia="仿宋_GB2312"/>
                <w:color w:val="000000"/>
                <w:sz w:val="24"/>
                <w:szCs w:val="18"/>
              </w:rPr>
            </w:pPr>
            <w:r>
              <w:rPr>
                <w:rFonts w:eastAsia="仿宋_GB2312"/>
                <w:color w:val="000000"/>
                <w:sz w:val="24"/>
                <w:szCs w:val="18"/>
              </w:rPr>
              <w:t>3.建筑物雷击；</w:t>
            </w:r>
          </w:p>
          <w:p w14:paraId="3C7AE493">
            <w:pPr>
              <w:rPr>
                <w:rFonts w:eastAsia="仿宋_GB2312"/>
                <w:color w:val="000000"/>
                <w:sz w:val="24"/>
                <w:szCs w:val="18"/>
              </w:rPr>
            </w:pPr>
            <w:r>
              <w:rPr>
                <w:rFonts w:eastAsia="仿宋_GB2312"/>
                <w:color w:val="000000"/>
                <w:sz w:val="24"/>
                <w:szCs w:val="18"/>
              </w:rPr>
              <w:t>4.电气设备、电气线路老化绝缘不良短路产生电火花；</w:t>
            </w:r>
          </w:p>
          <w:p w14:paraId="28A0D794">
            <w:pPr>
              <w:rPr>
                <w:rFonts w:eastAsia="仿宋_GB2312"/>
                <w:color w:val="000000"/>
                <w:sz w:val="24"/>
                <w:szCs w:val="18"/>
              </w:rPr>
            </w:pPr>
            <w:r>
              <w:rPr>
                <w:rFonts w:eastAsia="仿宋_GB2312"/>
                <w:color w:val="000000"/>
                <w:sz w:val="24"/>
                <w:szCs w:val="18"/>
              </w:rPr>
              <w:t>5.员工违规操作。</w:t>
            </w:r>
          </w:p>
        </w:tc>
        <w:tc>
          <w:tcPr>
            <w:tcW w:w="940" w:type="pct"/>
            <w:vAlign w:val="center"/>
          </w:tcPr>
          <w:p w14:paraId="4244FC2D">
            <w:pPr>
              <w:rPr>
                <w:rFonts w:eastAsia="仿宋_GB2312"/>
                <w:color w:val="000000"/>
                <w:sz w:val="24"/>
                <w:szCs w:val="18"/>
              </w:rPr>
            </w:pPr>
            <w:r>
              <w:rPr>
                <w:rFonts w:eastAsia="仿宋_GB2312"/>
                <w:color w:val="000000"/>
                <w:sz w:val="24"/>
                <w:szCs w:val="18"/>
              </w:rPr>
              <w:t>预警等级</w:t>
            </w:r>
          </w:p>
        </w:tc>
        <w:tc>
          <w:tcPr>
            <w:tcW w:w="2030" w:type="pct"/>
            <w:vAlign w:val="center"/>
          </w:tcPr>
          <w:p w14:paraId="27AA184C">
            <w:pPr>
              <w:rPr>
                <w:rFonts w:eastAsia="仿宋_GB2312"/>
                <w:color w:val="000000"/>
                <w:sz w:val="24"/>
                <w:szCs w:val="18"/>
              </w:rPr>
            </w:pPr>
            <w:r>
              <w:rPr>
                <w:rFonts w:eastAsia="仿宋_GB2312"/>
                <w:color w:val="000000"/>
                <w:sz w:val="24"/>
                <w:szCs w:val="18"/>
              </w:rPr>
              <w:t>红色预警</w:t>
            </w:r>
          </w:p>
        </w:tc>
      </w:tr>
      <w:tr w14:paraId="7DBF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9" w:type="pct"/>
            <w:vMerge w:val="continue"/>
            <w:vAlign w:val="center"/>
          </w:tcPr>
          <w:p w14:paraId="41B337E1">
            <w:pPr>
              <w:rPr>
                <w:rFonts w:eastAsia="仿宋_GB2312"/>
                <w:color w:val="000000"/>
                <w:sz w:val="24"/>
                <w:szCs w:val="18"/>
              </w:rPr>
            </w:pPr>
          </w:p>
        </w:tc>
        <w:tc>
          <w:tcPr>
            <w:tcW w:w="1282" w:type="pct"/>
            <w:vMerge w:val="continue"/>
            <w:vAlign w:val="center"/>
          </w:tcPr>
          <w:p w14:paraId="692F95AE">
            <w:pPr>
              <w:rPr>
                <w:rFonts w:eastAsia="仿宋_GB2312"/>
                <w:color w:val="000000"/>
                <w:sz w:val="24"/>
                <w:szCs w:val="18"/>
              </w:rPr>
            </w:pPr>
          </w:p>
        </w:tc>
        <w:tc>
          <w:tcPr>
            <w:tcW w:w="940" w:type="pct"/>
            <w:vAlign w:val="center"/>
          </w:tcPr>
          <w:p w14:paraId="301EA88A">
            <w:pPr>
              <w:rPr>
                <w:rFonts w:eastAsia="仿宋_GB2312"/>
                <w:color w:val="000000"/>
                <w:sz w:val="24"/>
                <w:szCs w:val="18"/>
              </w:rPr>
            </w:pPr>
            <w:r>
              <w:rPr>
                <w:rFonts w:eastAsia="仿宋_GB2312"/>
                <w:color w:val="000000"/>
                <w:sz w:val="24"/>
                <w:szCs w:val="18"/>
              </w:rPr>
              <w:t>预警信息发布、接收、调整、解除程序、发布内容及责任人</w:t>
            </w:r>
          </w:p>
        </w:tc>
        <w:tc>
          <w:tcPr>
            <w:tcW w:w="2030" w:type="pct"/>
            <w:vAlign w:val="center"/>
          </w:tcPr>
          <w:p w14:paraId="503A17D6">
            <w:pPr>
              <w:rPr>
                <w:rFonts w:eastAsia="仿宋_GB2312"/>
                <w:color w:val="000000"/>
                <w:sz w:val="24"/>
                <w:szCs w:val="18"/>
              </w:rPr>
            </w:pPr>
            <w:r>
              <w:rPr>
                <w:rFonts w:eastAsia="仿宋_GB2312"/>
                <w:color w:val="000000"/>
                <w:sz w:val="24"/>
                <w:szCs w:val="18"/>
              </w:rPr>
              <w:t>由应急指挥部总指挥将可能发生的火灾、爆炸事故及预警等级通知各应急小组负责人，各负责人接收到预警信息后根据预警信息准备相应人员及物资，并根据现场情况进行调整，应急指挥组确定未发生火灾、爆炸事故时解除应急程序。</w:t>
            </w:r>
          </w:p>
        </w:tc>
      </w:tr>
      <w:tr w14:paraId="5583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9" w:type="pct"/>
            <w:vMerge w:val="restart"/>
            <w:vAlign w:val="center"/>
          </w:tcPr>
          <w:p w14:paraId="1779418A">
            <w:pPr>
              <w:rPr>
                <w:rFonts w:eastAsia="仿宋_GB2312"/>
                <w:color w:val="000000"/>
                <w:sz w:val="24"/>
                <w:szCs w:val="18"/>
              </w:rPr>
            </w:pPr>
            <w:r>
              <w:rPr>
                <w:rFonts w:eastAsia="仿宋_GB2312"/>
                <w:color w:val="000000"/>
                <w:sz w:val="24"/>
                <w:szCs w:val="18"/>
              </w:rPr>
              <w:t>泄漏</w:t>
            </w:r>
          </w:p>
        </w:tc>
        <w:tc>
          <w:tcPr>
            <w:tcW w:w="1282" w:type="pct"/>
            <w:vMerge w:val="restart"/>
            <w:vAlign w:val="center"/>
          </w:tcPr>
          <w:p w14:paraId="1BFF4485">
            <w:pPr>
              <w:rPr>
                <w:rFonts w:eastAsia="仿宋_GB2312"/>
                <w:color w:val="000000"/>
                <w:sz w:val="24"/>
                <w:szCs w:val="18"/>
              </w:rPr>
            </w:pPr>
            <w:r>
              <w:rPr>
                <w:rFonts w:eastAsia="仿宋_GB2312"/>
                <w:color w:val="000000"/>
                <w:sz w:val="24"/>
                <w:szCs w:val="18"/>
              </w:rPr>
              <w:t>1.输油管道、油品储罐破裂；</w:t>
            </w:r>
          </w:p>
          <w:p w14:paraId="482A03E2">
            <w:pPr>
              <w:rPr>
                <w:rFonts w:eastAsia="仿宋_GB2312"/>
                <w:color w:val="000000"/>
                <w:sz w:val="24"/>
                <w:szCs w:val="18"/>
              </w:rPr>
            </w:pPr>
            <w:r>
              <w:rPr>
                <w:rFonts w:eastAsia="仿宋_GB2312"/>
                <w:color w:val="000000"/>
                <w:sz w:val="24"/>
                <w:szCs w:val="18"/>
              </w:rPr>
              <w:t>2.法兰、阀门密封不严等造成储罐破裂；</w:t>
            </w:r>
          </w:p>
          <w:p w14:paraId="4EE5BD2D">
            <w:pPr>
              <w:rPr>
                <w:rFonts w:eastAsia="仿宋_GB2312"/>
                <w:color w:val="000000"/>
                <w:sz w:val="24"/>
                <w:szCs w:val="18"/>
              </w:rPr>
            </w:pPr>
            <w:r>
              <w:rPr>
                <w:rFonts w:eastAsia="仿宋_GB2312"/>
                <w:color w:val="000000"/>
                <w:sz w:val="24"/>
                <w:szCs w:val="18"/>
              </w:rPr>
              <w:t>3.设备故障和人为操作失误造成的油品泄漏。</w:t>
            </w:r>
          </w:p>
        </w:tc>
        <w:tc>
          <w:tcPr>
            <w:tcW w:w="940" w:type="pct"/>
            <w:vAlign w:val="center"/>
          </w:tcPr>
          <w:p w14:paraId="3AEC9C0A">
            <w:pPr>
              <w:rPr>
                <w:rFonts w:eastAsia="仿宋_GB2312"/>
                <w:color w:val="000000"/>
                <w:sz w:val="24"/>
                <w:szCs w:val="18"/>
              </w:rPr>
            </w:pPr>
            <w:r>
              <w:rPr>
                <w:rFonts w:eastAsia="仿宋_GB2312"/>
                <w:color w:val="000000"/>
                <w:sz w:val="24"/>
                <w:szCs w:val="18"/>
              </w:rPr>
              <w:t>预警等级</w:t>
            </w:r>
          </w:p>
        </w:tc>
        <w:tc>
          <w:tcPr>
            <w:tcW w:w="2030" w:type="pct"/>
            <w:vAlign w:val="center"/>
          </w:tcPr>
          <w:p w14:paraId="31F044C8">
            <w:pPr>
              <w:rPr>
                <w:rFonts w:eastAsia="仿宋_GB2312"/>
                <w:color w:val="000000"/>
                <w:sz w:val="24"/>
                <w:szCs w:val="18"/>
              </w:rPr>
            </w:pPr>
            <w:r>
              <w:rPr>
                <w:rFonts w:eastAsia="仿宋_GB2312"/>
                <w:color w:val="000000"/>
                <w:sz w:val="24"/>
                <w:szCs w:val="18"/>
              </w:rPr>
              <w:t>蓝色预警</w:t>
            </w:r>
          </w:p>
        </w:tc>
      </w:tr>
      <w:tr w14:paraId="26AB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9" w:type="pct"/>
            <w:vMerge w:val="continue"/>
            <w:vAlign w:val="center"/>
          </w:tcPr>
          <w:p w14:paraId="2DCEC828">
            <w:pPr>
              <w:rPr>
                <w:rFonts w:eastAsia="仿宋_GB2312"/>
                <w:color w:val="000000"/>
                <w:sz w:val="24"/>
                <w:szCs w:val="18"/>
              </w:rPr>
            </w:pPr>
          </w:p>
        </w:tc>
        <w:tc>
          <w:tcPr>
            <w:tcW w:w="1282" w:type="pct"/>
            <w:vMerge w:val="continue"/>
            <w:vAlign w:val="center"/>
          </w:tcPr>
          <w:p w14:paraId="58E3B7F1">
            <w:pPr>
              <w:rPr>
                <w:rFonts w:eastAsia="仿宋_GB2312"/>
                <w:color w:val="000000"/>
                <w:sz w:val="24"/>
                <w:szCs w:val="18"/>
              </w:rPr>
            </w:pPr>
          </w:p>
        </w:tc>
        <w:tc>
          <w:tcPr>
            <w:tcW w:w="940" w:type="pct"/>
            <w:vAlign w:val="center"/>
          </w:tcPr>
          <w:p w14:paraId="755E7D4E">
            <w:pPr>
              <w:rPr>
                <w:rFonts w:eastAsia="仿宋_GB2312"/>
                <w:color w:val="000000"/>
                <w:sz w:val="24"/>
                <w:szCs w:val="18"/>
              </w:rPr>
            </w:pPr>
            <w:r>
              <w:rPr>
                <w:rFonts w:eastAsia="仿宋_GB2312"/>
                <w:color w:val="000000"/>
                <w:sz w:val="24"/>
                <w:szCs w:val="18"/>
              </w:rPr>
              <w:t>预警信息发布、接收、调整、解除程序、发布内容及责任人</w:t>
            </w:r>
          </w:p>
        </w:tc>
        <w:tc>
          <w:tcPr>
            <w:tcW w:w="2030" w:type="pct"/>
            <w:vAlign w:val="center"/>
          </w:tcPr>
          <w:p w14:paraId="0BC635AF">
            <w:pPr>
              <w:rPr>
                <w:rFonts w:eastAsia="仿宋_GB2312"/>
                <w:color w:val="000000"/>
                <w:sz w:val="24"/>
                <w:szCs w:val="18"/>
              </w:rPr>
            </w:pPr>
            <w:r>
              <w:rPr>
                <w:rFonts w:eastAsia="仿宋_GB2312"/>
                <w:color w:val="000000"/>
                <w:sz w:val="24"/>
                <w:szCs w:val="18"/>
              </w:rPr>
              <w:t>由应急指挥部总指挥将可能发生的油品泄漏事故及预警等级通知各应急小组负责人，各负责人接收到预警信息后根据预警信息准备相应人员及物资，并根据现场情况进行调整，应急指挥组确定油品泄漏未引发环境污染事故时解除应急程序。</w:t>
            </w:r>
          </w:p>
        </w:tc>
      </w:tr>
      <w:tr w14:paraId="39CE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9" w:type="pct"/>
            <w:vMerge w:val="restart"/>
            <w:vAlign w:val="center"/>
          </w:tcPr>
          <w:p w14:paraId="5F623D5E">
            <w:pPr>
              <w:rPr>
                <w:rFonts w:eastAsia="仿宋_GB2312"/>
                <w:color w:val="000000"/>
                <w:sz w:val="24"/>
                <w:szCs w:val="18"/>
              </w:rPr>
            </w:pPr>
            <w:r>
              <w:rPr>
                <w:rFonts w:eastAsia="仿宋_GB2312"/>
                <w:color w:val="000000"/>
                <w:sz w:val="24"/>
                <w:szCs w:val="18"/>
              </w:rPr>
              <w:t>污染治理设施异常</w:t>
            </w:r>
          </w:p>
        </w:tc>
        <w:tc>
          <w:tcPr>
            <w:tcW w:w="1282" w:type="pct"/>
            <w:vMerge w:val="restart"/>
            <w:vAlign w:val="center"/>
          </w:tcPr>
          <w:p w14:paraId="75B84535">
            <w:pPr>
              <w:rPr>
                <w:rFonts w:eastAsia="仿宋_GB2312"/>
                <w:color w:val="000000"/>
                <w:sz w:val="24"/>
                <w:szCs w:val="18"/>
              </w:rPr>
            </w:pPr>
            <w:r>
              <w:rPr>
                <w:rFonts w:eastAsia="仿宋_GB2312"/>
                <w:color w:val="000000"/>
                <w:sz w:val="24"/>
                <w:szCs w:val="18"/>
              </w:rPr>
              <w:t>1.设备故障；</w:t>
            </w:r>
          </w:p>
          <w:p w14:paraId="4BEB651D">
            <w:pPr>
              <w:rPr>
                <w:rFonts w:eastAsia="仿宋_GB2312"/>
                <w:color w:val="000000"/>
                <w:sz w:val="24"/>
                <w:szCs w:val="18"/>
              </w:rPr>
            </w:pPr>
            <w:r>
              <w:rPr>
                <w:rFonts w:eastAsia="仿宋_GB2312"/>
                <w:color w:val="000000"/>
                <w:sz w:val="24"/>
                <w:szCs w:val="18"/>
              </w:rPr>
              <w:t>2.违规操作或未启动设备</w:t>
            </w:r>
          </w:p>
        </w:tc>
        <w:tc>
          <w:tcPr>
            <w:tcW w:w="940" w:type="pct"/>
            <w:vAlign w:val="center"/>
          </w:tcPr>
          <w:p w14:paraId="5C977535">
            <w:pPr>
              <w:rPr>
                <w:rFonts w:eastAsia="仿宋_GB2312"/>
                <w:color w:val="000000"/>
                <w:sz w:val="24"/>
                <w:szCs w:val="18"/>
              </w:rPr>
            </w:pPr>
            <w:r>
              <w:rPr>
                <w:rFonts w:eastAsia="仿宋_GB2312"/>
                <w:color w:val="000000"/>
                <w:sz w:val="24"/>
                <w:szCs w:val="18"/>
              </w:rPr>
              <w:t>预警等级</w:t>
            </w:r>
          </w:p>
        </w:tc>
        <w:tc>
          <w:tcPr>
            <w:tcW w:w="2030" w:type="pct"/>
            <w:vAlign w:val="center"/>
          </w:tcPr>
          <w:p w14:paraId="13509F27">
            <w:pPr>
              <w:rPr>
                <w:rFonts w:eastAsia="仿宋_GB2312"/>
                <w:color w:val="000000"/>
                <w:sz w:val="24"/>
                <w:szCs w:val="18"/>
              </w:rPr>
            </w:pPr>
            <w:r>
              <w:rPr>
                <w:rFonts w:hint="eastAsia" w:eastAsia="仿宋_GB2312"/>
                <w:color w:val="000000"/>
                <w:sz w:val="24"/>
                <w:szCs w:val="18"/>
              </w:rPr>
              <w:t>蓝</w:t>
            </w:r>
            <w:r>
              <w:rPr>
                <w:rFonts w:eastAsia="仿宋_GB2312"/>
                <w:color w:val="000000"/>
                <w:sz w:val="24"/>
                <w:szCs w:val="18"/>
              </w:rPr>
              <w:t>色预警</w:t>
            </w:r>
          </w:p>
        </w:tc>
      </w:tr>
      <w:tr w14:paraId="792E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9" w:type="pct"/>
            <w:vMerge w:val="continue"/>
            <w:vAlign w:val="center"/>
          </w:tcPr>
          <w:p w14:paraId="34EA69C7">
            <w:pPr>
              <w:rPr>
                <w:rFonts w:eastAsia="仿宋_GB2312"/>
                <w:color w:val="000000"/>
                <w:sz w:val="24"/>
                <w:szCs w:val="18"/>
              </w:rPr>
            </w:pPr>
          </w:p>
        </w:tc>
        <w:tc>
          <w:tcPr>
            <w:tcW w:w="1282" w:type="pct"/>
            <w:vMerge w:val="continue"/>
            <w:vAlign w:val="center"/>
          </w:tcPr>
          <w:p w14:paraId="300FEC39">
            <w:pPr>
              <w:rPr>
                <w:rFonts w:eastAsia="仿宋_GB2312"/>
                <w:color w:val="000000"/>
                <w:sz w:val="24"/>
                <w:szCs w:val="18"/>
              </w:rPr>
            </w:pPr>
          </w:p>
        </w:tc>
        <w:tc>
          <w:tcPr>
            <w:tcW w:w="940" w:type="pct"/>
            <w:vAlign w:val="center"/>
          </w:tcPr>
          <w:p w14:paraId="235E604E">
            <w:pPr>
              <w:rPr>
                <w:rFonts w:eastAsia="仿宋_GB2312"/>
                <w:color w:val="000000"/>
                <w:sz w:val="24"/>
                <w:szCs w:val="18"/>
              </w:rPr>
            </w:pPr>
            <w:r>
              <w:rPr>
                <w:rFonts w:eastAsia="仿宋_GB2312"/>
                <w:color w:val="000000"/>
                <w:sz w:val="24"/>
                <w:szCs w:val="18"/>
              </w:rPr>
              <w:t>预警信息发布、接收、调整、解除程序、发布内容及责任人</w:t>
            </w:r>
          </w:p>
        </w:tc>
        <w:tc>
          <w:tcPr>
            <w:tcW w:w="2030" w:type="pct"/>
            <w:vAlign w:val="center"/>
          </w:tcPr>
          <w:p w14:paraId="48D97E71">
            <w:pPr>
              <w:rPr>
                <w:rFonts w:eastAsia="仿宋_GB2312"/>
                <w:color w:val="000000"/>
                <w:sz w:val="24"/>
                <w:szCs w:val="18"/>
              </w:rPr>
            </w:pPr>
            <w:r>
              <w:rPr>
                <w:rFonts w:eastAsia="仿宋_GB2312"/>
                <w:color w:val="000000"/>
                <w:sz w:val="24"/>
                <w:szCs w:val="18"/>
              </w:rPr>
              <w:t>由应急指挥部总指挥将可能发生的大气污染事故及预警等级通知各应急小组负责人，各负责人接收到预警信息后根据预警信息准备相应人员及物资，并根据现场情况进行调整，应急指挥组确定设备故障或违规操作、未启动设备未引发人员伤害，周边大气、地下水、土壤污染事故时解除应急程序。</w:t>
            </w:r>
          </w:p>
        </w:tc>
      </w:tr>
      <w:tr w14:paraId="2523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9" w:type="pct"/>
            <w:vMerge w:val="restart"/>
            <w:vAlign w:val="center"/>
          </w:tcPr>
          <w:p w14:paraId="5FE14F9E">
            <w:pPr>
              <w:rPr>
                <w:rFonts w:eastAsia="仿宋_GB2312"/>
                <w:color w:val="000000"/>
                <w:sz w:val="24"/>
                <w:szCs w:val="18"/>
              </w:rPr>
            </w:pPr>
            <w:r>
              <w:rPr>
                <w:rFonts w:eastAsia="仿宋_GB2312"/>
                <w:color w:val="000000"/>
                <w:sz w:val="24"/>
                <w:szCs w:val="18"/>
              </w:rPr>
              <w:t>自然灾害、极端天气</w:t>
            </w:r>
          </w:p>
        </w:tc>
        <w:tc>
          <w:tcPr>
            <w:tcW w:w="1282" w:type="pct"/>
            <w:vMerge w:val="restart"/>
            <w:vAlign w:val="center"/>
          </w:tcPr>
          <w:p w14:paraId="7EF9DDBA">
            <w:pPr>
              <w:rPr>
                <w:rFonts w:eastAsia="仿宋_GB2312"/>
                <w:color w:val="000000"/>
                <w:sz w:val="24"/>
                <w:szCs w:val="18"/>
              </w:rPr>
            </w:pPr>
            <w:r>
              <w:rPr>
                <w:rFonts w:eastAsia="仿宋_GB2312"/>
                <w:color w:val="000000"/>
                <w:sz w:val="24"/>
                <w:szCs w:val="18"/>
              </w:rPr>
              <w:t>闪点、雷击</w:t>
            </w:r>
          </w:p>
        </w:tc>
        <w:tc>
          <w:tcPr>
            <w:tcW w:w="940" w:type="pct"/>
            <w:vAlign w:val="center"/>
          </w:tcPr>
          <w:p w14:paraId="3CAFF095">
            <w:pPr>
              <w:rPr>
                <w:rFonts w:eastAsia="仿宋_GB2312"/>
                <w:color w:val="000000"/>
                <w:sz w:val="24"/>
                <w:szCs w:val="18"/>
              </w:rPr>
            </w:pPr>
            <w:r>
              <w:rPr>
                <w:rFonts w:eastAsia="仿宋_GB2312"/>
                <w:color w:val="000000"/>
                <w:sz w:val="24"/>
                <w:szCs w:val="18"/>
              </w:rPr>
              <w:t>预警等级</w:t>
            </w:r>
          </w:p>
        </w:tc>
        <w:tc>
          <w:tcPr>
            <w:tcW w:w="2030" w:type="pct"/>
            <w:vAlign w:val="center"/>
          </w:tcPr>
          <w:p w14:paraId="6D443BA5">
            <w:pPr>
              <w:rPr>
                <w:rFonts w:eastAsia="仿宋_GB2312"/>
                <w:color w:val="000000"/>
                <w:sz w:val="24"/>
                <w:szCs w:val="18"/>
              </w:rPr>
            </w:pPr>
            <w:r>
              <w:rPr>
                <w:rFonts w:eastAsia="仿宋_GB2312"/>
                <w:color w:val="000000"/>
                <w:sz w:val="24"/>
                <w:szCs w:val="18"/>
              </w:rPr>
              <w:t>红色预警</w:t>
            </w:r>
          </w:p>
        </w:tc>
      </w:tr>
      <w:tr w14:paraId="13A5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9" w:type="pct"/>
            <w:vMerge w:val="continue"/>
            <w:vAlign w:val="center"/>
          </w:tcPr>
          <w:p w14:paraId="69EF6238">
            <w:pPr>
              <w:rPr>
                <w:rFonts w:eastAsia="仿宋_GB2312"/>
                <w:color w:val="000000"/>
                <w:sz w:val="24"/>
                <w:szCs w:val="18"/>
              </w:rPr>
            </w:pPr>
          </w:p>
        </w:tc>
        <w:tc>
          <w:tcPr>
            <w:tcW w:w="1282" w:type="pct"/>
            <w:vMerge w:val="continue"/>
            <w:vAlign w:val="center"/>
          </w:tcPr>
          <w:p w14:paraId="3A430A21">
            <w:pPr>
              <w:rPr>
                <w:rFonts w:eastAsia="仿宋_GB2312"/>
                <w:color w:val="000000"/>
                <w:sz w:val="24"/>
                <w:szCs w:val="18"/>
              </w:rPr>
            </w:pPr>
          </w:p>
        </w:tc>
        <w:tc>
          <w:tcPr>
            <w:tcW w:w="940" w:type="pct"/>
            <w:vAlign w:val="center"/>
          </w:tcPr>
          <w:p w14:paraId="32BAC4E8">
            <w:pPr>
              <w:rPr>
                <w:rFonts w:eastAsia="仿宋_GB2312"/>
                <w:color w:val="000000"/>
                <w:sz w:val="24"/>
                <w:szCs w:val="18"/>
              </w:rPr>
            </w:pPr>
            <w:r>
              <w:rPr>
                <w:rFonts w:eastAsia="仿宋_GB2312"/>
                <w:color w:val="000000"/>
                <w:sz w:val="24"/>
                <w:szCs w:val="18"/>
              </w:rPr>
              <w:t>预警信息发布、接收、调整、解除程序、发布内容及责任人</w:t>
            </w:r>
          </w:p>
        </w:tc>
        <w:tc>
          <w:tcPr>
            <w:tcW w:w="2030" w:type="pct"/>
            <w:vAlign w:val="center"/>
          </w:tcPr>
          <w:p w14:paraId="4150C37B">
            <w:pPr>
              <w:rPr>
                <w:rFonts w:eastAsia="仿宋_GB2312"/>
                <w:color w:val="000000"/>
                <w:sz w:val="24"/>
                <w:szCs w:val="18"/>
              </w:rPr>
            </w:pPr>
            <w:r>
              <w:rPr>
                <w:rFonts w:eastAsia="仿宋_GB2312"/>
                <w:color w:val="000000"/>
                <w:sz w:val="24"/>
                <w:szCs w:val="18"/>
              </w:rPr>
              <w:t>由应急指挥部总指挥将可能发生的事故及预警等级通知各应急小组负责人，各负责人接收到预警信息后根据预警信息准备相应人员及物资，并根据现场情况进行调整，应急指挥组确定闪点、雷击引发未引发火灾、爆炸、泄漏事故时解除应急程序。</w:t>
            </w:r>
          </w:p>
        </w:tc>
      </w:tr>
    </w:tbl>
    <w:p w14:paraId="24FBA3BD">
      <w:pPr>
        <w:pStyle w:val="22"/>
        <w:ind w:firstLine="600" w:firstLineChars="200"/>
        <w:jc w:val="both"/>
        <w:rPr>
          <w:rFonts w:hint="eastAsia"/>
        </w:rPr>
      </w:pPr>
      <w:r>
        <w:t>对于不同级别的环境事件，不同的预警级别，本加油站进行不同应急救援响应，制定不同的应急措施，并采取不同级别的汇报工作。本加油站突发环境事件应急流程如下图所示：</w:t>
      </w:r>
    </w:p>
    <w:p w14:paraId="0179017F">
      <w:pPr>
        <w:jc w:val="center"/>
        <w:rPr>
          <w:rFonts w:eastAsia="仿宋_GB2312"/>
          <w:sz w:val="24"/>
          <w:szCs w:val="24"/>
        </w:rPr>
      </w:pPr>
      <w:r>
        <w:rPr>
          <w:rFonts w:eastAsia="仿宋_GB2312"/>
          <w:sz w:val="24"/>
          <w:szCs w:val="24"/>
        </w:rPr>
        <w:drawing>
          <wp:inline distT="0" distB="0" distL="0" distR="0">
            <wp:extent cx="5343525" cy="6962775"/>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6" cstate="print"/>
                    <a:srcRect/>
                    <a:stretch>
                      <a:fillRect/>
                    </a:stretch>
                  </pic:blipFill>
                  <pic:spPr>
                    <a:xfrm>
                      <a:off x="0" y="0"/>
                      <a:ext cx="5343525" cy="6962775"/>
                    </a:xfrm>
                    <a:prstGeom prst="rect">
                      <a:avLst/>
                    </a:prstGeom>
                    <a:noFill/>
                    <a:ln w="9525">
                      <a:noFill/>
                      <a:miter lim="800000"/>
                      <a:headEnd/>
                      <a:tailEnd/>
                    </a:ln>
                  </pic:spPr>
                </pic:pic>
              </a:graphicData>
            </a:graphic>
          </wp:inline>
        </w:drawing>
      </w:r>
    </w:p>
    <w:p w14:paraId="3E4D2AFB">
      <w:pPr>
        <w:spacing w:after="120" w:afterLines="50"/>
        <w:jc w:val="center"/>
        <w:rPr>
          <w:rFonts w:eastAsia="仿宋"/>
          <w:sz w:val="28"/>
          <w:szCs w:val="28"/>
        </w:rPr>
      </w:pPr>
      <w:r>
        <w:rPr>
          <w:rFonts w:eastAsia="仿宋"/>
          <w:sz w:val="28"/>
          <w:szCs w:val="28"/>
        </w:rPr>
        <w:t>图6.1-1突发环境事件应急流程</w:t>
      </w:r>
    </w:p>
    <w:p w14:paraId="01F152A4">
      <w:pPr>
        <w:spacing w:after="120" w:afterLines="50"/>
        <w:jc w:val="center"/>
        <w:rPr>
          <w:rFonts w:eastAsia="仿宋"/>
          <w:sz w:val="28"/>
          <w:szCs w:val="28"/>
        </w:rPr>
      </w:pPr>
    </w:p>
    <w:p w14:paraId="16362855">
      <w:pPr>
        <w:spacing w:line="360" w:lineRule="auto"/>
        <w:outlineLvl w:val="2"/>
        <w:rPr>
          <w:rFonts w:eastAsia="仿宋_GB2312"/>
          <w:b/>
          <w:bCs/>
          <w:sz w:val="28"/>
          <w:szCs w:val="32"/>
        </w:rPr>
      </w:pPr>
      <w:r>
        <w:rPr>
          <w:rFonts w:eastAsia="仿宋_GB2312"/>
          <w:b/>
          <w:bCs/>
          <w:sz w:val="28"/>
          <w:szCs w:val="32"/>
        </w:rPr>
        <w:t>6.1.2一级（社会级）突发事件的应急响应</w:t>
      </w:r>
    </w:p>
    <w:p w14:paraId="0E40104E">
      <w:pPr>
        <w:spacing w:line="360" w:lineRule="auto"/>
        <w:ind w:firstLine="560" w:firstLineChars="200"/>
        <w:rPr>
          <w:rFonts w:eastAsia="仿宋"/>
          <w:sz w:val="28"/>
          <w:szCs w:val="28"/>
        </w:rPr>
      </w:pPr>
      <w:r>
        <w:rPr>
          <w:rFonts w:eastAsia="仿宋"/>
          <w:sz w:val="28"/>
          <w:szCs w:val="28"/>
        </w:rPr>
        <w:t>一级（社会级）事故是指发生加油站及分公司力量难以独立应对的突发环境事件，现场发生了非常严重的紧急情况，事故已经超出了加油站的边界，加油站自身难以应付。可能导致严重的土壤污染和地表水污染，事故情景主要包括站区内罐区卸油过程油类大量泄漏，短时间难以控制，以及加油站发生大面积火灾，必须动用站区灭火器扑救及启用消防水降温，并拨打119寻求专业消防救援，泄漏物及消防废水废液可能流出站区的情景，此类事故加油站及分公司力量难以独立应对，必须报告区生态环境局，启动社会级响应。</w:t>
      </w:r>
    </w:p>
    <w:p w14:paraId="001BC502">
      <w:pPr>
        <w:spacing w:line="360" w:lineRule="auto"/>
        <w:ind w:firstLine="560" w:firstLineChars="200"/>
        <w:rPr>
          <w:rFonts w:eastAsia="仿宋"/>
          <w:sz w:val="28"/>
          <w:szCs w:val="28"/>
        </w:rPr>
      </w:pPr>
      <w:r>
        <w:rPr>
          <w:rFonts w:eastAsia="仿宋"/>
          <w:sz w:val="28"/>
          <w:szCs w:val="28"/>
        </w:rPr>
        <w:t>具体应急响应程序如下：</w:t>
      </w:r>
    </w:p>
    <w:p w14:paraId="6829C369">
      <w:pPr>
        <w:spacing w:line="360" w:lineRule="auto"/>
        <w:ind w:firstLine="560" w:firstLineChars="200"/>
        <w:rPr>
          <w:rFonts w:eastAsia="仿宋"/>
          <w:sz w:val="28"/>
          <w:szCs w:val="28"/>
        </w:rPr>
      </w:pPr>
      <w:r>
        <w:rPr>
          <w:rFonts w:eastAsia="仿宋"/>
          <w:sz w:val="28"/>
          <w:szCs w:val="28"/>
        </w:rPr>
        <w:t>（1）</w:t>
      </w:r>
      <w:r>
        <w:rPr>
          <w:rFonts w:ascii="仿宋" w:hAnsi="仿宋" w:eastAsia="仿宋" w:cs="仿宋"/>
          <w:spacing w:val="-5"/>
          <w:sz w:val="28"/>
          <w:szCs w:val="28"/>
        </w:rPr>
        <w:t>由加油站应急总指挥启动一级响应。加油站</w:t>
      </w:r>
      <w:r>
        <w:rPr>
          <w:rFonts w:ascii="仿宋" w:hAnsi="仿宋" w:eastAsia="仿宋" w:cs="仿宋"/>
          <w:spacing w:val="-6"/>
          <w:sz w:val="28"/>
          <w:szCs w:val="28"/>
        </w:rPr>
        <w:t>应急总指挥第一时间</w:t>
      </w:r>
      <w:r>
        <w:rPr>
          <w:rFonts w:ascii="仿宋" w:hAnsi="仿宋" w:eastAsia="仿宋" w:cs="仿宋"/>
          <w:spacing w:val="-3"/>
          <w:sz w:val="28"/>
          <w:szCs w:val="28"/>
        </w:rPr>
        <w:t>上报中国石化销售股份有限公司天津西</w:t>
      </w:r>
      <w:r>
        <w:rPr>
          <w:rFonts w:hint="eastAsia" w:ascii="仿宋" w:hAnsi="仿宋" w:eastAsia="仿宋" w:cs="仿宋"/>
          <w:spacing w:val="-3"/>
          <w:sz w:val="28"/>
          <w:szCs w:val="28"/>
        </w:rPr>
        <w:t>南</w:t>
      </w:r>
      <w:r>
        <w:rPr>
          <w:rFonts w:ascii="仿宋" w:hAnsi="仿宋" w:eastAsia="仿宋" w:cs="仿宋"/>
          <w:spacing w:val="-3"/>
          <w:sz w:val="28"/>
          <w:szCs w:val="28"/>
        </w:rPr>
        <w:t>石油分公司（如发生火灾，</w:t>
      </w:r>
      <w:r>
        <w:rPr>
          <w:rFonts w:ascii="仿宋" w:hAnsi="仿宋" w:eastAsia="仿宋" w:cs="仿宋"/>
          <w:spacing w:val="-1"/>
          <w:sz w:val="28"/>
          <w:szCs w:val="28"/>
        </w:rPr>
        <w:t>还需同时拨打</w:t>
      </w:r>
      <w:r>
        <w:rPr>
          <w:rFonts w:eastAsia="Times New Roman"/>
          <w:spacing w:val="-1"/>
          <w:sz w:val="28"/>
          <w:szCs w:val="28"/>
        </w:rPr>
        <w:t>119</w:t>
      </w:r>
      <w:r>
        <w:rPr>
          <w:rFonts w:ascii="仿宋" w:hAnsi="仿宋" w:eastAsia="仿宋" w:cs="仿宋"/>
          <w:spacing w:val="-1"/>
          <w:sz w:val="28"/>
          <w:szCs w:val="28"/>
        </w:rPr>
        <w:t>（外线）电话报警</w:t>
      </w:r>
      <w:r>
        <w:rPr>
          <w:rFonts w:ascii="仿宋" w:hAnsi="仿宋" w:eastAsia="仿宋" w:cs="仿宋"/>
          <w:spacing w:val="29"/>
          <w:sz w:val="28"/>
          <w:szCs w:val="28"/>
        </w:rPr>
        <w:t>），</w:t>
      </w:r>
      <w:r>
        <w:rPr>
          <w:rFonts w:ascii="仿宋" w:hAnsi="仿宋" w:eastAsia="仿宋" w:cs="仿宋"/>
          <w:spacing w:val="-1"/>
          <w:sz w:val="28"/>
          <w:szCs w:val="28"/>
        </w:rPr>
        <w:t>由上级公司提供帮助</w:t>
      </w:r>
      <w:r>
        <w:rPr>
          <w:rFonts w:hint="eastAsia" w:ascii="仿宋" w:hAnsi="仿宋" w:eastAsia="仿宋" w:cs="仿宋"/>
          <w:spacing w:val="-1"/>
          <w:sz w:val="28"/>
          <w:szCs w:val="28"/>
        </w:rPr>
        <w:t>。</w:t>
      </w:r>
    </w:p>
    <w:p w14:paraId="4BC538C4">
      <w:pPr>
        <w:spacing w:line="360" w:lineRule="auto"/>
        <w:ind w:firstLine="560" w:firstLineChars="200"/>
        <w:rPr>
          <w:rFonts w:eastAsia="仿宋"/>
          <w:sz w:val="28"/>
          <w:szCs w:val="28"/>
        </w:rPr>
      </w:pPr>
      <w:r>
        <w:rPr>
          <w:rFonts w:eastAsia="仿宋"/>
          <w:sz w:val="28"/>
          <w:szCs w:val="28"/>
        </w:rPr>
        <w:t>（2）事故发生后及时联系</w:t>
      </w:r>
      <w:r>
        <w:rPr>
          <w:rFonts w:hint="eastAsia" w:eastAsia="仿宋"/>
          <w:sz w:val="28"/>
          <w:szCs w:val="28"/>
        </w:rPr>
        <w:t>津南</w:t>
      </w:r>
      <w:r>
        <w:rPr>
          <w:rFonts w:eastAsia="仿宋"/>
          <w:sz w:val="28"/>
          <w:szCs w:val="28"/>
        </w:rPr>
        <w:t>区生态环境局，</w:t>
      </w:r>
      <w:r>
        <w:rPr>
          <w:rFonts w:ascii="仿宋" w:hAnsi="仿宋" w:eastAsia="仿宋" w:cs="仿宋"/>
          <w:spacing w:val="-4"/>
          <w:sz w:val="28"/>
          <w:szCs w:val="28"/>
        </w:rPr>
        <w:t>津南区生态环境局视事故情况启动区域应急预案，实现加油站环境事故应急预案与天津市津南区突发环境事件应急预案的衔接。</w:t>
      </w:r>
    </w:p>
    <w:p w14:paraId="12860CF5">
      <w:pPr>
        <w:spacing w:line="360" w:lineRule="auto"/>
        <w:outlineLvl w:val="2"/>
        <w:rPr>
          <w:rFonts w:eastAsia="仿宋_GB2312"/>
          <w:b/>
          <w:bCs/>
          <w:sz w:val="28"/>
          <w:szCs w:val="32"/>
        </w:rPr>
      </w:pPr>
      <w:r>
        <w:rPr>
          <w:rFonts w:eastAsia="仿宋_GB2312"/>
          <w:b/>
          <w:bCs/>
          <w:sz w:val="28"/>
          <w:szCs w:val="32"/>
        </w:rPr>
        <w:t>6.1.3二级（</w:t>
      </w:r>
      <w:r>
        <w:rPr>
          <w:rFonts w:hint="eastAsia" w:eastAsia="仿宋_GB2312"/>
          <w:b/>
          <w:bCs/>
          <w:sz w:val="28"/>
          <w:szCs w:val="32"/>
        </w:rPr>
        <w:t>分公司</w:t>
      </w:r>
      <w:r>
        <w:rPr>
          <w:rFonts w:eastAsia="仿宋_GB2312"/>
          <w:b/>
          <w:bCs/>
          <w:sz w:val="28"/>
          <w:szCs w:val="32"/>
        </w:rPr>
        <w:t>级）突发事件的应急响应</w:t>
      </w:r>
    </w:p>
    <w:p w14:paraId="73EDAD1E">
      <w:pPr>
        <w:spacing w:line="360" w:lineRule="auto"/>
        <w:ind w:firstLine="560" w:firstLineChars="200"/>
        <w:rPr>
          <w:rFonts w:eastAsia="仿宋"/>
          <w:sz w:val="28"/>
          <w:szCs w:val="28"/>
        </w:rPr>
      </w:pPr>
      <w:r>
        <w:rPr>
          <w:rFonts w:eastAsia="仿宋"/>
          <w:sz w:val="28"/>
          <w:szCs w:val="28"/>
        </w:rPr>
        <w:t>二级（分公司级）响应启动条件是发生了加油站不能独立控制的突发环境事件，主要包括加油岛中加油枪风险物质泄漏、检修或清罐时风险物质泄漏、储油罐破损风险物质泄漏等较多风险物质泄漏，以及可以用灭火器控制的小型火灾。具体应急相应措施如下：</w:t>
      </w:r>
    </w:p>
    <w:p w14:paraId="57AC136D">
      <w:pPr>
        <w:spacing w:line="360" w:lineRule="auto"/>
        <w:ind w:firstLine="560" w:firstLineChars="200"/>
        <w:rPr>
          <w:rFonts w:eastAsia="仿宋"/>
          <w:sz w:val="28"/>
          <w:szCs w:val="28"/>
        </w:rPr>
      </w:pPr>
      <w:r>
        <w:rPr>
          <w:rFonts w:eastAsia="仿宋"/>
          <w:sz w:val="28"/>
          <w:szCs w:val="28"/>
        </w:rPr>
        <w:t>最早发现事故者应立即向加油站应急总指挥报警，加油站应急总指挥接到报警后，立即按岗位操作规程的有关要求部署相关岗位采取控制措施，并穿戴相应的防护服、面具、眼镜、手套等个体防护装备，采取正确有效的措施切断、控制事故源。如发生火灾，还需同时拨打119（外线）电话报警。</w:t>
      </w:r>
    </w:p>
    <w:p w14:paraId="189656B8">
      <w:pPr>
        <w:spacing w:line="360" w:lineRule="auto"/>
        <w:ind w:firstLine="560" w:firstLineChars="200"/>
        <w:rPr>
          <w:rFonts w:eastAsia="仿宋"/>
          <w:sz w:val="28"/>
          <w:szCs w:val="28"/>
        </w:rPr>
      </w:pPr>
      <w:r>
        <w:rPr>
          <w:rFonts w:eastAsia="仿宋"/>
          <w:sz w:val="28"/>
          <w:szCs w:val="28"/>
        </w:rPr>
        <w:t>（2）加油站应急总指挥立即通知上级公司，公司应急办公室立即向公司总指挥及分管生产安全的领导报告，总指挥应根据事故救援预案有关程序下达救援指令，启动分公司级应急救援预案。</w:t>
      </w:r>
    </w:p>
    <w:p w14:paraId="7A1CF975">
      <w:pPr>
        <w:spacing w:line="360" w:lineRule="auto"/>
        <w:outlineLvl w:val="2"/>
        <w:rPr>
          <w:rFonts w:eastAsia="仿宋_GB2312"/>
          <w:b/>
          <w:bCs/>
          <w:sz w:val="28"/>
          <w:szCs w:val="32"/>
        </w:rPr>
      </w:pPr>
      <w:r>
        <w:rPr>
          <w:rFonts w:eastAsia="仿宋_GB2312"/>
          <w:b/>
          <w:bCs/>
          <w:sz w:val="28"/>
          <w:szCs w:val="32"/>
        </w:rPr>
        <w:t>6.1.</w:t>
      </w:r>
      <w:r>
        <w:rPr>
          <w:rFonts w:hint="eastAsia" w:eastAsia="仿宋_GB2312"/>
          <w:b/>
          <w:bCs/>
          <w:sz w:val="28"/>
          <w:szCs w:val="32"/>
        </w:rPr>
        <w:t>4三</w:t>
      </w:r>
      <w:r>
        <w:rPr>
          <w:rFonts w:eastAsia="仿宋_GB2312"/>
          <w:b/>
          <w:bCs/>
          <w:sz w:val="28"/>
          <w:szCs w:val="32"/>
        </w:rPr>
        <w:t>级（加油站级）突发事件的应急响应</w:t>
      </w:r>
    </w:p>
    <w:p w14:paraId="5EA8C0DD">
      <w:pPr>
        <w:spacing w:line="360" w:lineRule="auto"/>
        <w:ind w:firstLine="560" w:firstLineChars="200"/>
        <w:rPr>
          <w:rFonts w:eastAsia="仿宋"/>
          <w:sz w:val="28"/>
          <w:szCs w:val="28"/>
        </w:rPr>
      </w:pPr>
      <w:r>
        <w:rPr>
          <w:rFonts w:eastAsia="仿宋"/>
          <w:sz w:val="28"/>
          <w:szCs w:val="28"/>
        </w:rPr>
        <w:t>站内发生突发环境事件，由于其对周边环境造成的危害较小，视为一般环境事件。启动三级应急响应。三级（现场级）响应启动条件是发生了站区范围内可控制的小型事故，主要包括加油岛中加油枪、加油管内风险物质泄漏、检修或清罐时风险物质泄漏、储油罐破损风险物质泄漏等少量风险物质泄漏。</w:t>
      </w:r>
    </w:p>
    <w:p w14:paraId="775509AA">
      <w:pPr>
        <w:spacing w:line="360" w:lineRule="auto"/>
        <w:ind w:firstLine="560" w:firstLineChars="200"/>
        <w:rPr>
          <w:rFonts w:eastAsia="仿宋"/>
          <w:sz w:val="28"/>
          <w:szCs w:val="28"/>
        </w:rPr>
      </w:pPr>
      <w:r>
        <w:rPr>
          <w:rFonts w:eastAsia="仿宋"/>
          <w:sz w:val="28"/>
          <w:szCs w:val="28"/>
        </w:rPr>
        <w:t>具体应急相应措施如下：</w:t>
      </w:r>
    </w:p>
    <w:p w14:paraId="7D46B193">
      <w:pPr>
        <w:spacing w:line="360" w:lineRule="auto"/>
        <w:ind w:firstLine="560" w:firstLineChars="200"/>
        <w:rPr>
          <w:rFonts w:eastAsia="仿宋"/>
          <w:sz w:val="28"/>
          <w:szCs w:val="28"/>
        </w:rPr>
      </w:pPr>
      <w:r>
        <w:rPr>
          <w:rFonts w:eastAsia="仿宋"/>
          <w:sz w:val="28"/>
          <w:szCs w:val="28"/>
        </w:rPr>
        <w:t>（1）</w:t>
      </w:r>
      <w:r>
        <w:rPr>
          <w:rFonts w:ascii="仿宋" w:hAnsi="仿宋" w:eastAsia="仿宋" w:cs="仿宋"/>
          <w:spacing w:val="-4"/>
          <w:sz w:val="28"/>
          <w:szCs w:val="28"/>
        </w:rPr>
        <w:t>最早发现事故者，应立即采取正确有效的措施，同</w:t>
      </w:r>
      <w:r>
        <w:rPr>
          <w:rFonts w:ascii="仿宋" w:hAnsi="仿宋" w:eastAsia="仿宋" w:cs="仿宋"/>
          <w:spacing w:val="-5"/>
          <w:sz w:val="28"/>
          <w:szCs w:val="28"/>
        </w:rPr>
        <w:t>时通知加油站</w:t>
      </w:r>
      <w:r>
        <w:rPr>
          <w:rFonts w:ascii="仿宋" w:hAnsi="仿宋" w:eastAsia="仿宋" w:cs="仿宋"/>
          <w:spacing w:val="-4"/>
          <w:sz w:val="28"/>
          <w:szCs w:val="28"/>
        </w:rPr>
        <w:t>应急总指挥</w:t>
      </w:r>
      <w:r>
        <w:rPr>
          <w:rFonts w:hint="eastAsia" w:ascii="仿宋" w:hAnsi="仿宋" w:eastAsia="仿宋" w:cs="仿宋"/>
          <w:spacing w:val="-4"/>
          <w:sz w:val="28"/>
          <w:szCs w:val="28"/>
        </w:rPr>
        <w:t>。</w:t>
      </w:r>
    </w:p>
    <w:p w14:paraId="3FEEB510">
      <w:pPr>
        <w:spacing w:line="360" w:lineRule="auto"/>
        <w:ind w:firstLine="560" w:firstLineChars="200"/>
        <w:rPr>
          <w:rFonts w:eastAsia="仿宋"/>
          <w:sz w:val="28"/>
          <w:szCs w:val="28"/>
        </w:rPr>
      </w:pPr>
      <w:r>
        <w:rPr>
          <w:rFonts w:eastAsia="仿宋"/>
          <w:sz w:val="28"/>
          <w:szCs w:val="28"/>
        </w:rPr>
        <w:t>（2）</w:t>
      </w:r>
      <w:r>
        <w:rPr>
          <w:rFonts w:ascii="仿宋" w:hAnsi="仿宋" w:eastAsia="仿宋" w:cs="仿宋"/>
          <w:spacing w:val="-4"/>
          <w:sz w:val="28"/>
          <w:szCs w:val="28"/>
        </w:rPr>
        <w:t>加油站应急总指挥接到通知后，立即按岗位操作规程的</w:t>
      </w:r>
      <w:r>
        <w:rPr>
          <w:rFonts w:ascii="仿宋" w:hAnsi="仿宋" w:eastAsia="仿宋" w:cs="仿宋"/>
          <w:spacing w:val="-1"/>
          <w:sz w:val="28"/>
          <w:szCs w:val="28"/>
        </w:rPr>
        <w:t>有关要求部署有关岗位采取控制措施，启动本应急救援预案。</w:t>
      </w:r>
    </w:p>
    <w:p w14:paraId="20A17691">
      <w:pPr>
        <w:spacing w:line="360" w:lineRule="auto"/>
        <w:ind w:firstLine="560" w:firstLineChars="200"/>
        <w:rPr>
          <w:rFonts w:eastAsia="仿宋"/>
          <w:sz w:val="28"/>
          <w:szCs w:val="28"/>
        </w:rPr>
      </w:pPr>
    </w:p>
    <w:p w14:paraId="10210526">
      <w:pPr>
        <w:spacing w:line="360" w:lineRule="auto"/>
        <w:outlineLvl w:val="1"/>
        <w:rPr>
          <w:rFonts w:eastAsia="黑体"/>
          <w:bCs/>
          <w:sz w:val="28"/>
          <w:szCs w:val="32"/>
        </w:rPr>
      </w:pPr>
      <w:bookmarkStart w:id="52" w:name="_Toc165395075"/>
      <w:r>
        <w:rPr>
          <w:rFonts w:eastAsia="黑体"/>
          <w:bCs/>
          <w:sz w:val="28"/>
          <w:szCs w:val="32"/>
        </w:rPr>
        <w:t>6.2信息报告和通报</w:t>
      </w:r>
      <w:bookmarkEnd w:id="52"/>
    </w:p>
    <w:p w14:paraId="6FE34430">
      <w:pPr>
        <w:spacing w:line="360" w:lineRule="auto"/>
        <w:outlineLvl w:val="2"/>
        <w:rPr>
          <w:rFonts w:eastAsia="仿宋_GB2312"/>
          <w:b/>
          <w:bCs/>
          <w:sz w:val="28"/>
          <w:szCs w:val="32"/>
        </w:rPr>
      </w:pPr>
      <w:r>
        <w:rPr>
          <w:rFonts w:eastAsia="仿宋_GB2312"/>
          <w:b/>
          <w:bCs/>
          <w:sz w:val="28"/>
          <w:szCs w:val="32"/>
        </w:rPr>
        <w:t>6.2.1内部接警与上报</w:t>
      </w:r>
    </w:p>
    <w:p w14:paraId="3C983688">
      <w:pPr>
        <w:spacing w:line="360" w:lineRule="auto"/>
        <w:ind w:firstLine="560" w:firstLineChars="200"/>
        <w:rPr>
          <w:rFonts w:eastAsia="仿宋"/>
          <w:sz w:val="28"/>
          <w:szCs w:val="28"/>
        </w:rPr>
      </w:pPr>
      <w:r>
        <w:rPr>
          <w:rFonts w:eastAsia="仿宋"/>
          <w:sz w:val="28"/>
          <w:szCs w:val="28"/>
        </w:rPr>
        <w:t>设立24小时应急值班电话，发生突发环境事件后，值班人员在得知突发环境事件发生后，第一时间通知应急指挥部成员，应急指挥部成员应立即赶赴现场，各司其责，采取措施努力控制污染破坏事件继续扩大，对突发环境事件的性质和类别做出初步认定。</w:t>
      </w:r>
    </w:p>
    <w:p w14:paraId="0F3E829B">
      <w:pPr>
        <w:spacing w:line="360" w:lineRule="auto"/>
        <w:ind w:firstLine="560" w:firstLineChars="200"/>
        <w:rPr>
          <w:rFonts w:eastAsia="仿宋"/>
          <w:sz w:val="28"/>
          <w:szCs w:val="28"/>
        </w:rPr>
      </w:pPr>
      <w:r>
        <w:rPr>
          <w:rFonts w:eastAsia="仿宋"/>
          <w:sz w:val="28"/>
          <w:szCs w:val="28"/>
        </w:rPr>
        <w:t>现场人员发现突发性环境污染事件后，应</w:t>
      </w:r>
      <w:r>
        <w:rPr>
          <w:rFonts w:hint="eastAsia" w:eastAsia="仿宋"/>
          <w:sz w:val="28"/>
          <w:szCs w:val="28"/>
        </w:rPr>
        <w:t>立即</w:t>
      </w:r>
      <w:r>
        <w:rPr>
          <w:rFonts w:eastAsia="仿宋"/>
          <w:sz w:val="28"/>
          <w:szCs w:val="28"/>
        </w:rPr>
        <w:t>向应急</w:t>
      </w:r>
      <w:r>
        <w:rPr>
          <w:rFonts w:hint="eastAsia" w:eastAsia="仿宋"/>
          <w:sz w:val="28"/>
          <w:szCs w:val="28"/>
        </w:rPr>
        <w:t>总指挥</w:t>
      </w:r>
      <w:r>
        <w:rPr>
          <w:rFonts w:eastAsia="仿宋"/>
          <w:sz w:val="28"/>
          <w:szCs w:val="28"/>
        </w:rPr>
        <w:t>汇报，并立即组织现场进行调查。</w:t>
      </w:r>
    </w:p>
    <w:p w14:paraId="534A1F04">
      <w:pPr>
        <w:spacing w:line="360" w:lineRule="auto"/>
        <w:ind w:firstLine="560" w:firstLineChars="200"/>
        <w:rPr>
          <w:rFonts w:eastAsia="仿宋"/>
          <w:sz w:val="28"/>
          <w:szCs w:val="28"/>
        </w:rPr>
      </w:pPr>
      <w:r>
        <w:rPr>
          <w:rFonts w:eastAsia="仿宋"/>
          <w:sz w:val="28"/>
          <w:szCs w:val="28"/>
        </w:rPr>
        <w:t>初报可用电话直接报告，初报内容包括但不限于以下内容：</w:t>
      </w:r>
    </w:p>
    <w:p w14:paraId="382CFBBF">
      <w:pPr>
        <w:spacing w:line="360" w:lineRule="auto"/>
        <w:ind w:firstLine="560" w:firstLineChars="200"/>
        <w:rPr>
          <w:rFonts w:eastAsia="仿宋"/>
          <w:sz w:val="28"/>
          <w:szCs w:val="28"/>
        </w:rPr>
      </w:pPr>
      <w:r>
        <w:rPr>
          <w:rFonts w:eastAsia="仿宋"/>
          <w:sz w:val="28"/>
          <w:szCs w:val="28"/>
        </w:rPr>
        <w:t>（1）发生事件的时间、地点；</w:t>
      </w:r>
    </w:p>
    <w:p w14:paraId="6DA84948">
      <w:pPr>
        <w:spacing w:line="360" w:lineRule="auto"/>
        <w:ind w:firstLine="560" w:firstLineChars="200"/>
        <w:rPr>
          <w:rFonts w:eastAsia="仿宋"/>
          <w:sz w:val="28"/>
          <w:szCs w:val="28"/>
        </w:rPr>
      </w:pPr>
      <w:r>
        <w:rPr>
          <w:rFonts w:eastAsia="仿宋"/>
          <w:sz w:val="28"/>
          <w:szCs w:val="28"/>
        </w:rPr>
        <w:t>（2）事件的简要经过；</w:t>
      </w:r>
    </w:p>
    <w:p w14:paraId="40A31540">
      <w:pPr>
        <w:spacing w:line="360" w:lineRule="auto"/>
        <w:ind w:firstLine="560" w:firstLineChars="200"/>
        <w:rPr>
          <w:rFonts w:eastAsia="仿宋"/>
          <w:sz w:val="28"/>
          <w:szCs w:val="28"/>
        </w:rPr>
      </w:pPr>
      <w:r>
        <w:rPr>
          <w:rFonts w:eastAsia="仿宋"/>
          <w:sz w:val="28"/>
          <w:szCs w:val="28"/>
        </w:rPr>
        <w:t>（3）事件原因、污染物名称种类和数量、性质的初步判断；</w:t>
      </w:r>
    </w:p>
    <w:p w14:paraId="5BF37ACA">
      <w:pPr>
        <w:spacing w:line="360" w:lineRule="auto"/>
        <w:ind w:firstLine="560" w:firstLineChars="200"/>
        <w:rPr>
          <w:rFonts w:eastAsia="仿宋"/>
          <w:sz w:val="28"/>
          <w:szCs w:val="28"/>
        </w:rPr>
      </w:pPr>
      <w:r>
        <w:rPr>
          <w:rFonts w:eastAsia="仿宋"/>
          <w:sz w:val="28"/>
          <w:szCs w:val="28"/>
        </w:rPr>
        <w:t>（4）事件抢救处理的情况和采取的措施及已污染的范围、潜在的危害程度、转化方式趋向；</w:t>
      </w:r>
    </w:p>
    <w:p w14:paraId="525EC9C0">
      <w:pPr>
        <w:spacing w:line="360" w:lineRule="auto"/>
        <w:ind w:firstLine="560" w:firstLineChars="200"/>
        <w:rPr>
          <w:rFonts w:eastAsia="仿宋"/>
          <w:sz w:val="28"/>
          <w:szCs w:val="28"/>
        </w:rPr>
      </w:pPr>
      <w:r>
        <w:rPr>
          <w:rFonts w:eastAsia="仿宋"/>
          <w:sz w:val="28"/>
          <w:szCs w:val="28"/>
        </w:rPr>
        <w:t>（5）可能受影响区域及采取的措施建议；</w:t>
      </w:r>
    </w:p>
    <w:p w14:paraId="6E4CC09E">
      <w:pPr>
        <w:spacing w:line="360" w:lineRule="auto"/>
        <w:ind w:firstLine="560" w:firstLineChars="200"/>
        <w:rPr>
          <w:rFonts w:eastAsia="仿宋"/>
          <w:sz w:val="28"/>
          <w:szCs w:val="28"/>
        </w:rPr>
      </w:pPr>
      <w:r>
        <w:rPr>
          <w:rFonts w:eastAsia="仿宋"/>
          <w:sz w:val="28"/>
          <w:szCs w:val="28"/>
        </w:rPr>
        <w:t>（6）需要有关部门和单位协助抢救和处理的有关事宜；</w:t>
      </w:r>
    </w:p>
    <w:p w14:paraId="4B53C5DF">
      <w:pPr>
        <w:spacing w:line="360" w:lineRule="auto"/>
        <w:ind w:firstLine="560" w:firstLineChars="200"/>
        <w:rPr>
          <w:rFonts w:eastAsia="仿宋"/>
          <w:sz w:val="28"/>
          <w:szCs w:val="28"/>
        </w:rPr>
      </w:pPr>
      <w:r>
        <w:rPr>
          <w:rFonts w:eastAsia="仿宋"/>
          <w:sz w:val="28"/>
          <w:szCs w:val="28"/>
        </w:rPr>
        <w:t>（7）事件的报告单位、报告时间、报告人和联系电话。</w:t>
      </w:r>
    </w:p>
    <w:p w14:paraId="49C5CB8C">
      <w:pPr>
        <w:spacing w:line="360" w:lineRule="auto"/>
        <w:ind w:firstLine="560" w:firstLineChars="200"/>
        <w:rPr>
          <w:rFonts w:eastAsia="仿宋"/>
          <w:sz w:val="28"/>
          <w:szCs w:val="28"/>
        </w:rPr>
      </w:pPr>
      <w:r>
        <w:rPr>
          <w:rFonts w:eastAsia="仿宋"/>
          <w:sz w:val="28"/>
          <w:szCs w:val="28"/>
        </w:rPr>
        <w:t>续报可通过网络或书面报告，在初报的基础上报告有关确切数据，事件发生的原因过程、进展情况及采取的应急措施等基本情况。</w:t>
      </w:r>
    </w:p>
    <w:p w14:paraId="6D325051">
      <w:pPr>
        <w:spacing w:line="360" w:lineRule="auto"/>
        <w:ind w:firstLine="560" w:firstLineChars="200"/>
        <w:rPr>
          <w:rFonts w:eastAsia="仿宋"/>
          <w:sz w:val="28"/>
          <w:szCs w:val="28"/>
        </w:rPr>
      </w:pPr>
      <w:r>
        <w:rPr>
          <w:rFonts w:eastAsia="仿宋"/>
          <w:sz w:val="28"/>
          <w:szCs w:val="28"/>
        </w:rPr>
        <w:t>处理结果报告采用书面报告，处理结果报告在初报和续报的基础上，报告处理事件的措施、过程和结果，事件潜在或间接危害，社会影响、处理后的遗留问题，参与处理工作的有关部门和工作内容。</w:t>
      </w:r>
    </w:p>
    <w:p w14:paraId="2BABF7DE">
      <w:pPr>
        <w:spacing w:line="360" w:lineRule="auto"/>
        <w:outlineLvl w:val="2"/>
        <w:rPr>
          <w:rFonts w:eastAsia="仿宋_GB2312"/>
          <w:b/>
          <w:bCs/>
          <w:sz w:val="28"/>
          <w:szCs w:val="32"/>
        </w:rPr>
      </w:pPr>
      <w:r>
        <w:rPr>
          <w:rFonts w:eastAsia="仿宋_GB2312"/>
          <w:b/>
          <w:bCs/>
          <w:sz w:val="28"/>
          <w:szCs w:val="32"/>
        </w:rPr>
        <w:t>6.2.2对外信息报告与通报</w:t>
      </w:r>
    </w:p>
    <w:p w14:paraId="06FF68BE">
      <w:pPr>
        <w:spacing w:line="360" w:lineRule="auto"/>
        <w:ind w:firstLine="560" w:firstLineChars="200"/>
        <w:rPr>
          <w:rFonts w:eastAsia="仿宋"/>
          <w:sz w:val="28"/>
          <w:szCs w:val="28"/>
        </w:rPr>
      </w:pPr>
      <w:r>
        <w:rPr>
          <w:rFonts w:eastAsia="仿宋"/>
          <w:sz w:val="28"/>
          <w:szCs w:val="28"/>
        </w:rPr>
        <w:t>加油站外部突发环境事件信息报告负责人，负责人由应急总指挥担任，要掌握最坏情况下可能影响范围内环境状况和单位、人群分布及通讯方式等。确保突发环境事件发生后，在第一时间向向可能受污染影响的区域及人员通过电话或组织广播车辆和专业人员协助公安及其他政府有关部门的人员进行通报，如相邻的企业、居民等，组织疏导，使周边区域的人员安全疏散。告知其突发环境事件的内容、风险物质、已造成的污染情况（火灾爆炸事故、油品泄漏、污染治理设施异常、自然灾害和极端天气事故）及影响范围，附近的避难点及避险措施。发生较大突发环境事件时，应在</w:t>
      </w:r>
      <w:r>
        <w:rPr>
          <w:rFonts w:hint="eastAsia" w:eastAsia="仿宋"/>
          <w:sz w:val="28"/>
          <w:szCs w:val="28"/>
        </w:rPr>
        <w:t>立即</w:t>
      </w:r>
      <w:r>
        <w:rPr>
          <w:rFonts w:eastAsia="仿宋"/>
          <w:sz w:val="28"/>
          <w:szCs w:val="28"/>
        </w:rPr>
        <w:t>向</w:t>
      </w:r>
      <w:r>
        <w:rPr>
          <w:rFonts w:hint="eastAsia" w:eastAsia="仿宋"/>
          <w:sz w:val="28"/>
          <w:szCs w:val="28"/>
        </w:rPr>
        <w:t>津南</w:t>
      </w:r>
      <w:r>
        <w:rPr>
          <w:rFonts w:eastAsia="仿宋"/>
          <w:sz w:val="28"/>
          <w:szCs w:val="28"/>
        </w:rPr>
        <w:t>区生态环境局和人民政府报告。</w:t>
      </w:r>
    </w:p>
    <w:p w14:paraId="3683F1B1">
      <w:pPr>
        <w:spacing w:line="360" w:lineRule="auto"/>
        <w:outlineLvl w:val="2"/>
        <w:rPr>
          <w:rFonts w:eastAsia="仿宋_GB2312"/>
          <w:b/>
          <w:bCs/>
          <w:sz w:val="28"/>
          <w:szCs w:val="32"/>
        </w:rPr>
      </w:pPr>
      <w:r>
        <w:rPr>
          <w:rFonts w:eastAsia="仿宋_GB2312"/>
          <w:b/>
          <w:bCs/>
          <w:sz w:val="28"/>
          <w:szCs w:val="32"/>
        </w:rPr>
        <w:t>6.2.3报告内容</w:t>
      </w:r>
    </w:p>
    <w:p w14:paraId="62D69B64">
      <w:pPr>
        <w:pStyle w:val="22"/>
        <w:ind w:firstLine="600" w:firstLineChars="200"/>
        <w:jc w:val="both"/>
        <w:rPr>
          <w:rFonts w:ascii="Times New Roman" w:hAnsi="Times New Roman"/>
        </w:rPr>
      </w:pPr>
      <w:r>
        <w:rPr>
          <w:rFonts w:ascii="Times New Roman" w:hAnsi="Times New Roman"/>
        </w:rPr>
        <w:t>通报分为加油站内通报和企业外通报。本加油站通报系统以应急指挥部为中心向外通报，依实际灾害状况做必要通报，当灾害程度提升时，应根据导致灾害的物质，泄漏或火灾程度，风向等适当的通报。</w:t>
      </w:r>
    </w:p>
    <w:p w14:paraId="4B642090">
      <w:pPr>
        <w:pStyle w:val="22"/>
        <w:ind w:firstLine="600" w:firstLineChars="200"/>
        <w:jc w:val="both"/>
        <w:rPr>
          <w:rFonts w:ascii="Times New Roman" w:hAnsi="Times New Roman"/>
        </w:rPr>
      </w:pPr>
      <w:r>
        <w:rPr>
          <w:rFonts w:ascii="Times New Roman" w:hAnsi="Times New Roman"/>
        </w:rPr>
        <w:t>站内通报：站内通报由应急指挥部通知各部门人员进行紧急处理。非正常上班时间，则由值班人员电话通知负责人回站里，以进行紧急应变。</w:t>
      </w:r>
    </w:p>
    <w:p w14:paraId="33D4A9B9">
      <w:pPr>
        <w:pStyle w:val="22"/>
        <w:ind w:firstLine="600" w:firstLineChars="200"/>
        <w:jc w:val="both"/>
        <w:rPr>
          <w:rFonts w:ascii="Times New Roman" w:hAnsi="Times New Roman"/>
        </w:rPr>
      </w:pPr>
      <w:r>
        <w:rPr>
          <w:rFonts w:ascii="Times New Roman" w:hAnsi="Times New Roman"/>
        </w:rPr>
        <w:t>站外通报：站外通报主要是请求支援，在加油站外通报表中将列有消防单位，周边企业、医院、政府相关单位等电话，当紧急事故发生时可依此连词方式表，向周边企业请求支援，涉及周边群众生命安全的，应及时请求政府组织周边群众进行疏散。</w:t>
      </w:r>
    </w:p>
    <w:p w14:paraId="77477987">
      <w:pPr>
        <w:pStyle w:val="22"/>
        <w:ind w:firstLine="600" w:firstLineChars="200"/>
        <w:jc w:val="both"/>
        <w:rPr>
          <w:rFonts w:ascii="Times New Roman" w:hAnsi="Times New Roman"/>
        </w:rPr>
      </w:pPr>
      <w:r>
        <w:rPr>
          <w:rFonts w:ascii="Times New Roman" w:hAnsi="Times New Roman"/>
        </w:rPr>
        <w:t>通报词：事故发生通报人依通报表联络各单位时，务必注意到通报以最短时间清楚地通知以争取时效，所以通报词即为连络时最为方便的参考，通报者可依此所列之项目进行通报。</w:t>
      </w:r>
    </w:p>
    <w:p w14:paraId="22DC7A3E">
      <w:pPr>
        <w:pStyle w:val="22"/>
        <w:ind w:firstLine="600" w:firstLineChars="200"/>
        <w:jc w:val="both"/>
        <w:rPr>
          <w:rFonts w:ascii="Times New Roman" w:hAnsi="Times New Roman"/>
        </w:rPr>
      </w:pPr>
      <w:r>
        <w:rPr>
          <w:rFonts w:ascii="Times New Roman" w:hAnsi="Times New Roman"/>
        </w:rPr>
        <w:t>通报如下所述：</w:t>
      </w:r>
    </w:p>
    <w:p w14:paraId="4348E32F">
      <w:pPr>
        <w:pStyle w:val="22"/>
        <w:ind w:firstLine="600" w:firstLineChars="200"/>
        <w:jc w:val="both"/>
        <w:rPr>
          <w:rFonts w:ascii="Times New Roman" w:hAnsi="Times New Roman"/>
        </w:rPr>
      </w:pPr>
      <w:r>
        <w:rPr>
          <w:rFonts w:ascii="Times New Roman" w:hAnsi="Times New Roman"/>
        </w:rPr>
        <w:t>&lt;1&gt;通报者：公司加油站(姓名)报告</w:t>
      </w:r>
    </w:p>
    <w:p w14:paraId="789E3F45">
      <w:pPr>
        <w:pStyle w:val="22"/>
        <w:ind w:firstLine="600" w:firstLineChars="200"/>
        <w:jc w:val="both"/>
        <w:rPr>
          <w:rFonts w:ascii="Times New Roman" w:hAnsi="Times New Roman"/>
          <w:u w:val="single"/>
        </w:rPr>
      </w:pPr>
      <w:r>
        <w:rPr>
          <w:rFonts w:ascii="Times New Roman" w:hAnsi="Times New Roman"/>
        </w:rPr>
        <w:t>&lt;2&gt;灾害地点：</w:t>
      </w:r>
    </w:p>
    <w:p w14:paraId="2AD283F7">
      <w:pPr>
        <w:pStyle w:val="22"/>
        <w:ind w:firstLine="600" w:firstLineChars="200"/>
        <w:jc w:val="both"/>
        <w:rPr>
          <w:rFonts w:ascii="Times New Roman" w:hAnsi="Times New Roman"/>
        </w:rPr>
      </w:pPr>
      <w:r>
        <w:rPr>
          <w:rFonts w:ascii="Times New Roman" w:hAnsi="Times New Roman"/>
        </w:rPr>
        <w:t>&lt;3&gt;时间：于日点分发生</w:t>
      </w:r>
    </w:p>
    <w:p w14:paraId="226BBE40">
      <w:pPr>
        <w:pStyle w:val="22"/>
        <w:ind w:firstLine="600" w:firstLineChars="200"/>
        <w:jc w:val="both"/>
        <w:rPr>
          <w:rFonts w:ascii="Times New Roman" w:hAnsi="Times New Roman"/>
        </w:rPr>
      </w:pPr>
      <w:r>
        <w:rPr>
          <w:rFonts w:ascii="Times New Roman" w:hAnsi="Times New Roman"/>
        </w:rPr>
        <w:t>&lt;4&gt;灾害种类</w:t>
      </w:r>
      <w:r>
        <w:rPr>
          <w:rFonts w:ascii="Times New Roman" w:hAnsi="Times New Roman"/>
          <w:u w:val="single"/>
        </w:rPr>
        <w:t>：</w:t>
      </w:r>
      <w:r>
        <w:rPr>
          <w:rFonts w:ascii="Times New Roman" w:hAnsi="Times New Roman"/>
        </w:rPr>
        <w:t>(火灾，爆炸，泄漏事故)</w:t>
      </w:r>
    </w:p>
    <w:p w14:paraId="06130808">
      <w:pPr>
        <w:pStyle w:val="22"/>
        <w:ind w:firstLine="600" w:firstLineChars="200"/>
        <w:jc w:val="both"/>
        <w:rPr>
          <w:rFonts w:ascii="Times New Roman" w:hAnsi="Times New Roman"/>
        </w:rPr>
      </w:pPr>
      <w:r>
        <w:rPr>
          <w:rFonts w:ascii="Times New Roman" w:hAnsi="Times New Roman"/>
        </w:rPr>
        <w:t>&lt;5&gt;灾害程度：(污染物的种类数量，已污染的范围)</w:t>
      </w:r>
    </w:p>
    <w:p w14:paraId="34BB831D">
      <w:pPr>
        <w:pStyle w:val="22"/>
        <w:ind w:firstLine="600" w:firstLineChars="200"/>
        <w:jc w:val="both"/>
        <w:rPr>
          <w:rFonts w:ascii="Times New Roman" w:hAnsi="Times New Roman"/>
        </w:rPr>
      </w:pPr>
      <w:r>
        <w:rPr>
          <w:rFonts w:ascii="Times New Roman" w:hAnsi="Times New Roman"/>
        </w:rPr>
        <w:t>&lt;6&gt;灾情：(已造成或可能造成的人员伤亡情况和初步估计的直接经济损失、潜在的危害程度，转化方向趋向，可能受影响区域)</w:t>
      </w:r>
    </w:p>
    <w:p w14:paraId="5E8F31E5">
      <w:pPr>
        <w:pStyle w:val="22"/>
        <w:ind w:firstLine="600" w:firstLineChars="200"/>
        <w:jc w:val="both"/>
        <w:rPr>
          <w:rFonts w:ascii="Times New Roman" w:hAnsi="Times New Roman"/>
        </w:rPr>
      </w:pPr>
      <w:r>
        <w:rPr>
          <w:rFonts w:ascii="Times New Roman" w:hAnsi="Times New Roman"/>
        </w:rPr>
        <w:t>&lt;7&gt;请求支援：请提供（公司，数量）</w:t>
      </w:r>
    </w:p>
    <w:p w14:paraId="47B6CCAC">
      <w:pPr>
        <w:pStyle w:val="22"/>
        <w:ind w:firstLine="600" w:firstLineChars="200"/>
        <w:jc w:val="both"/>
        <w:rPr>
          <w:rFonts w:ascii="Times New Roman" w:hAnsi="Times New Roman"/>
          <w:bCs/>
          <w:color w:val="auto"/>
          <w:sz w:val="28"/>
          <w:szCs w:val="32"/>
        </w:rPr>
      </w:pPr>
      <w:r>
        <w:rPr>
          <w:rFonts w:ascii="Times New Roman" w:hAnsi="Times New Roman"/>
        </w:rPr>
        <w:t>&lt;8&gt;联络电话：</w:t>
      </w:r>
    </w:p>
    <w:p w14:paraId="7860A632">
      <w:pPr>
        <w:pStyle w:val="22"/>
        <w:ind w:firstLine="560" w:firstLineChars="200"/>
        <w:jc w:val="both"/>
        <w:rPr>
          <w:rFonts w:ascii="Times New Roman" w:hAnsi="Times New Roman" w:eastAsia="黑体"/>
          <w:bCs/>
          <w:color w:val="auto"/>
          <w:sz w:val="28"/>
          <w:szCs w:val="32"/>
        </w:rPr>
      </w:pPr>
    </w:p>
    <w:p w14:paraId="0626A6A7">
      <w:pPr>
        <w:pStyle w:val="22"/>
        <w:ind w:firstLine="560" w:firstLineChars="200"/>
        <w:jc w:val="both"/>
        <w:rPr>
          <w:rFonts w:ascii="Times New Roman" w:hAnsi="Times New Roman" w:eastAsia="黑体"/>
          <w:bCs/>
          <w:color w:val="auto"/>
          <w:sz w:val="28"/>
          <w:szCs w:val="32"/>
        </w:rPr>
      </w:pPr>
    </w:p>
    <w:p w14:paraId="6B2E7FCA">
      <w:pPr>
        <w:spacing w:line="360" w:lineRule="auto"/>
        <w:outlineLvl w:val="1"/>
        <w:rPr>
          <w:rFonts w:eastAsia="黑体"/>
          <w:bCs/>
          <w:sz w:val="28"/>
          <w:szCs w:val="32"/>
        </w:rPr>
      </w:pPr>
      <w:bookmarkStart w:id="53" w:name="_Toc165395076"/>
      <w:r>
        <w:rPr>
          <w:rFonts w:eastAsia="黑体"/>
          <w:bCs/>
          <w:sz w:val="28"/>
          <w:szCs w:val="32"/>
        </w:rPr>
        <w:t>6.3响应程序</w:t>
      </w:r>
      <w:bookmarkEnd w:id="53"/>
    </w:p>
    <w:p w14:paraId="3A04319B">
      <w:pPr>
        <w:spacing w:line="360" w:lineRule="auto"/>
        <w:outlineLvl w:val="2"/>
        <w:rPr>
          <w:rFonts w:eastAsia="仿宋_GB2312"/>
          <w:b/>
          <w:bCs/>
          <w:sz w:val="28"/>
          <w:szCs w:val="32"/>
        </w:rPr>
      </w:pPr>
      <w:r>
        <w:rPr>
          <w:rFonts w:eastAsia="仿宋_GB2312"/>
          <w:b/>
          <w:bCs/>
          <w:sz w:val="28"/>
          <w:szCs w:val="32"/>
        </w:rPr>
        <w:t>6.3.1应急指挥</w:t>
      </w:r>
    </w:p>
    <w:p w14:paraId="71AC1526">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应急指挥部接警、启动应急预案后进入应急指挥程序，全体应急人员听从指挥、统一行动；</w:t>
      </w:r>
    </w:p>
    <w:p w14:paraId="58CE4E05">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应急指挥由应急指挥部总指挥全权负责，如总指挥不在，副总指挥代行其职责，应急指挥部成员负责传达具体指令；</w:t>
      </w:r>
    </w:p>
    <w:p w14:paraId="1E9D7E95">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根据现场救援工作需要和本企业环境应急救援力量的布局，协调调动有关的队伍、装备、物资，保障事故救援需要；</w:t>
      </w:r>
    </w:p>
    <w:p w14:paraId="36C36DE8">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各应急小组组长听从命令，实施救援，发现新情况及时向应急指挥部报告。</w:t>
      </w:r>
      <w:r>
        <w:rPr>
          <w:rFonts w:ascii="仿宋" w:hAnsi="仿宋" w:eastAsia="仿宋" w:cs="仿宋"/>
          <w:spacing w:val="-4"/>
          <w:sz w:val="28"/>
          <w:szCs w:val="28"/>
        </w:rPr>
        <w:t>加油站应急总指挥接到报告后，根据事故发生地点、种类、强度和事故可能危害方向以及事故发展趋势等情况立即上报上级分公司</w:t>
      </w:r>
      <w:r>
        <w:rPr>
          <w:rFonts w:hint="eastAsia" w:ascii="仿宋" w:hAnsi="仿宋" w:eastAsia="仿宋" w:cs="仿宋"/>
          <w:spacing w:val="-4"/>
          <w:sz w:val="28"/>
          <w:szCs w:val="28"/>
        </w:rPr>
        <w:t>。</w:t>
      </w:r>
    </w:p>
    <w:p w14:paraId="5E2E8F61">
      <w:pPr>
        <w:spacing w:line="360" w:lineRule="auto"/>
        <w:outlineLvl w:val="2"/>
        <w:rPr>
          <w:rFonts w:eastAsia="仿宋_GB2312"/>
          <w:b/>
          <w:bCs/>
          <w:sz w:val="28"/>
          <w:szCs w:val="32"/>
        </w:rPr>
      </w:pPr>
      <w:r>
        <w:rPr>
          <w:rFonts w:eastAsia="仿宋_GB2312"/>
          <w:b/>
          <w:bCs/>
          <w:sz w:val="28"/>
          <w:szCs w:val="32"/>
        </w:rPr>
        <w:t>6.3.2应急通信</w:t>
      </w:r>
    </w:p>
    <w:p w14:paraId="43CEA060">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应急指挥部与各应急小组之间的联络通过两种方式：固定电话、移动电话等通讯设备，保持讯号畅通；</w:t>
      </w:r>
    </w:p>
    <w:p w14:paraId="04DDF53C">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接到警报后，了解警情，事故现场人员通知应急小组人员到指定地点；</w:t>
      </w:r>
    </w:p>
    <w:p w14:paraId="24CB1BA6">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在应急行动中，所有直接参与或者支持应急行动的组织应维护自己的通讯设备，保持通信联络畅通。</w:t>
      </w:r>
    </w:p>
    <w:p w14:paraId="43812EAB">
      <w:pPr>
        <w:spacing w:line="360" w:lineRule="auto"/>
        <w:outlineLvl w:val="2"/>
        <w:rPr>
          <w:rFonts w:eastAsia="仿宋_GB2312"/>
          <w:b/>
          <w:bCs/>
          <w:sz w:val="28"/>
          <w:szCs w:val="32"/>
        </w:rPr>
      </w:pPr>
      <w:r>
        <w:rPr>
          <w:rFonts w:eastAsia="仿宋_GB2312"/>
          <w:b/>
          <w:bCs/>
          <w:sz w:val="28"/>
          <w:szCs w:val="32"/>
        </w:rPr>
        <w:t>6.3.3应急疏散</w:t>
      </w:r>
    </w:p>
    <w:p w14:paraId="57696F53">
      <w:pPr>
        <w:spacing w:line="360" w:lineRule="auto"/>
        <w:ind w:firstLine="560" w:firstLineChars="200"/>
        <w:rPr>
          <w:rFonts w:eastAsia="仿宋"/>
          <w:sz w:val="28"/>
          <w:szCs w:val="28"/>
        </w:rPr>
      </w:pPr>
      <w:r>
        <w:rPr>
          <w:rFonts w:eastAsia="仿宋"/>
          <w:sz w:val="28"/>
          <w:szCs w:val="28"/>
        </w:rPr>
        <w:t>（1）当突发环境事件可能对事故发生地人员构成威胁时，由疏散监测组负责治安和交通指挥，在应急</w:t>
      </w:r>
      <w:r>
        <w:rPr>
          <w:rFonts w:hint="eastAsia" w:eastAsia="仿宋"/>
          <w:sz w:val="28"/>
          <w:szCs w:val="28"/>
        </w:rPr>
        <w:t>总指挥</w:t>
      </w:r>
      <w:r>
        <w:rPr>
          <w:rFonts w:eastAsia="仿宋"/>
          <w:sz w:val="28"/>
          <w:szCs w:val="28"/>
        </w:rPr>
        <w:t>的统一指挥下，对相关人员及可能受威胁相邻的危险物品进行紧急疏散和撤离；</w:t>
      </w:r>
    </w:p>
    <w:p w14:paraId="2985D178">
      <w:pPr>
        <w:spacing w:line="360" w:lineRule="auto"/>
        <w:ind w:firstLine="560" w:firstLineChars="200"/>
        <w:rPr>
          <w:rFonts w:eastAsia="仿宋"/>
          <w:sz w:val="28"/>
          <w:szCs w:val="28"/>
        </w:rPr>
      </w:pPr>
      <w:r>
        <w:rPr>
          <w:rFonts w:eastAsia="仿宋"/>
          <w:sz w:val="28"/>
          <w:szCs w:val="28"/>
        </w:rPr>
        <w:t>1）事故现场人员的撤离：疏散监测组通知各岗位人员迅速撤离，撤离时应对人员进行清点，若有未撤离的人员，做好防护并得到总指挥批准后到现场搜寻。</w:t>
      </w:r>
    </w:p>
    <w:p w14:paraId="66549BCB">
      <w:pPr>
        <w:spacing w:line="360" w:lineRule="auto"/>
        <w:ind w:firstLine="560" w:firstLineChars="200"/>
        <w:rPr>
          <w:rFonts w:eastAsia="仿宋"/>
          <w:sz w:val="28"/>
          <w:szCs w:val="28"/>
        </w:rPr>
      </w:pPr>
      <w:r>
        <w:rPr>
          <w:rFonts w:eastAsia="仿宋"/>
          <w:sz w:val="28"/>
          <w:szCs w:val="28"/>
        </w:rPr>
        <w:t>2）应急救援人员的撤离：应急救援人员在发现事故现场出现危险状况时，应由应急指挥部下达紧急撤离命令，或自行撤离到指定的区域。</w:t>
      </w:r>
    </w:p>
    <w:p w14:paraId="17447DBC">
      <w:pPr>
        <w:spacing w:line="360" w:lineRule="auto"/>
        <w:ind w:firstLine="560" w:firstLineChars="200"/>
        <w:rPr>
          <w:rFonts w:eastAsia="仿宋"/>
          <w:sz w:val="28"/>
          <w:szCs w:val="28"/>
        </w:rPr>
      </w:pPr>
      <w:r>
        <w:rPr>
          <w:rFonts w:eastAsia="仿宋"/>
          <w:sz w:val="28"/>
          <w:szCs w:val="28"/>
        </w:rPr>
        <w:t>（2）紧急疏散时应注意：应向上风方向转移，明确专人引导和护送疏散人员到安全区，并在疏散或撤离的路线上设立哨位，指明方向；</w:t>
      </w:r>
    </w:p>
    <w:p w14:paraId="291423A6">
      <w:pPr>
        <w:spacing w:line="360" w:lineRule="auto"/>
        <w:ind w:firstLine="560" w:firstLineChars="200"/>
        <w:rPr>
          <w:rFonts w:eastAsia="仿宋"/>
          <w:sz w:val="28"/>
          <w:szCs w:val="28"/>
        </w:rPr>
      </w:pPr>
      <w:r>
        <w:rPr>
          <w:rFonts w:eastAsia="仿宋"/>
          <w:sz w:val="28"/>
          <w:szCs w:val="28"/>
        </w:rPr>
        <w:t>（3）紧急疏散时应封闭危险区内道路，防止车辆人员进入，同时报告上级相关主管部门进行救援。</w:t>
      </w:r>
    </w:p>
    <w:p w14:paraId="350B87B0">
      <w:pPr>
        <w:spacing w:line="360" w:lineRule="auto"/>
        <w:outlineLvl w:val="2"/>
        <w:rPr>
          <w:rFonts w:eastAsia="仿宋_GB2312"/>
          <w:b/>
          <w:bCs/>
          <w:sz w:val="28"/>
          <w:szCs w:val="32"/>
        </w:rPr>
      </w:pPr>
      <w:r>
        <w:rPr>
          <w:rFonts w:eastAsia="仿宋_GB2312"/>
          <w:b/>
          <w:bCs/>
          <w:sz w:val="28"/>
          <w:szCs w:val="32"/>
        </w:rPr>
        <w:t>6.3.4应急救护</w:t>
      </w:r>
    </w:p>
    <w:p w14:paraId="5DBF22F0">
      <w:pPr>
        <w:spacing w:line="360" w:lineRule="auto"/>
        <w:ind w:firstLine="560" w:firstLineChars="200"/>
        <w:rPr>
          <w:rFonts w:eastAsia="仿宋"/>
          <w:sz w:val="28"/>
          <w:szCs w:val="28"/>
        </w:rPr>
      </w:pPr>
      <w:r>
        <w:rPr>
          <w:rFonts w:eastAsia="仿宋"/>
          <w:sz w:val="28"/>
          <w:szCs w:val="28"/>
        </w:rPr>
        <w:t>（1）医疗救护组与周边可援助医院保持联系，说明事故情况及人员伤亡情况，做好紧急救护的准备；</w:t>
      </w:r>
    </w:p>
    <w:p w14:paraId="6235A842">
      <w:pPr>
        <w:spacing w:line="360" w:lineRule="auto"/>
        <w:ind w:firstLine="560" w:firstLineChars="200"/>
        <w:rPr>
          <w:rFonts w:eastAsia="仿宋"/>
          <w:sz w:val="28"/>
          <w:szCs w:val="28"/>
        </w:rPr>
      </w:pPr>
      <w:r>
        <w:rPr>
          <w:rFonts w:eastAsia="仿宋"/>
          <w:sz w:val="28"/>
          <w:szCs w:val="28"/>
        </w:rPr>
        <w:t>（2）医疗救护组必须在第一时间对伤员在现场进行处理急救，急救时按先重后轻的原则治疗；</w:t>
      </w:r>
    </w:p>
    <w:p w14:paraId="79307747">
      <w:pPr>
        <w:spacing w:line="360" w:lineRule="auto"/>
        <w:ind w:firstLine="560" w:firstLineChars="200"/>
        <w:rPr>
          <w:rFonts w:eastAsia="仿宋"/>
          <w:sz w:val="28"/>
          <w:szCs w:val="28"/>
        </w:rPr>
      </w:pPr>
      <w:r>
        <w:rPr>
          <w:rFonts w:eastAsia="仿宋"/>
          <w:sz w:val="28"/>
          <w:szCs w:val="28"/>
        </w:rPr>
        <w:t>（3）经现场处理后，迅速护送至医院救治并作好伤员的交接，防止危重病人的多次转院。</w:t>
      </w:r>
    </w:p>
    <w:p w14:paraId="0ACF3A1D">
      <w:pPr>
        <w:spacing w:line="360" w:lineRule="auto"/>
        <w:outlineLvl w:val="2"/>
        <w:rPr>
          <w:rFonts w:eastAsia="仿宋_GB2312"/>
          <w:b/>
          <w:bCs/>
          <w:sz w:val="28"/>
          <w:szCs w:val="32"/>
        </w:rPr>
      </w:pPr>
      <w:r>
        <w:rPr>
          <w:rFonts w:eastAsia="仿宋_GB2312"/>
          <w:b/>
          <w:bCs/>
          <w:sz w:val="28"/>
          <w:szCs w:val="32"/>
        </w:rPr>
        <w:t>6.3.5安全防护</w:t>
      </w:r>
    </w:p>
    <w:p w14:paraId="792ED4E7">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抢险救</w:t>
      </w:r>
      <w:r>
        <w:rPr>
          <w:rFonts w:hint="eastAsia" w:eastAsia="仿宋"/>
          <w:sz w:val="28"/>
          <w:szCs w:val="28"/>
        </w:rPr>
        <w:t>援</w:t>
      </w:r>
      <w:r>
        <w:rPr>
          <w:rFonts w:eastAsia="仿宋"/>
          <w:sz w:val="28"/>
          <w:szCs w:val="28"/>
        </w:rPr>
        <w:t>组人员进入危害区域应急时，必须事先了解危害区域的地形、建筑物分布，有无燃烧爆炸危险，危险物质存在的大致数量和浓度；</w:t>
      </w:r>
    </w:p>
    <w:p w14:paraId="6A6A5F3A">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选择合适的防护用品，产生有毒有害气态污染物的事故，着重呼吸道防护；产生易燃易爆事故，重点明确阻燃防护服及防爆装备；</w:t>
      </w:r>
    </w:p>
    <w:p w14:paraId="0F1BE72B">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进入危险区至少2人为一组集体行动，每组人员明确一人作为监护人，负责人应用通信工具随时与指挥部联系。</w:t>
      </w:r>
    </w:p>
    <w:p w14:paraId="4A9A3AAA">
      <w:pPr>
        <w:spacing w:line="360" w:lineRule="auto"/>
        <w:outlineLvl w:val="2"/>
        <w:rPr>
          <w:rFonts w:eastAsia="仿宋_GB2312"/>
          <w:b/>
          <w:bCs/>
          <w:sz w:val="28"/>
          <w:szCs w:val="32"/>
        </w:rPr>
      </w:pPr>
      <w:r>
        <w:rPr>
          <w:rFonts w:eastAsia="仿宋_GB2312"/>
          <w:b/>
          <w:bCs/>
          <w:sz w:val="28"/>
          <w:szCs w:val="32"/>
        </w:rPr>
        <w:t>6.3.6资源调配</w:t>
      </w:r>
    </w:p>
    <w:p w14:paraId="5A753203">
      <w:pPr>
        <w:spacing w:line="360" w:lineRule="auto"/>
        <w:ind w:firstLine="560" w:firstLineChars="200"/>
        <w:rPr>
          <w:rFonts w:eastAsia="仿宋"/>
          <w:sz w:val="28"/>
          <w:szCs w:val="28"/>
        </w:rPr>
      </w:pPr>
      <w:r>
        <w:rPr>
          <w:rFonts w:eastAsia="仿宋"/>
          <w:sz w:val="28"/>
          <w:szCs w:val="28"/>
        </w:rPr>
        <w:t>在应急指挥和应急行动过程中，要充分利用和合理调配各种通信与信息资源、应急队伍资源、应急物资装备资源、交通运输，医疗等保障措施。</w:t>
      </w:r>
    </w:p>
    <w:p w14:paraId="6493E7B7">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发布一级（社会级）预警时，现场人员利用站内应急物资进行事故现场的初期处置。并通知各应急队伍成员，</w:t>
      </w:r>
      <w:r>
        <w:rPr>
          <w:rFonts w:hint="eastAsia" w:eastAsia="仿宋"/>
          <w:sz w:val="28"/>
          <w:szCs w:val="28"/>
        </w:rPr>
        <w:t>向有关部门上报</w:t>
      </w:r>
      <w:r>
        <w:rPr>
          <w:rFonts w:eastAsia="仿宋"/>
          <w:sz w:val="28"/>
          <w:szCs w:val="28"/>
        </w:rPr>
        <w:t>信息</w:t>
      </w:r>
      <w:r>
        <w:rPr>
          <w:rFonts w:hint="eastAsia" w:eastAsia="仿宋"/>
          <w:sz w:val="28"/>
          <w:szCs w:val="28"/>
        </w:rPr>
        <w:t>，</w:t>
      </w:r>
      <w:r>
        <w:rPr>
          <w:rFonts w:eastAsia="仿宋"/>
          <w:sz w:val="28"/>
          <w:szCs w:val="28"/>
        </w:rPr>
        <w:t>准备相应人员及物资；</w:t>
      </w:r>
    </w:p>
    <w:p w14:paraId="331DB70E">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发布二级（</w:t>
      </w:r>
      <w:r>
        <w:rPr>
          <w:rFonts w:hint="eastAsia" w:eastAsia="仿宋"/>
          <w:sz w:val="28"/>
          <w:szCs w:val="28"/>
        </w:rPr>
        <w:t>分公司</w:t>
      </w:r>
      <w:r>
        <w:rPr>
          <w:rFonts w:eastAsia="仿宋"/>
          <w:sz w:val="28"/>
          <w:szCs w:val="28"/>
        </w:rPr>
        <w:t>级）预警时，现场人员利用站内应急物资进行事故现场的初期处置。</w:t>
      </w:r>
      <w:r>
        <w:rPr>
          <w:rFonts w:hint="eastAsia" w:eastAsia="仿宋"/>
          <w:sz w:val="28"/>
          <w:szCs w:val="28"/>
        </w:rPr>
        <w:t>抢险救援</w:t>
      </w:r>
      <w:r>
        <w:rPr>
          <w:rFonts w:eastAsia="仿宋"/>
          <w:sz w:val="28"/>
          <w:szCs w:val="28"/>
        </w:rPr>
        <w:t>组人员接到预警信息后清点应急物资，检查应急设备设施的状态</w:t>
      </w:r>
      <w:r>
        <w:rPr>
          <w:rFonts w:hint="eastAsia" w:eastAsia="仿宋"/>
          <w:sz w:val="28"/>
          <w:szCs w:val="28"/>
        </w:rPr>
        <w:t>，向上级公司上报</w:t>
      </w:r>
      <w:r>
        <w:rPr>
          <w:rFonts w:eastAsia="仿宋"/>
          <w:sz w:val="28"/>
          <w:szCs w:val="28"/>
        </w:rPr>
        <w:t>信息；</w:t>
      </w:r>
    </w:p>
    <w:p w14:paraId="4A44071D">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发布</w:t>
      </w:r>
      <w:r>
        <w:rPr>
          <w:rFonts w:hint="eastAsia" w:eastAsia="仿宋"/>
          <w:sz w:val="28"/>
          <w:szCs w:val="28"/>
        </w:rPr>
        <w:t>三</w:t>
      </w:r>
      <w:r>
        <w:rPr>
          <w:rFonts w:eastAsia="仿宋"/>
          <w:sz w:val="28"/>
          <w:szCs w:val="28"/>
        </w:rPr>
        <w:t>级（加油站级）预警时，疏散监测组首先组织运输本</w:t>
      </w:r>
      <w:r>
        <w:rPr>
          <w:rFonts w:hint="eastAsia" w:eastAsia="仿宋"/>
          <w:sz w:val="28"/>
          <w:szCs w:val="28"/>
        </w:rPr>
        <w:t>加油站</w:t>
      </w:r>
      <w:r>
        <w:rPr>
          <w:rFonts w:eastAsia="仿宋"/>
          <w:sz w:val="28"/>
          <w:szCs w:val="28"/>
        </w:rPr>
        <w:t>库存的应急物资，联系企业周边援助企事业单位进行救援物质准备。</w:t>
      </w:r>
    </w:p>
    <w:p w14:paraId="686A3D9C">
      <w:pPr>
        <w:spacing w:line="360" w:lineRule="auto"/>
        <w:outlineLvl w:val="2"/>
        <w:rPr>
          <w:rFonts w:eastAsia="仿宋_GB2312"/>
          <w:b/>
          <w:bCs/>
          <w:sz w:val="28"/>
          <w:szCs w:val="32"/>
        </w:rPr>
      </w:pPr>
      <w:r>
        <w:rPr>
          <w:rFonts w:eastAsia="仿宋_GB2312"/>
          <w:b/>
          <w:bCs/>
          <w:sz w:val="28"/>
          <w:szCs w:val="32"/>
        </w:rPr>
        <w:t>6.3.7应急监测</w:t>
      </w:r>
    </w:p>
    <w:p w14:paraId="2F5DD3BC">
      <w:pPr>
        <w:spacing w:line="360" w:lineRule="auto"/>
        <w:ind w:firstLine="560" w:firstLineChars="200"/>
        <w:rPr>
          <w:rFonts w:eastAsia="仿宋"/>
          <w:sz w:val="28"/>
          <w:szCs w:val="28"/>
        </w:rPr>
      </w:pPr>
      <w:r>
        <w:rPr>
          <w:rFonts w:eastAsia="仿宋"/>
          <w:sz w:val="28"/>
          <w:szCs w:val="28"/>
        </w:rPr>
        <w:t>若因站区内的突发事故（火灾爆炸事故/油品泄漏/污染治理设施异常/自然灾害和极端天气事故）导致周边环境（大气及水体等）可能受到污染，则启动应急监测，本站因不具备监测能力，</w:t>
      </w:r>
      <w:r>
        <w:rPr>
          <w:rFonts w:hint="eastAsia" w:eastAsia="仿宋"/>
          <w:sz w:val="28"/>
          <w:szCs w:val="28"/>
        </w:rPr>
        <w:t>如发生突发环境事件，可委托天津市宇相津准科技有限公司，作为应急监测单位，及时开展应急监测。</w:t>
      </w:r>
    </w:p>
    <w:p w14:paraId="3C6DE65B">
      <w:pPr>
        <w:spacing w:line="360" w:lineRule="auto"/>
        <w:ind w:firstLine="520" w:firstLineChars="200"/>
        <w:rPr>
          <w:rFonts w:eastAsia="仿宋"/>
          <w:sz w:val="28"/>
          <w:szCs w:val="28"/>
        </w:rPr>
      </w:pPr>
      <w:r>
        <w:rPr>
          <w:rFonts w:ascii="仿宋" w:hAnsi="仿宋" w:eastAsia="仿宋" w:cs="仿宋"/>
          <w:spacing w:val="-10"/>
          <w:sz w:val="28"/>
          <w:szCs w:val="28"/>
        </w:rPr>
        <w:t>泄漏的风险物质流出加油站进入雨水管</w:t>
      </w:r>
      <w:r>
        <w:rPr>
          <w:rFonts w:ascii="仿宋" w:hAnsi="仿宋" w:eastAsia="仿宋" w:cs="仿宋"/>
          <w:spacing w:val="-4"/>
          <w:sz w:val="28"/>
          <w:szCs w:val="28"/>
        </w:rPr>
        <w:t>网时，以及发生大面积火灾，因消防需要必须排放消防废水时，</w:t>
      </w:r>
      <w:r>
        <w:rPr>
          <w:rFonts w:hint="eastAsia" w:ascii="仿宋" w:hAnsi="仿宋" w:eastAsia="仿宋" w:cs="仿宋"/>
          <w:spacing w:val="-4"/>
          <w:sz w:val="28"/>
          <w:szCs w:val="28"/>
        </w:rPr>
        <w:t>中石化销售股份有限公司天津石油分公司已签订环境监测服务合同，</w:t>
      </w:r>
      <w:r>
        <w:rPr>
          <w:rFonts w:hint="eastAsia" w:ascii="仿宋" w:hAnsi="仿宋" w:eastAsia="仿宋" w:cs="仿宋"/>
          <w:spacing w:val="-2"/>
          <w:sz w:val="28"/>
          <w:szCs w:val="28"/>
        </w:rPr>
        <w:t>可</w:t>
      </w:r>
      <w:r>
        <w:rPr>
          <w:rFonts w:ascii="仿宋" w:hAnsi="仿宋" w:eastAsia="仿宋" w:cs="仿宋"/>
          <w:spacing w:val="-2"/>
          <w:sz w:val="28"/>
          <w:szCs w:val="28"/>
        </w:rPr>
        <w:t>提供应急监测</w:t>
      </w:r>
      <w:r>
        <w:rPr>
          <w:rFonts w:hint="eastAsia" w:ascii="仿宋" w:hAnsi="仿宋" w:eastAsia="仿宋" w:cs="仿宋"/>
          <w:spacing w:val="-2"/>
          <w:sz w:val="28"/>
          <w:szCs w:val="28"/>
        </w:rPr>
        <w:t>服务。</w:t>
      </w:r>
      <w:r>
        <w:rPr>
          <w:rFonts w:hint="eastAsia" w:eastAsia="仿宋"/>
          <w:sz w:val="28"/>
          <w:szCs w:val="28"/>
        </w:rPr>
        <w:t>当事故污染范围已经或可能波及到站区外，超出本站应急处置能力时，在开展应急监测的同时应立即上报津南区生态环境局</w:t>
      </w:r>
      <w:r>
        <w:rPr>
          <w:rFonts w:eastAsia="仿宋"/>
          <w:sz w:val="28"/>
          <w:szCs w:val="28"/>
        </w:rPr>
        <w:t>。</w:t>
      </w:r>
    </w:p>
    <w:p w14:paraId="06C3187C">
      <w:pPr>
        <w:spacing w:line="360" w:lineRule="auto"/>
        <w:ind w:firstLine="560" w:firstLineChars="200"/>
        <w:rPr>
          <w:rFonts w:eastAsia="仿宋"/>
          <w:sz w:val="28"/>
          <w:szCs w:val="28"/>
        </w:rPr>
      </w:pPr>
      <w:r>
        <w:rPr>
          <w:rFonts w:eastAsia="仿宋"/>
          <w:sz w:val="28"/>
          <w:szCs w:val="28"/>
        </w:rPr>
        <w:t>根据环境污染事件污染物的扩散速度和事件发生的气象和地理特点，确定污染物扩散范围。在此范围内布设相应数量的监测点位。事件发生初期，根据事件发生地的监测能力和突发事件的严重程度按照尽量多的原则进行监测，随着污染物的扩散情况和监测结果的变化趋势适当调整监测频次和监测点位。</w:t>
      </w:r>
    </w:p>
    <w:p w14:paraId="71543B50">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监测频次：</w:t>
      </w:r>
    </w:p>
    <w:p w14:paraId="3BC6DE36">
      <w:pPr>
        <w:spacing w:line="360" w:lineRule="auto"/>
        <w:ind w:firstLine="560" w:firstLineChars="200"/>
        <w:rPr>
          <w:rFonts w:eastAsia="仿宋"/>
          <w:sz w:val="28"/>
          <w:szCs w:val="28"/>
        </w:rPr>
      </w:pPr>
      <w:r>
        <w:rPr>
          <w:rFonts w:eastAsia="仿宋"/>
          <w:sz w:val="28"/>
          <w:szCs w:val="28"/>
        </w:rPr>
        <w:t>在事故发生后24小时内，每4小时监测一次，24~72小时，每12小时测一次，72小时后每天测一次，直至测定结果恢复为背景值方可结束应急监测。</w:t>
      </w:r>
    </w:p>
    <w:p w14:paraId="4D168C41">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监测点位：</w:t>
      </w:r>
    </w:p>
    <w:p w14:paraId="3DC84E10">
      <w:pPr>
        <w:spacing w:line="360" w:lineRule="auto"/>
        <w:ind w:firstLine="560" w:firstLineChars="200"/>
        <w:rPr>
          <w:rFonts w:eastAsia="仿宋"/>
          <w:sz w:val="28"/>
          <w:szCs w:val="28"/>
        </w:rPr>
      </w:pPr>
      <w:r>
        <w:rPr>
          <w:rFonts w:eastAsia="仿宋"/>
          <w:sz w:val="28"/>
          <w:szCs w:val="28"/>
        </w:rPr>
        <w:t>大气环境应急监测根据事故严重程度和泄漏量大小，在泄露源上风向、下风向分别选择敏感点作为监测点；</w:t>
      </w:r>
    </w:p>
    <w:p w14:paraId="2764ED28">
      <w:pPr>
        <w:spacing w:line="360" w:lineRule="auto"/>
        <w:ind w:firstLine="560" w:firstLineChars="200"/>
        <w:rPr>
          <w:rFonts w:eastAsia="仿宋"/>
          <w:sz w:val="28"/>
          <w:szCs w:val="28"/>
        </w:rPr>
      </w:pPr>
      <w:r>
        <w:rPr>
          <w:rFonts w:eastAsia="仿宋"/>
          <w:sz w:val="28"/>
          <w:szCs w:val="28"/>
        </w:rPr>
        <w:t>水环境应急监测根据事故废水产生位置。</w:t>
      </w:r>
    </w:p>
    <w:p w14:paraId="3EA23C7E">
      <w:pPr>
        <w:spacing w:line="360" w:lineRule="auto"/>
        <w:ind w:firstLine="560" w:firstLineChars="200"/>
        <w:rPr>
          <w:rFonts w:eastAsia="仿宋"/>
          <w:sz w:val="28"/>
          <w:szCs w:val="28"/>
        </w:rPr>
      </w:pPr>
      <w:r>
        <w:rPr>
          <w:rFonts w:eastAsia="仿宋"/>
          <w:sz w:val="28"/>
          <w:szCs w:val="28"/>
        </w:rPr>
        <w:t>监测点位以事故发生地为主，根据水流方向、扩散速度和现场具体情况进行布点采样，同时应测定流量。采样器具应洁净并应避免交叉感染，现场可采集平行双样，一份供现场快速测定，另一份现场立即交入保护剂，尽快送至实验室进行分析。若需要，可同时用专用采泥器或塑料铲采集事故发生地的沉积物样品密封装入塑料广口瓶中。</w:t>
      </w:r>
    </w:p>
    <w:p w14:paraId="41B777C9">
      <w:pPr>
        <w:spacing w:line="360" w:lineRule="auto"/>
        <w:ind w:firstLine="560" w:firstLineChars="200"/>
        <w:rPr>
          <w:rFonts w:eastAsia="仿宋"/>
          <w:sz w:val="28"/>
          <w:szCs w:val="28"/>
        </w:rPr>
      </w:pPr>
      <w:r>
        <w:rPr>
          <w:rFonts w:eastAsia="仿宋"/>
          <w:sz w:val="28"/>
          <w:szCs w:val="28"/>
        </w:rPr>
        <w:t>应急监测人员进入现场时应穿戴个人防护用品和有效的呼吸防护装置。根据可能发生的事故类型确定应急监测的因子、监测点位和监测频次。典型事故应急监测设置见下表。</w:t>
      </w:r>
    </w:p>
    <w:p w14:paraId="2F0903F1">
      <w:pPr>
        <w:spacing w:before="120" w:beforeLines="50" w:line="300" w:lineRule="auto"/>
        <w:jc w:val="center"/>
        <w:rPr>
          <w:rFonts w:eastAsia="仿宋"/>
          <w:sz w:val="28"/>
          <w:szCs w:val="28"/>
        </w:rPr>
      </w:pPr>
      <w:r>
        <w:rPr>
          <w:rFonts w:eastAsia="仿宋"/>
          <w:sz w:val="28"/>
          <w:szCs w:val="28"/>
        </w:rPr>
        <w:t>表6.3-1典型事故应急监测设置情况</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389"/>
        <w:gridCol w:w="1700"/>
        <w:gridCol w:w="2162"/>
        <w:gridCol w:w="2682"/>
      </w:tblGrid>
      <w:tr w14:paraId="5704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29" w:type="pct"/>
            <w:vAlign w:val="center"/>
          </w:tcPr>
          <w:p w14:paraId="5D4645AD">
            <w:pPr>
              <w:jc w:val="center"/>
              <w:rPr>
                <w:rFonts w:eastAsia="仿宋_GB2312"/>
                <w:color w:val="000000"/>
                <w:sz w:val="24"/>
                <w:szCs w:val="24"/>
              </w:rPr>
            </w:pPr>
            <w:r>
              <w:rPr>
                <w:rFonts w:eastAsia="仿宋_GB2312"/>
                <w:color w:val="000000"/>
                <w:sz w:val="24"/>
                <w:szCs w:val="24"/>
              </w:rPr>
              <w:t>事故类型</w:t>
            </w:r>
          </w:p>
        </w:tc>
        <w:tc>
          <w:tcPr>
            <w:tcW w:w="748" w:type="pct"/>
            <w:vAlign w:val="center"/>
          </w:tcPr>
          <w:p w14:paraId="6BEBD37D">
            <w:pPr>
              <w:jc w:val="center"/>
              <w:rPr>
                <w:rFonts w:eastAsia="仿宋_GB2312"/>
                <w:color w:val="000000"/>
                <w:sz w:val="24"/>
                <w:szCs w:val="24"/>
              </w:rPr>
            </w:pPr>
            <w:r>
              <w:rPr>
                <w:rFonts w:eastAsia="仿宋_GB2312"/>
                <w:color w:val="000000"/>
                <w:sz w:val="24"/>
                <w:szCs w:val="24"/>
              </w:rPr>
              <w:t>环境要素</w:t>
            </w:r>
          </w:p>
        </w:tc>
        <w:tc>
          <w:tcPr>
            <w:tcW w:w="915" w:type="pct"/>
            <w:vAlign w:val="center"/>
          </w:tcPr>
          <w:p w14:paraId="511D53DA">
            <w:pPr>
              <w:jc w:val="center"/>
              <w:rPr>
                <w:rFonts w:eastAsia="仿宋_GB2312"/>
                <w:color w:val="000000"/>
                <w:sz w:val="24"/>
                <w:szCs w:val="24"/>
              </w:rPr>
            </w:pPr>
            <w:r>
              <w:rPr>
                <w:rFonts w:eastAsia="仿宋_GB2312"/>
                <w:color w:val="000000"/>
                <w:sz w:val="24"/>
                <w:szCs w:val="24"/>
              </w:rPr>
              <w:t>应急监测因子</w:t>
            </w:r>
          </w:p>
        </w:tc>
        <w:tc>
          <w:tcPr>
            <w:tcW w:w="1164" w:type="pct"/>
            <w:vAlign w:val="center"/>
          </w:tcPr>
          <w:p w14:paraId="6D26AC55">
            <w:pPr>
              <w:jc w:val="center"/>
              <w:rPr>
                <w:rFonts w:eastAsia="仿宋_GB2312"/>
                <w:color w:val="000000"/>
                <w:sz w:val="24"/>
                <w:szCs w:val="24"/>
              </w:rPr>
            </w:pPr>
            <w:r>
              <w:rPr>
                <w:rFonts w:eastAsia="仿宋_GB2312"/>
                <w:color w:val="000000"/>
                <w:sz w:val="24"/>
                <w:szCs w:val="24"/>
              </w:rPr>
              <w:t>点位</w:t>
            </w:r>
          </w:p>
        </w:tc>
        <w:tc>
          <w:tcPr>
            <w:tcW w:w="1444" w:type="pct"/>
            <w:vAlign w:val="center"/>
          </w:tcPr>
          <w:p w14:paraId="7FAE266C">
            <w:pPr>
              <w:jc w:val="center"/>
              <w:rPr>
                <w:rFonts w:eastAsia="仿宋_GB2312"/>
                <w:color w:val="000000"/>
                <w:sz w:val="24"/>
                <w:szCs w:val="24"/>
              </w:rPr>
            </w:pPr>
            <w:r>
              <w:rPr>
                <w:rFonts w:eastAsia="仿宋_GB2312"/>
                <w:color w:val="000000"/>
                <w:sz w:val="24"/>
                <w:szCs w:val="24"/>
              </w:rPr>
              <w:t>监测频次</w:t>
            </w:r>
          </w:p>
        </w:tc>
      </w:tr>
      <w:tr w14:paraId="4141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9" w:type="pct"/>
            <w:vMerge w:val="restart"/>
            <w:vAlign w:val="center"/>
          </w:tcPr>
          <w:p w14:paraId="72F7A067">
            <w:pPr>
              <w:jc w:val="center"/>
              <w:rPr>
                <w:rFonts w:eastAsia="仿宋_GB2312"/>
                <w:color w:val="000000"/>
                <w:sz w:val="24"/>
                <w:szCs w:val="24"/>
              </w:rPr>
            </w:pPr>
            <w:r>
              <w:rPr>
                <w:rFonts w:eastAsia="仿宋_GB2312"/>
                <w:color w:val="000000"/>
                <w:sz w:val="24"/>
                <w:szCs w:val="24"/>
              </w:rPr>
              <w:t>泄漏事故</w:t>
            </w:r>
          </w:p>
        </w:tc>
        <w:tc>
          <w:tcPr>
            <w:tcW w:w="748" w:type="pct"/>
            <w:vAlign w:val="center"/>
          </w:tcPr>
          <w:p w14:paraId="20D1722D">
            <w:pPr>
              <w:overflowPunct w:val="0"/>
              <w:adjustRightInd w:val="0"/>
              <w:snapToGrid w:val="0"/>
              <w:jc w:val="center"/>
              <w:rPr>
                <w:rFonts w:eastAsia="仿宋_GB2312"/>
                <w:color w:val="000000"/>
                <w:sz w:val="24"/>
                <w:szCs w:val="24"/>
              </w:rPr>
            </w:pPr>
            <w:r>
              <w:rPr>
                <w:rFonts w:eastAsia="仿宋_GB2312"/>
                <w:color w:val="000000"/>
                <w:sz w:val="24"/>
                <w:szCs w:val="24"/>
              </w:rPr>
              <w:t>大气</w:t>
            </w:r>
          </w:p>
        </w:tc>
        <w:tc>
          <w:tcPr>
            <w:tcW w:w="915" w:type="pct"/>
            <w:vAlign w:val="center"/>
          </w:tcPr>
          <w:p w14:paraId="1E15EB69">
            <w:pPr>
              <w:overflowPunct w:val="0"/>
              <w:adjustRightInd w:val="0"/>
              <w:snapToGrid w:val="0"/>
              <w:jc w:val="center"/>
              <w:rPr>
                <w:rFonts w:eastAsia="仿宋_GB2312"/>
                <w:color w:val="000000"/>
                <w:sz w:val="24"/>
                <w:szCs w:val="24"/>
              </w:rPr>
            </w:pPr>
            <w:r>
              <w:rPr>
                <w:rFonts w:eastAsia="仿宋_GB2312"/>
                <w:color w:val="000000"/>
                <w:sz w:val="24"/>
                <w:szCs w:val="24"/>
              </w:rPr>
              <w:t>非甲烷总烃</w:t>
            </w:r>
          </w:p>
        </w:tc>
        <w:tc>
          <w:tcPr>
            <w:tcW w:w="1164" w:type="pct"/>
            <w:vAlign w:val="center"/>
          </w:tcPr>
          <w:p w14:paraId="49F4E46D">
            <w:pPr>
              <w:jc w:val="center"/>
              <w:rPr>
                <w:rFonts w:eastAsia="仿宋_GB2312"/>
                <w:color w:val="000000"/>
                <w:sz w:val="24"/>
                <w:szCs w:val="24"/>
              </w:rPr>
            </w:pPr>
            <w:r>
              <w:rPr>
                <w:rFonts w:eastAsia="仿宋_GB2312"/>
                <w:color w:val="000000"/>
                <w:sz w:val="24"/>
                <w:szCs w:val="24"/>
              </w:rPr>
              <w:t>厂界处、下风向和厂界四周敏感点处</w:t>
            </w:r>
          </w:p>
        </w:tc>
        <w:tc>
          <w:tcPr>
            <w:tcW w:w="1444" w:type="pct"/>
            <w:vAlign w:val="center"/>
          </w:tcPr>
          <w:p w14:paraId="52EBF5CD">
            <w:pPr>
              <w:jc w:val="center"/>
              <w:rPr>
                <w:rFonts w:eastAsia="仿宋_GB2312"/>
                <w:color w:val="000000"/>
                <w:sz w:val="24"/>
                <w:szCs w:val="24"/>
              </w:rPr>
            </w:pPr>
            <w:r>
              <w:rPr>
                <w:rFonts w:eastAsia="仿宋_GB2312"/>
                <w:color w:val="000000"/>
                <w:sz w:val="24"/>
                <w:szCs w:val="24"/>
              </w:rPr>
              <w:t>初始加密，随着污染物浓度的下降逐渐降低频次</w:t>
            </w:r>
          </w:p>
        </w:tc>
      </w:tr>
      <w:tr w14:paraId="4737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9" w:type="pct"/>
            <w:vMerge w:val="continue"/>
            <w:vAlign w:val="center"/>
          </w:tcPr>
          <w:p w14:paraId="0A2DA7B7">
            <w:pPr>
              <w:jc w:val="center"/>
              <w:rPr>
                <w:rFonts w:eastAsia="仿宋_GB2312"/>
                <w:color w:val="000000"/>
                <w:sz w:val="24"/>
                <w:szCs w:val="24"/>
              </w:rPr>
            </w:pPr>
          </w:p>
        </w:tc>
        <w:tc>
          <w:tcPr>
            <w:tcW w:w="748" w:type="pct"/>
            <w:vAlign w:val="center"/>
          </w:tcPr>
          <w:p w14:paraId="1487C7E3">
            <w:pPr>
              <w:overflowPunct w:val="0"/>
              <w:adjustRightInd w:val="0"/>
              <w:snapToGrid w:val="0"/>
              <w:jc w:val="center"/>
              <w:rPr>
                <w:rFonts w:eastAsia="仿宋_GB2312"/>
                <w:color w:val="000000"/>
                <w:sz w:val="24"/>
                <w:szCs w:val="24"/>
              </w:rPr>
            </w:pPr>
            <w:r>
              <w:rPr>
                <w:rFonts w:hint="eastAsia" w:eastAsia="仿宋_GB2312"/>
                <w:color w:val="000000"/>
                <w:sz w:val="24"/>
                <w:szCs w:val="24"/>
              </w:rPr>
              <w:t>地表水</w:t>
            </w:r>
          </w:p>
        </w:tc>
        <w:tc>
          <w:tcPr>
            <w:tcW w:w="915" w:type="pct"/>
            <w:vAlign w:val="center"/>
          </w:tcPr>
          <w:p w14:paraId="380C0FFB">
            <w:pPr>
              <w:overflowPunct w:val="0"/>
              <w:adjustRightInd w:val="0"/>
              <w:snapToGrid w:val="0"/>
              <w:jc w:val="center"/>
              <w:rPr>
                <w:rFonts w:eastAsia="仿宋_GB2312"/>
                <w:color w:val="000000"/>
                <w:sz w:val="24"/>
                <w:szCs w:val="24"/>
              </w:rPr>
            </w:pPr>
            <w:r>
              <w:rPr>
                <w:rFonts w:hint="eastAsia" w:eastAsia="仿宋_GB2312"/>
                <w:color w:val="000000"/>
                <w:sz w:val="24"/>
                <w:szCs w:val="24"/>
              </w:rPr>
              <w:t>石油类</w:t>
            </w:r>
          </w:p>
        </w:tc>
        <w:tc>
          <w:tcPr>
            <w:tcW w:w="1164" w:type="pct"/>
            <w:vAlign w:val="center"/>
          </w:tcPr>
          <w:p w14:paraId="41CDD2B8">
            <w:pPr>
              <w:jc w:val="center"/>
              <w:rPr>
                <w:rFonts w:eastAsia="仿宋_GB2312"/>
                <w:color w:val="000000"/>
                <w:sz w:val="24"/>
                <w:szCs w:val="24"/>
              </w:rPr>
            </w:pPr>
            <w:r>
              <w:rPr>
                <w:rFonts w:hint="eastAsia" w:eastAsia="仿宋_GB2312"/>
                <w:color w:val="000000"/>
                <w:sz w:val="24"/>
                <w:szCs w:val="24"/>
              </w:rPr>
              <w:t>围堰内消防废水（临时消防沙袋围堰）</w:t>
            </w:r>
          </w:p>
        </w:tc>
        <w:tc>
          <w:tcPr>
            <w:tcW w:w="1444" w:type="pct"/>
            <w:vAlign w:val="center"/>
          </w:tcPr>
          <w:p w14:paraId="1019C213">
            <w:pPr>
              <w:jc w:val="center"/>
              <w:rPr>
                <w:rFonts w:eastAsia="仿宋_GB2312"/>
                <w:color w:val="000000"/>
                <w:sz w:val="24"/>
                <w:szCs w:val="24"/>
              </w:rPr>
            </w:pPr>
            <w:r>
              <w:rPr>
                <w:rFonts w:hint="eastAsia" w:eastAsia="仿宋_GB2312"/>
                <w:color w:val="000000"/>
                <w:sz w:val="24"/>
                <w:szCs w:val="24"/>
              </w:rPr>
              <w:t>-</w:t>
            </w:r>
          </w:p>
        </w:tc>
      </w:tr>
      <w:tr w14:paraId="7981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9" w:type="pct"/>
            <w:vMerge w:val="restart"/>
            <w:vAlign w:val="center"/>
          </w:tcPr>
          <w:p w14:paraId="27440EA9">
            <w:pPr>
              <w:jc w:val="center"/>
              <w:rPr>
                <w:rFonts w:eastAsia="仿宋_GB2312"/>
                <w:color w:val="000000"/>
                <w:sz w:val="24"/>
                <w:szCs w:val="24"/>
              </w:rPr>
            </w:pPr>
            <w:r>
              <w:rPr>
                <w:rFonts w:eastAsia="仿宋_GB2312"/>
                <w:color w:val="000000"/>
                <w:sz w:val="24"/>
                <w:szCs w:val="24"/>
              </w:rPr>
              <w:t>火灾爆炸事故</w:t>
            </w:r>
          </w:p>
        </w:tc>
        <w:tc>
          <w:tcPr>
            <w:tcW w:w="748" w:type="pct"/>
            <w:vAlign w:val="center"/>
          </w:tcPr>
          <w:p w14:paraId="78F323D6">
            <w:pPr>
              <w:overflowPunct w:val="0"/>
              <w:adjustRightInd w:val="0"/>
              <w:snapToGrid w:val="0"/>
              <w:jc w:val="center"/>
              <w:rPr>
                <w:rFonts w:eastAsia="仿宋_GB2312"/>
                <w:color w:val="000000"/>
                <w:sz w:val="24"/>
                <w:szCs w:val="24"/>
              </w:rPr>
            </w:pPr>
            <w:r>
              <w:rPr>
                <w:rFonts w:eastAsia="仿宋_GB2312"/>
                <w:color w:val="000000"/>
                <w:sz w:val="24"/>
                <w:szCs w:val="24"/>
              </w:rPr>
              <w:t>大气</w:t>
            </w:r>
          </w:p>
        </w:tc>
        <w:tc>
          <w:tcPr>
            <w:tcW w:w="915" w:type="pct"/>
            <w:vAlign w:val="center"/>
          </w:tcPr>
          <w:p w14:paraId="22B2BCA9">
            <w:pPr>
              <w:overflowPunct w:val="0"/>
              <w:adjustRightInd w:val="0"/>
              <w:snapToGrid w:val="0"/>
              <w:jc w:val="center"/>
              <w:rPr>
                <w:rFonts w:eastAsia="仿宋_GB2312"/>
                <w:color w:val="000000"/>
                <w:sz w:val="24"/>
                <w:szCs w:val="24"/>
              </w:rPr>
            </w:pPr>
            <w:r>
              <w:rPr>
                <w:rFonts w:eastAsia="仿宋_GB2312"/>
                <w:color w:val="000000"/>
                <w:sz w:val="24"/>
                <w:szCs w:val="24"/>
              </w:rPr>
              <w:t>炭黑尘、颗粒物、CO、烟尘、非甲烷总烃</w:t>
            </w:r>
          </w:p>
        </w:tc>
        <w:tc>
          <w:tcPr>
            <w:tcW w:w="1164" w:type="pct"/>
            <w:vAlign w:val="center"/>
          </w:tcPr>
          <w:p w14:paraId="3DFC52DF">
            <w:pPr>
              <w:jc w:val="center"/>
              <w:rPr>
                <w:rFonts w:eastAsia="仿宋_GB2312"/>
                <w:color w:val="000000"/>
                <w:sz w:val="24"/>
                <w:szCs w:val="24"/>
              </w:rPr>
            </w:pPr>
            <w:r>
              <w:rPr>
                <w:rFonts w:eastAsia="仿宋_GB2312"/>
                <w:color w:val="000000"/>
                <w:sz w:val="24"/>
                <w:szCs w:val="24"/>
              </w:rPr>
              <w:t>厂界处、下风向和厂界四周敏感点处</w:t>
            </w:r>
          </w:p>
        </w:tc>
        <w:tc>
          <w:tcPr>
            <w:tcW w:w="1444" w:type="pct"/>
            <w:vAlign w:val="center"/>
          </w:tcPr>
          <w:p w14:paraId="140406B0">
            <w:pPr>
              <w:jc w:val="center"/>
              <w:rPr>
                <w:rFonts w:eastAsia="仿宋_GB2312"/>
                <w:color w:val="000000"/>
                <w:sz w:val="24"/>
                <w:szCs w:val="24"/>
              </w:rPr>
            </w:pPr>
            <w:r>
              <w:rPr>
                <w:rFonts w:eastAsia="仿宋_GB2312"/>
                <w:color w:val="000000"/>
                <w:sz w:val="24"/>
                <w:szCs w:val="24"/>
              </w:rPr>
              <w:t>初始加密，随着污染物浓度的下降逐渐降低频次</w:t>
            </w:r>
          </w:p>
        </w:tc>
      </w:tr>
      <w:tr w14:paraId="11C3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9" w:type="pct"/>
            <w:vMerge w:val="continue"/>
            <w:vAlign w:val="center"/>
          </w:tcPr>
          <w:p w14:paraId="6EA611F4">
            <w:pPr>
              <w:jc w:val="center"/>
              <w:rPr>
                <w:rFonts w:eastAsia="仿宋_GB2312"/>
                <w:color w:val="000000"/>
                <w:sz w:val="24"/>
                <w:szCs w:val="24"/>
              </w:rPr>
            </w:pPr>
          </w:p>
        </w:tc>
        <w:tc>
          <w:tcPr>
            <w:tcW w:w="748" w:type="pct"/>
            <w:vAlign w:val="center"/>
          </w:tcPr>
          <w:p w14:paraId="740BAFC1">
            <w:pPr>
              <w:overflowPunct w:val="0"/>
              <w:adjustRightInd w:val="0"/>
              <w:snapToGrid w:val="0"/>
              <w:jc w:val="center"/>
              <w:rPr>
                <w:rFonts w:eastAsia="仿宋_GB2312"/>
                <w:color w:val="000000"/>
                <w:sz w:val="24"/>
                <w:szCs w:val="24"/>
              </w:rPr>
            </w:pPr>
            <w:r>
              <w:rPr>
                <w:rFonts w:hint="eastAsia" w:eastAsia="仿宋_GB2312"/>
                <w:color w:val="000000"/>
                <w:sz w:val="24"/>
                <w:szCs w:val="24"/>
              </w:rPr>
              <w:t>地表水</w:t>
            </w:r>
          </w:p>
        </w:tc>
        <w:tc>
          <w:tcPr>
            <w:tcW w:w="915" w:type="pct"/>
            <w:vAlign w:val="center"/>
          </w:tcPr>
          <w:p w14:paraId="7F627186">
            <w:pPr>
              <w:overflowPunct w:val="0"/>
              <w:adjustRightInd w:val="0"/>
              <w:snapToGrid w:val="0"/>
              <w:jc w:val="center"/>
              <w:rPr>
                <w:rFonts w:eastAsia="仿宋_GB2312"/>
                <w:color w:val="000000"/>
                <w:sz w:val="24"/>
                <w:szCs w:val="24"/>
              </w:rPr>
            </w:pPr>
            <w:r>
              <w:rPr>
                <w:rFonts w:hint="eastAsia" w:eastAsia="仿宋_GB2312"/>
                <w:color w:val="000000"/>
                <w:sz w:val="24"/>
                <w:szCs w:val="24"/>
              </w:rPr>
              <w:t>石油类</w:t>
            </w:r>
          </w:p>
        </w:tc>
        <w:tc>
          <w:tcPr>
            <w:tcW w:w="1164" w:type="pct"/>
            <w:vAlign w:val="center"/>
          </w:tcPr>
          <w:p w14:paraId="7EAA2FF7">
            <w:pPr>
              <w:jc w:val="center"/>
              <w:rPr>
                <w:rFonts w:eastAsia="仿宋_GB2312"/>
                <w:color w:val="000000"/>
                <w:sz w:val="24"/>
                <w:szCs w:val="24"/>
              </w:rPr>
            </w:pPr>
            <w:r>
              <w:rPr>
                <w:rFonts w:hint="eastAsia" w:eastAsia="仿宋_GB2312"/>
                <w:color w:val="000000"/>
                <w:sz w:val="24"/>
                <w:szCs w:val="24"/>
              </w:rPr>
              <w:t>围堰内消防废水（临时消防沙袋围堰）</w:t>
            </w:r>
          </w:p>
        </w:tc>
        <w:tc>
          <w:tcPr>
            <w:tcW w:w="1444" w:type="pct"/>
            <w:vAlign w:val="center"/>
          </w:tcPr>
          <w:p w14:paraId="61FF1489">
            <w:pPr>
              <w:jc w:val="center"/>
              <w:rPr>
                <w:rFonts w:eastAsia="仿宋_GB2312"/>
                <w:color w:val="000000"/>
                <w:sz w:val="24"/>
                <w:szCs w:val="24"/>
              </w:rPr>
            </w:pPr>
            <w:r>
              <w:rPr>
                <w:rFonts w:hint="eastAsia" w:eastAsia="仿宋_GB2312"/>
                <w:color w:val="000000"/>
                <w:sz w:val="24"/>
                <w:szCs w:val="24"/>
              </w:rPr>
              <w:t>-</w:t>
            </w:r>
          </w:p>
        </w:tc>
      </w:tr>
    </w:tbl>
    <w:p w14:paraId="115E055C">
      <w:pPr>
        <w:spacing w:before="120" w:beforeLines="50" w:line="300" w:lineRule="auto"/>
        <w:jc w:val="center"/>
        <w:rPr>
          <w:rFonts w:eastAsia="仿宋"/>
          <w:sz w:val="28"/>
          <w:szCs w:val="28"/>
        </w:rPr>
      </w:pPr>
    </w:p>
    <w:p w14:paraId="41BC4F31">
      <w:pPr>
        <w:spacing w:line="360" w:lineRule="auto"/>
        <w:outlineLvl w:val="2"/>
        <w:rPr>
          <w:rFonts w:eastAsia="仿宋_GB2312"/>
          <w:b/>
          <w:bCs/>
          <w:sz w:val="28"/>
          <w:szCs w:val="32"/>
        </w:rPr>
      </w:pPr>
      <w:r>
        <w:rPr>
          <w:rFonts w:eastAsia="仿宋_GB2312"/>
          <w:b/>
          <w:bCs/>
          <w:sz w:val="28"/>
          <w:szCs w:val="32"/>
        </w:rPr>
        <w:t>6.3.8扩大应急</w:t>
      </w:r>
    </w:p>
    <w:p w14:paraId="11955E6F">
      <w:pPr>
        <w:spacing w:line="360" w:lineRule="auto"/>
        <w:ind w:firstLine="560" w:firstLineChars="200"/>
        <w:rPr>
          <w:rFonts w:eastAsia="仿宋"/>
          <w:sz w:val="28"/>
          <w:szCs w:val="28"/>
        </w:rPr>
      </w:pPr>
      <w:r>
        <w:rPr>
          <w:rFonts w:eastAsia="仿宋"/>
          <w:sz w:val="28"/>
          <w:szCs w:val="28"/>
        </w:rPr>
        <w:t>对事故进行应急处置后，事态发展无法得到有效控制，实施扩大应急响应。</w:t>
      </w:r>
    </w:p>
    <w:p w14:paraId="207DC1E9">
      <w:pPr>
        <w:spacing w:line="360" w:lineRule="auto"/>
        <w:ind w:firstLine="560" w:firstLineChars="200"/>
        <w:rPr>
          <w:rFonts w:eastAsia="仿宋"/>
          <w:sz w:val="28"/>
          <w:szCs w:val="28"/>
        </w:rPr>
      </w:pPr>
      <w:r>
        <w:rPr>
          <w:rFonts w:eastAsia="仿宋"/>
          <w:sz w:val="28"/>
          <w:szCs w:val="28"/>
        </w:rPr>
        <w:t>一般情况下，扩大应急响应遵循逐级扩大原则：事故发生区域部门实施自救——企业统一协调救援——社会力量支援。</w:t>
      </w:r>
    </w:p>
    <w:p w14:paraId="7F896B4F">
      <w:pPr>
        <w:spacing w:line="360" w:lineRule="auto"/>
        <w:ind w:firstLine="560" w:firstLineChars="200"/>
        <w:rPr>
          <w:rFonts w:eastAsia="仿宋"/>
          <w:sz w:val="28"/>
          <w:szCs w:val="28"/>
        </w:rPr>
      </w:pPr>
      <w:r>
        <w:rPr>
          <w:rFonts w:hint="eastAsia" w:eastAsia="仿宋"/>
          <w:sz w:val="28"/>
          <w:szCs w:val="28"/>
        </w:rPr>
        <w:t>当加油站发生突发环境应急事件，且超出站内处理能力范围或达到需要外部协调指挥时,立即向中国石化销售股份有限公司天津西南石油分公司报告，请求上级公司支援。上级单位成立现场应急指挥部时，指挥权交给上级单位，加油站应急预案作为上级应急预案的一个子部分，按照上级预案规定的要求实施，服从指挥，处理环境应急事件。</w:t>
      </w:r>
    </w:p>
    <w:p w14:paraId="0F529146">
      <w:pPr>
        <w:spacing w:line="360" w:lineRule="auto"/>
        <w:outlineLvl w:val="1"/>
        <w:rPr>
          <w:rFonts w:eastAsia="黑体"/>
          <w:bCs/>
          <w:sz w:val="28"/>
          <w:szCs w:val="32"/>
        </w:rPr>
      </w:pPr>
      <w:bookmarkStart w:id="54" w:name="_Toc165395077"/>
      <w:r>
        <w:rPr>
          <w:rFonts w:eastAsia="黑体"/>
          <w:bCs/>
          <w:sz w:val="28"/>
          <w:szCs w:val="32"/>
        </w:rPr>
        <w:t>6.4应急处置</w:t>
      </w:r>
      <w:bookmarkEnd w:id="54"/>
    </w:p>
    <w:p w14:paraId="6C36A940">
      <w:pPr>
        <w:spacing w:line="360" w:lineRule="auto"/>
        <w:ind w:firstLine="560" w:firstLineChars="200"/>
        <w:rPr>
          <w:rFonts w:eastAsia="仿宋"/>
          <w:sz w:val="28"/>
          <w:szCs w:val="28"/>
        </w:rPr>
      </w:pPr>
      <w:r>
        <w:rPr>
          <w:rFonts w:hint="eastAsia" w:eastAsia="仿宋"/>
          <w:sz w:val="28"/>
          <w:szCs w:val="28"/>
        </w:rPr>
        <w:t>发生加油岛中加油枪泄漏、检修或油罐进行清罐时在现场应急处置的前提下为少量泄漏；储油罐破损泄漏经分析没有泄漏途径；发现油罐区卸油过程泄漏时，及时控制下不会产生严重土壤污染和地表水污染的事故；槽车侧翻泄漏时，可能为风险物质大量泄漏，可能导致严重的土壤污染和地表水污染；发生火灾事故时，火灾产生的次生烟雾会对周围人群造成影响，需要进行人员疏散，产生的消防废水可能夹杂风险物质对环境造成影响。</w:t>
      </w:r>
    </w:p>
    <w:p w14:paraId="65AA82DA">
      <w:pPr>
        <w:spacing w:line="360" w:lineRule="auto"/>
        <w:outlineLvl w:val="2"/>
        <w:rPr>
          <w:rFonts w:eastAsia="仿宋_GB2312"/>
          <w:b/>
          <w:bCs/>
          <w:sz w:val="28"/>
          <w:szCs w:val="32"/>
        </w:rPr>
      </w:pPr>
      <w:r>
        <w:rPr>
          <w:rFonts w:eastAsia="仿宋_GB2312"/>
          <w:b/>
          <w:bCs/>
          <w:sz w:val="28"/>
          <w:szCs w:val="32"/>
        </w:rPr>
        <w:t>6.4.1</w:t>
      </w:r>
      <w:r>
        <w:rPr>
          <w:rFonts w:hint="eastAsia" w:eastAsia="仿宋_GB2312"/>
          <w:b/>
          <w:bCs/>
          <w:sz w:val="28"/>
          <w:szCs w:val="32"/>
        </w:rPr>
        <w:t>加油枪泄漏或检修和油罐清罐时泄漏事故现场应急处置</w:t>
      </w:r>
    </w:p>
    <w:p w14:paraId="14C4B9A6">
      <w:pPr>
        <w:spacing w:line="360" w:lineRule="auto"/>
        <w:ind w:firstLine="560" w:firstLineChars="200"/>
        <w:rPr>
          <w:rFonts w:eastAsia="仿宋"/>
          <w:sz w:val="28"/>
          <w:szCs w:val="28"/>
        </w:rPr>
      </w:pPr>
      <w:r>
        <w:rPr>
          <w:rFonts w:hint="eastAsia" w:eastAsia="仿宋"/>
          <w:sz w:val="28"/>
          <w:szCs w:val="28"/>
        </w:rPr>
        <w:t>预警方式：现场工作人员在加油、检修和油罐清罐时发生泄漏；通过现场作业人员和视频监控发现泄漏事故。</w:t>
      </w:r>
    </w:p>
    <w:p w14:paraId="08A3F004">
      <w:pPr>
        <w:spacing w:line="360" w:lineRule="auto"/>
        <w:ind w:firstLine="560" w:firstLineChars="200"/>
        <w:rPr>
          <w:rFonts w:eastAsia="仿宋"/>
          <w:sz w:val="28"/>
          <w:szCs w:val="28"/>
          <w:highlight w:val="green"/>
        </w:rPr>
      </w:pPr>
      <w:r>
        <w:rPr>
          <w:rFonts w:hint="eastAsia" w:eastAsia="仿宋"/>
          <w:sz w:val="28"/>
          <w:szCs w:val="28"/>
        </w:rPr>
        <w:t>当发现风险物质泄漏事故时，由现场工作人员报告值班站长，少量泄漏，确定不会有明显环境危害时发布蓝色预警，启动三级（加油站级）响应，值班站长负责现场指挥，对泄漏源及泄漏物进行以下处理：</w:t>
      </w:r>
    </w:p>
    <w:p w14:paraId="012809E7">
      <w:pPr>
        <w:spacing w:line="360" w:lineRule="auto"/>
        <w:ind w:firstLine="560" w:firstLineChars="200"/>
        <w:rPr>
          <w:rFonts w:eastAsia="仿宋"/>
          <w:sz w:val="28"/>
          <w:szCs w:val="28"/>
        </w:rPr>
      </w:pPr>
      <w:r>
        <w:rPr>
          <w:rFonts w:hint="eastAsia" w:eastAsia="仿宋"/>
          <w:sz w:val="28"/>
          <w:szCs w:val="28"/>
        </w:rPr>
        <w:t>（1）发现加油岛中加油枪泄漏时，现场操作人员在1min内按下泄漏是加油枪对应的加油机的一键急停按钮（如单个加油机不起作用或现场人员离加油机较远时亦可按下整个加油岛的一键急停装置），防止继续泄漏疏散泄漏点附近无关人群，然后用消防沙加盖泄漏物；</w:t>
      </w:r>
    </w:p>
    <w:p w14:paraId="699B6C00">
      <w:pPr>
        <w:spacing w:line="360" w:lineRule="auto"/>
        <w:ind w:firstLine="560" w:firstLineChars="200"/>
        <w:rPr>
          <w:rFonts w:eastAsia="仿宋"/>
          <w:sz w:val="28"/>
          <w:szCs w:val="28"/>
        </w:rPr>
      </w:pPr>
      <w:r>
        <w:rPr>
          <w:rFonts w:hint="eastAsia" w:eastAsia="仿宋"/>
          <w:sz w:val="28"/>
          <w:szCs w:val="28"/>
        </w:rPr>
        <w:t>（2）现场人员停止泄漏事故后，5min内清理地面上的泄漏物，用消防沙或吸油毡加盖截留泄漏物，用应急桶和应急铲收集泄漏物和沾染泄漏物的消防沙等，集中收集泄漏物和沾染泄漏物的消防沙等，作为危险废物，交有资质单位处理。成功处理后，三级（加油站级）响应结束。</w:t>
      </w:r>
    </w:p>
    <w:p w14:paraId="2227AB38">
      <w:pPr>
        <w:spacing w:line="360" w:lineRule="auto"/>
        <w:ind w:firstLine="560" w:firstLineChars="200"/>
        <w:rPr>
          <w:rFonts w:eastAsia="仿宋"/>
          <w:sz w:val="28"/>
          <w:szCs w:val="28"/>
        </w:rPr>
      </w:pPr>
      <w:r>
        <w:rPr>
          <w:rFonts w:hint="eastAsia" w:eastAsia="仿宋"/>
          <w:sz w:val="28"/>
          <w:szCs w:val="28"/>
        </w:rPr>
        <w:t>预警方式：通过储油罐的侧漏测仪或报警器发现油罐破损，风险物质泄漏，风险物质泄漏在灌池中，由现场工作人员报告值班站长，由值班站长启动三级（加油站级）响应，值班站长现场指挥，加油站进行如下操作：</w:t>
      </w:r>
    </w:p>
    <w:p w14:paraId="7EACEF5B">
      <w:pPr>
        <w:spacing w:line="360" w:lineRule="auto"/>
        <w:ind w:firstLine="560" w:firstLineChars="200"/>
        <w:rPr>
          <w:rFonts w:eastAsia="仿宋"/>
          <w:sz w:val="28"/>
          <w:szCs w:val="28"/>
        </w:rPr>
      </w:pPr>
      <w:r>
        <w:rPr>
          <w:rFonts w:hint="eastAsia" w:eastAsia="仿宋"/>
          <w:sz w:val="28"/>
          <w:szCs w:val="28"/>
        </w:rPr>
        <w:t>（1）停止站内的加油工作，疏散无关人员和车辆；</w:t>
      </w:r>
    </w:p>
    <w:p w14:paraId="7D29E067">
      <w:pPr>
        <w:spacing w:line="360" w:lineRule="auto"/>
        <w:ind w:firstLine="560" w:firstLineChars="200"/>
        <w:rPr>
          <w:rFonts w:eastAsia="仿宋"/>
          <w:sz w:val="28"/>
          <w:szCs w:val="28"/>
        </w:rPr>
      </w:pPr>
      <w:r>
        <w:rPr>
          <w:rFonts w:hint="eastAsia" w:eastAsia="仿宋"/>
          <w:sz w:val="28"/>
          <w:szCs w:val="28"/>
        </w:rPr>
        <w:t>（2）委托专业单位对储油罐进行检修。</w:t>
      </w:r>
    </w:p>
    <w:p w14:paraId="4FB57C88">
      <w:pPr>
        <w:spacing w:line="360" w:lineRule="auto"/>
        <w:ind w:firstLine="560" w:firstLineChars="200"/>
        <w:rPr>
          <w:rFonts w:eastAsia="仿宋"/>
          <w:sz w:val="28"/>
          <w:szCs w:val="28"/>
        </w:rPr>
      </w:pPr>
      <w:r>
        <w:rPr>
          <w:rFonts w:hint="eastAsia" w:eastAsia="仿宋"/>
          <w:sz w:val="28"/>
          <w:szCs w:val="28"/>
        </w:rPr>
        <w:t>（3）检修过程中有专人进行看护，如在检修时可能会有风险物质泄漏在地面，需要用消防沙或吸油毡加盖截留泄漏物，用应急桶和应急铲收集泄漏物和沾染泄漏物的消防沙等，集中收集泄漏物和沾染泄漏物的消防沙等，作为危险废物，交有资质单位处理。成功处理后，三级（加油站级）响应结束。</w:t>
      </w:r>
    </w:p>
    <w:p w14:paraId="02200098">
      <w:pPr>
        <w:spacing w:line="360" w:lineRule="auto"/>
        <w:ind w:firstLine="560" w:firstLineChars="200"/>
        <w:rPr>
          <w:rFonts w:eastAsia="仿宋"/>
          <w:spacing w:val="6"/>
          <w:kern w:val="0"/>
          <w:sz w:val="28"/>
          <w:szCs w:val="28"/>
        </w:rPr>
      </w:pPr>
      <w:r>
        <w:rPr>
          <w:rFonts w:hint="eastAsia" w:eastAsia="仿宋"/>
          <w:sz w:val="28"/>
          <w:szCs w:val="28"/>
        </w:rPr>
        <w:t>应急处置卡如下：</w:t>
      </w:r>
    </w:p>
    <w:p w14:paraId="3D1A1CB7">
      <w:pPr>
        <w:spacing w:line="360" w:lineRule="auto"/>
        <w:jc w:val="center"/>
        <w:rPr>
          <w:rFonts w:eastAsia="仿宋"/>
          <w:spacing w:val="6"/>
          <w:kern w:val="0"/>
          <w:sz w:val="28"/>
          <w:szCs w:val="28"/>
          <w:highlight w:val="none"/>
        </w:rPr>
      </w:pPr>
      <w:r>
        <w:rPr>
          <w:rFonts w:eastAsia="仿宋"/>
          <w:spacing w:val="6"/>
          <w:kern w:val="0"/>
          <w:sz w:val="28"/>
          <w:szCs w:val="28"/>
          <w:highlight w:val="none"/>
        </w:rPr>
        <w:t>表6.4-1</w:t>
      </w:r>
      <w:r>
        <w:rPr>
          <w:rFonts w:hint="eastAsia" w:eastAsia="仿宋"/>
          <w:spacing w:val="6"/>
          <w:kern w:val="0"/>
          <w:sz w:val="28"/>
          <w:szCs w:val="28"/>
          <w:highlight w:val="none"/>
        </w:rPr>
        <w:t>泄漏事故应急处置卡（加油作业</w:t>
      </w:r>
      <w:r>
        <w:rPr>
          <w:rFonts w:eastAsia="仿宋"/>
          <w:spacing w:val="6"/>
          <w:kern w:val="0"/>
          <w:sz w:val="28"/>
          <w:szCs w:val="28"/>
          <w:highlight w:val="none"/>
        </w:rPr>
        <w:t>、</w:t>
      </w:r>
      <w:r>
        <w:rPr>
          <w:rFonts w:hint="eastAsia" w:eastAsia="仿宋"/>
          <w:spacing w:val="6"/>
          <w:kern w:val="0"/>
          <w:sz w:val="28"/>
          <w:szCs w:val="28"/>
          <w:highlight w:val="none"/>
        </w:rPr>
        <w:t>油罐</w:t>
      </w:r>
      <w:r>
        <w:rPr>
          <w:rFonts w:eastAsia="仿宋"/>
          <w:spacing w:val="6"/>
          <w:kern w:val="0"/>
          <w:sz w:val="28"/>
          <w:szCs w:val="28"/>
          <w:highlight w:val="none"/>
        </w:rPr>
        <w:t>破损</w:t>
      </w:r>
      <w:r>
        <w:rPr>
          <w:rFonts w:hint="eastAsia" w:eastAsia="仿宋"/>
          <w:spacing w:val="6"/>
          <w:kern w:val="0"/>
          <w:sz w:val="28"/>
          <w:szCs w:val="28"/>
          <w:highlight w:val="none"/>
        </w:rPr>
        <w:t>）</w:t>
      </w:r>
    </w:p>
    <w:tbl>
      <w:tblPr>
        <w:tblStyle w:val="279"/>
        <w:tblW w:w="9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707"/>
        <w:gridCol w:w="4975"/>
        <w:gridCol w:w="1810"/>
      </w:tblGrid>
      <w:tr w14:paraId="494A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332C67D0">
            <w:pPr>
              <w:jc w:val="center"/>
              <w:rPr>
                <w:rFonts w:hint="eastAsia" w:ascii="仿宋" w:hAnsi="仿宋" w:eastAsia="仿宋"/>
                <w:kern w:val="0"/>
                <w:sz w:val="24"/>
                <w:szCs w:val="24"/>
              </w:rPr>
            </w:pPr>
            <w:r>
              <w:rPr>
                <w:rFonts w:hint="eastAsia" w:ascii="仿宋" w:hAnsi="仿宋" w:eastAsia="仿宋"/>
                <w:kern w:val="0"/>
                <w:sz w:val="24"/>
                <w:szCs w:val="24"/>
              </w:rPr>
              <w:t>突发环境事件</w:t>
            </w:r>
          </w:p>
        </w:tc>
        <w:tc>
          <w:tcPr>
            <w:tcW w:w="1707" w:type="dxa"/>
            <w:vAlign w:val="center"/>
          </w:tcPr>
          <w:p w14:paraId="7573439D">
            <w:pPr>
              <w:jc w:val="center"/>
              <w:rPr>
                <w:rFonts w:hint="eastAsia" w:ascii="仿宋" w:hAnsi="仿宋" w:eastAsia="仿宋"/>
                <w:kern w:val="0"/>
                <w:sz w:val="24"/>
                <w:szCs w:val="24"/>
              </w:rPr>
            </w:pPr>
            <w:r>
              <w:rPr>
                <w:rFonts w:hint="eastAsia" w:ascii="仿宋" w:hAnsi="仿宋" w:eastAsia="仿宋"/>
                <w:kern w:val="0"/>
                <w:sz w:val="24"/>
                <w:szCs w:val="24"/>
              </w:rPr>
              <w:t>处置</w:t>
            </w:r>
            <w:r>
              <w:rPr>
                <w:rFonts w:ascii="仿宋" w:hAnsi="仿宋" w:eastAsia="仿宋"/>
                <w:kern w:val="0"/>
                <w:sz w:val="24"/>
                <w:szCs w:val="24"/>
              </w:rPr>
              <w:t>措施</w:t>
            </w:r>
          </w:p>
        </w:tc>
        <w:tc>
          <w:tcPr>
            <w:tcW w:w="4975" w:type="dxa"/>
            <w:vAlign w:val="center"/>
          </w:tcPr>
          <w:p w14:paraId="1D4A9100">
            <w:pPr>
              <w:jc w:val="center"/>
              <w:rPr>
                <w:rFonts w:hint="eastAsia" w:ascii="仿宋" w:hAnsi="仿宋" w:eastAsia="仿宋"/>
                <w:kern w:val="0"/>
                <w:sz w:val="24"/>
                <w:szCs w:val="24"/>
              </w:rPr>
            </w:pPr>
            <w:r>
              <w:rPr>
                <w:rFonts w:hint="eastAsia" w:ascii="仿宋" w:hAnsi="仿宋" w:eastAsia="仿宋"/>
                <w:kern w:val="0"/>
                <w:sz w:val="24"/>
                <w:szCs w:val="24"/>
              </w:rPr>
              <w:t>应急物资</w:t>
            </w:r>
            <w:r>
              <w:rPr>
                <w:rFonts w:ascii="仿宋" w:hAnsi="仿宋" w:eastAsia="仿宋"/>
                <w:kern w:val="0"/>
                <w:sz w:val="24"/>
                <w:szCs w:val="24"/>
              </w:rPr>
              <w:t>与装置</w:t>
            </w:r>
          </w:p>
        </w:tc>
        <w:tc>
          <w:tcPr>
            <w:tcW w:w="1810" w:type="dxa"/>
            <w:vAlign w:val="center"/>
          </w:tcPr>
          <w:p w14:paraId="76CFB59D">
            <w:pPr>
              <w:jc w:val="center"/>
              <w:rPr>
                <w:rFonts w:hint="eastAsia" w:ascii="仿宋" w:hAnsi="仿宋" w:eastAsia="仿宋"/>
                <w:kern w:val="0"/>
                <w:sz w:val="24"/>
                <w:szCs w:val="24"/>
              </w:rPr>
            </w:pPr>
            <w:r>
              <w:rPr>
                <w:rFonts w:hint="eastAsia" w:ascii="仿宋" w:hAnsi="仿宋" w:eastAsia="仿宋"/>
                <w:kern w:val="0"/>
                <w:sz w:val="24"/>
                <w:szCs w:val="24"/>
              </w:rPr>
              <w:t>负责人</w:t>
            </w:r>
          </w:p>
        </w:tc>
      </w:tr>
      <w:tr w14:paraId="0674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vAlign w:val="center"/>
          </w:tcPr>
          <w:p w14:paraId="57F5528F">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加油岛中加油枪泄漏</w:t>
            </w:r>
          </w:p>
        </w:tc>
        <w:tc>
          <w:tcPr>
            <w:tcW w:w="1707" w:type="dxa"/>
            <w:vMerge w:val="restart"/>
            <w:vAlign w:val="center"/>
          </w:tcPr>
          <w:p w14:paraId="64A78886">
            <w:pPr>
              <w:ind w:firstLine="240" w:firstLineChars="100"/>
              <w:rPr>
                <w:rFonts w:hint="eastAsia" w:ascii="仿宋" w:hAnsi="仿宋" w:eastAsia="仿宋"/>
                <w:kern w:val="0"/>
                <w:sz w:val="24"/>
                <w:szCs w:val="24"/>
              </w:rPr>
            </w:pPr>
            <w:r>
              <w:rPr>
                <w:rFonts w:hint="eastAsia" w:ascii="仿宋" w:hAnsi="仿宋" w:eastAsia="仿宋"/>
                <w:kern w:val="0"/>
                <w:sz w:val="24"/>
                <w:szCs w:val="24"/>
              </w:rPr>
              <w:t>发现泄漏事故后，迅速按下加油机上的一件急停装置；如不及时，可启动室内或立柱加油岛应急制动按钮。</w:t>
            </w:r>
          </w:p>
          <w:p w14:paraId="4EF8D02D">
            <w:pPr>
              <w:ind w:firstLine="240" w:firstLineChars="100"/>
              <w:rPr>
                <w:rFonts w:hint="eastAsia" w:ascii="仿宋" w:hAnsi="仿宋" w:eastAsia="仿宋"/>
                <w:kern w:val="0"/>
                <w:sz w:val="24"/>
                <w:szCs w:val="24"/>
              </w:rPr>
            </w:pPr>
            <w:r>
              <w:rPr>
                <w:rFonts w:hint="eastAsia" w:ascii="仿宋" w:hAnsi="仿宋" w:eastAsia="仿宋"/>
                <w:kern w:val="0"/>
                <w:sz w:val="24"/>
                <w:szCs w:val="24"/>
              </w:rPr>
              <w:t>启动方法：按下红色按钮。</w:t>
            </w:r>
            <w:r>
              <w:rPr>
                <w:rFonts w:hint="eastAsia" w:eastAsia="宋体"/>
                <w:b/>
                <w:bCs/>
                <w:lang w:eastAsia="zh-CN"/>
              </w:rPr>
              <w:drawing>
                <wp:anchor distT="0" distB="0" distL="114300" distR="114300" simplePos="0" relativeHeight="251678720" behindDoc="0" locked="0" layoutInCell="1" allowOverlap="1">
                  <wp:simplePos x="0" y="0"/>
                  <wp:positionH relativeFrom="column">
                    <wp:posOffset>4331970</wp:posOffset>
                  </wp:positionH>
                  <wp:positionV relativeFrom="paragraph">
                    <wp:posOffset>6243320</wp:posOffset>
                  </wp:positionV>
                  <wp:extent cx="2384425" cy="1590675"/>
                  <wp:effectExtent l="0" t="0" r="8255" b="9525"/>
                  <wp:wrapNone/>
                  <wp:docPr id="18" name="图片 10" descr="C:/Users/Admin/Desktop/立柱.jpg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C:/Users/Admin/Desktop/立柱.jpg立柱"/>
                          <pic:cNvPicPr>
                            <a:picLocks noChangeAspect="1"/>
                          </pic:cNvPicPr>
                        </pic:nvPicPr>
                        <pic:blipFill>
                          <a:blip r:embed="rId17"/>
                          <a:srcRect l="15410" r="15410"/>
                          <a:stretch>
                            <a:fillRect/>
                          </a:stretch>
                        </pic:blipFill>
                        <pic:spPr>
                          <a:xfrm>
                            <a:off x="0" y="0"/>
                            <a:ext cx="2384425" cy="1590675"/>
                          </a:xfrm>
                          <a:prstGeom prst="rect">
                            <a:avLst/>
                          </a:prstGeom>
                          <a:noFill/>
                          <a:ln>
                            <a:noFill/>
                          </a:ln>
                        </pic:spPr>
                      </pic:pic>
                    </a:graphicData>
                  </a:graphic>
                </wp:anchor>
              </w:drawing>
            </w:r>
          </w:p>
        </w:tc>
        <w:tc>
          <w:tcPr>
            <w:tcW w:w="4975" w:type="dxa"/>
            <w:vAlign w:val="center"/>
          </w:tcPr>
          <w:p w14:paraId="38AD265D">
            <w:pPr>
              <w:rPr>
                <w:rFonts w:hint="eastAsia" w:ascii="仿宋" w:hAnsi="仿宋" w:eastAsia="仿宋"/>
                <w:kern w:val="0"/>
                <w:sz w:val="24"/>
                <w:szCs w:val="24"/>
              </w:rPr>
            </w:pPr>
            <w:r>
              <w:rPr>
                <w:rFonts w:hint="eastAsia" w:eastAsia="仿宋"/>
                <w:b/>
                <w:bCs/>
                <w:spacing w:val="-4"/>
                <w:lang w:eastAsia="zh-CN"/>
              </w:rPr>
              <w:drawing>
                <wp:inline distT="0" distB="0" distL="114300" distR="114300">
                  <wp:extent cx="2394585" cy="1696085"/>
                  <wp:effectExtent l="0" t="0" r="13335" b="10795"/>
                  <wp:docPr id="7" name="图片 8" descr="C:/Users/Admin/Desktop/加油机.jpg加油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Desktop/加油机.jpg加油机"/>
                          <pic:cNvPicPr>
                            <a:picLocks noChangeAspect="1"/>
                          </pic:cNvPicPr>
                        </pic:nvPicPr>
                        <pic:blipFill>
                          <a:blip r:embed="rId18"/>
                          <a:srcRect l="17426" r="17426"/>
                          <a:stretch>
                            <a:fillRect/>
                          </a:stretch>
                        </pic:blipFill>
                        <pic:spPr>
                          <a:xfrm>
                            <a:off x="0" y="0"/>
                            <a:ext cx="2394585" cy="1696085"/>
                          </a:xfrm>
                          <a:prstGeom prst="rect">
                            <a:avLst/>
                          </a:prstGeom>
                          <a:noFill/>
                          <a:ln>
                            <a:noFill/>
                          </a:ln>
                        </pic:spPr>
                      </pic:pic>
                    </a:graphicData>
                  </a:graphic>
                </wp:inline>
              </w:drawing>
            </w:r>
          </w:p>
        </w:tc>
        <w:tc>
          <w:tcPr>
            <w:tcW w:w="1810" w:type="dxa"/>
            <w:vMerge w:val="restart"/>
            <w:vAlign w:val="center"/>
          </w:tcPr>
          <w:p w14:paraId="3C688668">
            <w:pPr>
              <w:jc w:val="center"/>
              <w:rPr>
                <w:rFonts w:hint="eastAsia" w:ascii="仿宋" w:hAnsi="仿宋" w:eastAsia="仿宋"/>
                <w:kern w:val="0"/>
                <w:sz w:val="24"/>
                <w:szCs w:val="24"/>
              </w:rPr>
            </w:pPr>
            <w:r>
              <w:rPr>
                <w:rFonts w:hint="eastAsia" w:ascii="仿宋" w:hAnsi="仿宋" w:eastAsia="仿宋"/>
                <w:kern w:val="0"/>
                <w:sz w:val="24"/>
                <w:szCs w:val="24"/>
              </w:rPr>
              <w:t>现场加油员</w:t>
            </w:r>
          </w:p>
        </w:tc>
      </w:tr>
      <w:tr w14:paraId="4C0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vAlign w:val="center"/>
          </w:tcPr>
          <w:p w14:paraId="108E77EC">
            <w:pPr>
              <w:rPr>
                <w:rFonts w:hint="eastAsia" w:ascii="仿宋" w:hAnsi="仿宋" w:eastAsia="仿宋"/>
                <w:kern w:val="0"/>
                <w:sz w:val="24"/>
                <w:szCs w:val="24"/>
              </w:rPr>
            </w:pPr>
          </w:p>
        </w:tc>
        <w:tc>
          <w:tcPr>
            <w:tcW w:w="1707" w:type="dxa"/>
            <w:vMerge w:val="continue"/>
            <w:vAlign w:val="center"/>
          </w:tcPr>
          <w:p w14:paraId="49CFECE3">
            <w:pPr>
              <w:rPr>
                <w:rFonts w:hint="eastAsia" w:ascii="仿宋" w:hAnsi="仿宋" w:eastAsia="仿宋"/>
                <w:kern w:val="0"/>
                <w:sz w:val="24"/>
                <w:szCs w:val="24"/>
              </w:rPr>
            </w:pPr>
          </w:p>
        </w:tc>
        <w:tc>
          <w:tcPr>
            <w:tcW w:w="4975" w:type="dxa"/>
            <w:vAlign w:val="center"/>
          </w:tcPr>
          <w:p w14:paraId="55D60298">
            <w:pPr>
              <w:jc w:val="center"/>
              <w:rPr>
                <w:rFonts w:hint="eastAsia" w:ascii="仿宋" w:hAnsi="仿宋" w:eastAsia="仿宋"/>
                <w:kern w:val="0"/>
                <w:sz w:val="24"/>
                <w:szCs w:val="24"/>
              </w:rPr>
            </w:pPr>
            <w:r>
              <w:rPr>
                <w:rFonts w:hint="eastAsia" w:ascii="仿宋" w:hAnsi="仿宋" w:eastAsia="仿宋"/>
                <w:kern w:val="0"/>
                <w:sz w:val="24"/>
                <w:szCs w:val="24"/>
              </w:rPr>
              <w:t>单台</w:t>
            </w:r>
            <w:r>
              <w:rPr>
                <w:rFonts w:ascii="仿宋" w:hAnsi="仿宋" w:eastAsia="仿宋"/>
                <w:kern w:val="0"/>
                <w:sz w:val="24"/>
                <w:szCs w:val="24"/>
              </w:rPr>
              <w:t>加油机一键急停装置</w:t>
            </w:r>
          </w:p>
        </w:tc>
        <w:tc>
          <w:tcPr>
            <w:tcW w:w="1810" w:type="dxa"/>
            <w:vMerge w:val="continue"/>
            <w:vAlign w:val="center"/>
          </w:tcPr>
          <w:p w14:paraId="1236489C">
            <w:pPr>
              <w:jc w:val="center"/>
              <w:rPr>
                <w:rFonts w:hint="eastAsia" w:ascii="仿宋" w:hAnsi="仿宋" w:eastAsia="仿宋"/>
                <w:kern w:val="0"/>
                <w:sz w:val="24"/>
                <w:szCs w:val="24"/>
              </w:rPr>
            </w:pPr>
          </w:p>
        </w:tc>
      </w:tr>
      <w:tr w14:paraId="2EFB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vAlign w:val="center"/>
          </w:tcPr>
          <w:p w14:paraId="24FFE65A">
            <w:pPr>
              <w:rPr>
                <w:rFonts w:hint="eastAsia" w:ascii="仿宋" w:hAnsi="仿宋" w:eastAsia="仿宋"/>
                <w:kern w:val="0"/>
                <w:sz w:val="24"/>
                <w:szCs w:val="24"/>
              </w:rPr>
            </w:pPr>
          </w:p>
        </w:tc>
        <w:tc>
          <w:tcPr>
            <w:tcW w:w="1707" w:type="dxa"/>
            <w:vMerge w:val="continue"/>
            <w:vAlign w:val="center"/>
          </w:tcPr>
          <w:p w14:paraId="6C616BDC">
            <w:pPr>
              <w:rPr>
                <w:rFonts w:hint="eastAsia" w:ascii="仿宋" w:hAnsi="仿宋" w:eastAsia="仿宋"/>
                <w:kern w:val="0"/>
                <w:sz w:val="24"/>
                <w:szCs w:val="24"/>
              </w:rPr>
            </w:pPr>
          </w:p>
        </w:tc>
        <w:tc>
          <w:tcPr>
            <w:tcW w:w="4975" w:type="dxa"/>
            <w:vAlign w:val="center"/>
          </w:tcPr>
          <w:p w14:paraId="7D597D56">
            <w:pPr>
              <w:rPr>
                <w:rFonts w:hint="eastAsia" w:ascii="仿宋" w:hAnsi="仿宋" w:eastAsia="仿宋"/>
                <w:kern w:val="0"/>
                <w:sz w:val="24"/>
                <w:szCs w:val="24"/>
              </w:rPr>
            </w:pPr>
            <w:r>
              <w:rPr>
                <w:rFonts w:hint="eastAsia" w:eastAsia="宋体"/>
                <w:b/>
                <w:bCs/>
                <w:lang w:eastAsia="zh-CN"/>
              </w:rPr>
              <w:drawing>
                <wp:anchor distT="0" distB="0" distL="114300" distR="114300" simplePos="0" relativeHeight="251675648" behindDoc="0" locked="0" layoutInCell="1" allowOverlap="1">
                  <wp:simplePos x="0" y="0"/>
                  <wp:positionH relativeFrom="column">
                    <wp:posOffset>4484370</wp:posOffset>
                  </wp:positionH>
                  <wp:positionV relativeFrom="paragraph">
                    <wp:posOffset>6395720</wp:posOffset>
                  </wp:positionV>
                  <wp:extent cx="2384425" cy="1590675"/>
                  <wp:effectExtent l="0" t="0" r="8255" b="9525"/>
                  <wp:wrapNone/>
                  <wp:docPr id="14" name="图片 10" descr="C:/Users/Admin/Desktop/立柱.jpg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C:/Users/Admin/Desktop/立柱.jpg立柱"/>
                          <pic:cNvPicPr>
                            <a:picLocks noChangeAspect="1"/>
                          </pic:cNvPicPr>
                        </pic:nvPicPr>
                        <pic:blipFill>
                          <a:blip r:embed="rId17"/>
                          <a:srcRect l="15410" r="15410"/>
                          <a:stretch>
                            <a:fillRect/>
                          </a:stretch>
                        </pic:blipFill>
                        <pic:spPr>
                          <a:xfrm>
                            <a:off x="0" y="0"/>
                            <a:ext cx="2384425" cy="1590675"/>
                          </a:xfrm>
                          <a:prstGeom prst="rect">
                            <a:avLst/>
                          </a:prstGeom>
                          <a:noFill/>
                          <a:ln>
                            <a:noFill/>
                          </a:ln>
                        </pic:spPr>
                      </pic:pic>
                    </a:graphicData>
                  </a:graphic>
                </wp:anchor>
              </w:drawing>
            </w:r>
            <w:r>
              <w:rPr>
                <w:rFonts w:hint="eastAsia" w:eastAsia="宋体"/>
                <w:b/>
                <w:bCs/>
                <w:lang w:eastAsia="zh-CN"/>
              </w:rPr>
              <w:drawing>
                <wp:anchor distT="0" distB="0" distL="114300" distR="114300" simplePos="0" relativeHeight="251673600" behindDoc="0" locked="0" layoutInCell="1" allowOverlap="1">
                  <wp:simplePos x="0" y="0"/>
                  <wp:positionH relativeFrom="column">
                    <wp:posOffset>4331970</wp:posOffset>
                  </wp:positionH>
                  <wp:positionV relativeFrom="paragraph">
                    <wp:posOffset>6243320</wp:posOffset>
                  </wp:positionV>
                  <wp:extent cx="2384425" cy="1590675"/>
                  <wp:effectExtent l="0" t="0" r="8255" b="9525"/>
                  <wp:wrapNone/>
                  <wp:docPr id="12" name="图片 10" descr="C:/Users/Admin/Desktop/立柱.jpg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Desktop/立柱.jpg立柱"/>
                          <pic:cNvPicPr>
                            <a:picLocks noChangeAspect="1"/>
                          </pic:cNvPicPr>
                        </pic:nvPicPr>
                        <pic:blipFill>
                          <a:blip r:embed="rId17"/>
                          <a:srcRect l="15410" r="15410"/>
                          <a:stretch>
                            <a:fillRect/>
                          </a:stretch>
                        </pic:blipFill>
                        <pic:spPr>
                          <a:xfrm>
                            <a:off x="0" y="0"/>
                            <a:ext cx="2384425" cy="1590675"/>
                          </a:xfrm>
                          <a:prstGeom prst="rect">
                            <a:avLst/>
                          </a:prstGeom>
                          <a:noFill/>
                          <a:ln>
                            <a:noFill/>
                          </a:ln>
                        </pic:spPr>
                      </pic:pic>
                    </a:graphicData>
                  </a:graphic>
                </wp:anchor>
              </w:drawing>
            </w:r>
          </w:p>
          <w:p w14:paraId="00AD488F">
            <w:pPr>
              <w:rPr>
                <w:rFonts w:hint="eastAsia" w:ascii="仿宋" w:hAnsi="仿宋" w:eastAsia="仿宋"/>
                <w:kern w:val="0"/>
                <w:sz w:val="24"/>
                <w:szCs w:val="24"/>
              </w:rPr>
            </w:pPr>
            <w:r>
              <w:rPr>
                <w:rFonts w:hint="eastAsia" w:eastAsia="宋体"/>
                <w:b/>
                <w:bCs/>
                <w:lang w:eastAsia="zh-CN"/>
              </w:rPr>
              <w:drawing>
                <wp:inline distT="0" distB="0" distL="114300" distR="114300">
                  <wp:extent cx="2087880" cy="1379220"/>
                  <wp:effectExtent l="0" t="0" r="0" b="7620"/>
                  <wp:docPr id="19" name="图片 19" descr="173174514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745142764"/>
                          <pic:cNvPicPr>
                            <a:picLocks noChangeAspect="1"/>
                          </pic:cNvPicPr>
                        </pic:nvPicPr>
                        <pic:blipFill>
                          <a:blip r:embed="rId19"/>
                          <a:stretch>
                            <a:fillRect/>
                          </a:stretch>
                        </pic:blipFill>
                        <pic:spPr>
                          <a:xfrm>
                            <a:off x="0" y="0"/>
                            <a:ext cx="2087880" cy="1379220"/>
                          </a:xfrm>
                          <a:prstGeom prst="rect">
                            <a:avLst/>
                          </a:prstGeom>
                        </pic:spPr>
                      </pic:pic>
                    </a:graphicData>
                  </a:graphic>
                </wp:inline>
              </w:drawing>
            </w:r>
            <w:r>
              <w:rPr>
                <w:rFonts w:hint="eastAsia" w:eastAsia="宋体"/>
                <w:b/>
                <w:bCs/>
                <w:lang w:eastAsia="zh-CN"/>
              </w:rPr>
              <w:drawing>
                <wp:anchor distT="0" distB="0" distL="114300" distR="114300" simplePos="0" relativeHeight="251677696" behindDoc="0" locked="0" layoutInCell="1" allowOverlap="1">
                  <wp:simplePos x="0" y="0"/>
                  <wp:positionH relativeFrom="column">
                    <wp:posOffset>4789170</wp:posOffset>
                  </wp:positionH>
                  <wp:positionV relativeFrom="paragraph">
                    <wp:posOffset>6700520</wp:posOffset>
                  </wp:positionV>
                  <wp:extent cx="2384425" cy="1590675"/>
                  <wp:effectExtent l="0" t="0" r="8255" b="9525"/>
                  <wp:wrapNone/>
                  <wp:docPr id="17" name="图片 10" descr="C:/Users/Admin/Desktop/立柱.jpg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Desktop/立柱.jpg立柱"/>
                          <pic:cNvPicPr>
                            <a:picLocks noChangeAspect="1"/>
                          </pic:cNvPicPr>
                        </pic:nvPicPr>
                        <pic:blipFill>
                          <a:blip r:embed="rId17"/>
                          <a:srcRect l="15410" r="15410"/>
                          <a:stretch>
                            <a:fillRect/>
                          </a:stretch>
                        </pic:blipFill>
                        <pic:spPr>
                          <a:xfrm>
                            <a:off x="0" y="0"/>
                            <a:ext cx="2384425" cy="1590675"/>
                          </a:xfrm>
                          <a:prstGeom prst="rect">
                            <a:avLst/>
                          </a:prstGeom>
                          <a:noFill/>
                          <a:ln>
                            <a:noFill/>
                          </a:ln>
                        </pic:spPr>
                      </pic:pic>
                    </a:graphicData>
                  </a:graphic>
                </wp:anchor>
              </w:drawing>
            </w:r>
            <w:r>
              <w:rPr>
                <w:rFonts w:hint="eastAsia" w:eastAsia="宋体"/>
                <w:b/>
                <w:bCs/>
                <w:lang w:eastAsia="zh-CN"/>
              </w:rPr>
              <w:drawing>
                <wp:anchor distT="0" distB="0" distL="114300" distR="114300" simplePos="0" relativeHeight="251676672" behindDoc="0" locked="0" layoutInCell="1" allowOverlap="1">
                  <wp:simplePos x="0" y="0"/>
                  <wp:positionH relativeFrom="column">
                    <wp:posOffset>4636770</wp:posOffset>
                  </wp:positionH>
                  <wp:positionV relativeFrom="paragraph">
                    <wp:posOffset>6548120</wp:posOffset>
                  </wp:positionV>
                  <wp:extent cx="2384425" cy="1590675"/>
                  <wp:effectExtent l="0" t="0" r="8255" b="9525"/>
                  <wp:wrapNone/>
                  <wp:docPr id="15" name="图片 10" descr="C:/Users/Admin/Desktop/立柱.jpg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C:/Users/Admin/Desktop/立柱.jpg立柱"/>
                          <pic:cNvPicPr>
                            <a:picLocks noChangeAspect="1"/>
                          </pic:cNvPicPr>
                        </pic:nvPicPr>
                        <pic:blipFill>
                          <a:blip r:embed="rId17"/>
                          <a:srcRect l="15410" r="15410"/>
                          <a:stretch>
                            <a:fillRect/>
                          </a:stretch>
                        </pic:blipFill>
                        <pic:spPr>
                          <a:xfrm>
                            <a:off x="0" y="0"/>
                            <a:ext cx="2384425" cy="1590675"/>
                          </a:xfrm>
                          <a:prstGeom prst="rect">
                            <a:avLst/>
                          </a:prstGeom>
                          <a:noFill/>
                          <a:ln>
                            <a:noFill/>
                          </a:ln>
                        </pic:spPr>
                      </pic:pic>
                    </a:graphicData>
                  </a:graphic>
                </wp:anchor>
              </w:drawing>
            </w:r>
            <w:r>
              <w:rPr>
                <w:rFonts w:hint="eastAsia" w:eastAsia="宋体"/>
                <w:b/>
                <w:bCs/>
                <w:lang w:eastAsia="zh-CN"/>
              </w:rPr>
              <w:drawing>
                <wp:anchor distT="0" distB="0" distL="114300" distR="114300" simplePos="0" relativeHeight="251674624" behindDoc="0" locked="0" layoutInCell="1" allowOverlap="1">
                  <wp:simplePos x="0" y="0"/>
                  <wp:positionH relativeFrom="column">
                    <wp:posOffset>4484370</wp:posOffset>
                  </wp:positionH>
                  <wp:positionV relativeFrom="paragraph">
                    <wp:posOffset>6395720</wp:posOffset>
                  </wp:positionV>
                  <wp:extent cx="2384425" cy="1590675"/>
                  <wp:effectExtent l="0" t="0" r="8255" b="9525"/>
                  <wp:wrapNone/>
                  <wp:docPr id="13" name="图片 10" descr="C:/Users/Admin/Desktop/立柱.jpg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Desktop/立柱.jpg立柱"/>
                          <pic:cNvPicPr>
                            <a:picLocks noChangeAspect="1"/>
                          </pic:cNvPicPr>
                        </pic:nvPicPr>
                        <pic:blipFill>
                          <a:blip r:embed="rId17"/>
                          <a:srcRect l="15410" r="15410"/>
                          <a:stretch>
                            <a:fillRect/>
                          </a:stretch>
                        </pic:blipFill>
                        <pic:spPr>
                          <a:xfrm>
                            <a:off x="0" y="0"/>
                            <a:ext cx="2384425" cy="1590675"/>
                          </a:xfrm>
                          <a:prstGeom prst="rect">
                            <a:avLst/>
                          </a:prstGeom>
                          <a:noFill/>
                          <a:ln>
                            <a:noFill/>
                          </a:ln>
                        </pic:spPr>
                      </pic:pic>
                    </a:graphicData>
                  </a:graphic>
                </wp:anchor>
              </w:drawing>
            </w:r>
            <w:r>
              <w:rPr>
                <w:rFonts w:hint="eastAsia" w:eastAsia="宋体"/>
                <w:b/>
                <w:bCs/>
                <w:lang w:eastAsia="zh-CN"/>
              </w:rPr>
              <w:drawing>
                <wp:anchor distT="0" distB="0" distL="114300" distR="114300" simplePos="0" relativeHeight="251672576" behindDoc="0" locked="0" layoutInCell="1" allowOverlap="1">
                  <wp:simplePos x="0" y="0"/>
                  <wp:positionH relativeFrom="column">
                    <wp:posOffset>4331970</wp:posOffset>
                  </wp:positionH>
                  <wp:positionV relativeFrom="paragraph">
                    <wp:posOffset>6243320</wp:posOffset>
                  </wp:positionV>
                  <wp:extent cx="2384425" cy="1590675"/>
                  <wp:effectExtent l="0" t="0" r="8255" b="9525"/>
                  <wp:wrapNone/>
                  <wp:docPr id="11" name="图片 10" descr="C:/Users/Admin/Desktop/立柱.jpg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Desktop/立柱.jpg立柱"/>
                          <pic:cNvPicPr>
                            <a:picLocks noChangeAspect="1"/>
                          </pic:cNvPicPr>
                        </pic:nvPicPr>
                        <pic:blipFill>
                          <a:blip r:embed="rId17"/>
                          <a:srcRect l="15410" r="15410"/>
                          <a:stretch>
                            <a:fillRect/>
                          </a:stretch>
                        </pic:blipFill>
                        <pic:spPr>
                          <a:xfrm>
                            <a:off x="0" y="0"/>
                            <a:ext cx="2384425" cy="1590675"/>
                          </a:xfrm>
                          <a:prstGeom prst="rect">
                            <a:avLst/>
                          </a:prstGeom>
                          <a:noFill/>
                          <a:ln>
                            <a:noFill/>
                          </a:ln>
                        </pic:spPr>
                      </pic:pic>
                    </a:graphicData>
                  </a:graphic>
                </wp:anchor>
              </w:drawing>
            </w:r>
          </w:p>
          <w:p w14:paraId="1611C04E">
            <w:pPr>
              <w:rPr>
                <w:rFonts w:hint="eastAsia" w:ascii="仿宋" w:hAnsi="仿宋" w:eastAsia="仿宋"/>
                <w:kern w:val="0"/>
                <w:sz w:val="24"/>
                <w:szCs w:val="24"/>
              </w:rPr>
            </w:pPr>
            <w:r>
              <w:rPr>
                <w:rFonts w:hint="eastAsia" w:eastAsia="宋体"/>
                <w:b/>
                <w:bCs/>
                <w:lang w:eastAsia="zh-CN"/>
              </w:rPr>
              <w:drawing>
                <wp:anchor distT="0" distB="0" distL="114300" distR="114300" simplePos="0" relativeHeight="251671552" behindDoc="0" locked="0" layoutInCell="1" allowOverlap="1">
                  <wp:simplePos x="0" y="0"/>
                  <wp:positionH relativeFrom="column">
                    <wp:posOffset>4484370</wp:posOffset>
                  </wp:positionH>
                  <wp:positionV relativeFrom="paragraph">
                    <wp:posOffset>6395720</wp:posOffset>
                  </wp:positionV>
                  <wp:extent cx="2384425" cy="1590675"/>
                  <wp:effectExtent l="0" t="0" r="8255" b="9525"/>
                  <wp:wrapNone/>
                  <wp:docPr id="10" name="图片 10" descr="C:/Users/Admin/Desktop/立柱.jpg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立柱.jpg立柱"/>
                          <pic:cNvPicPr>
                            <a:picLocks noChangeAspect="1"/>
                          </pic:cNvPicPr>
                        </pic:nvPicPr>
                        <pic:blipFill>
                          <a:blip r:embed="rId17"/>
                          <a:srcRect l="15410" r="15410"/>
                          <a:stretch>
                            <a:fillRect/>
                          </a:stretch>
                        </pic:blipFill>
                        <pic:spPr>
                          <a:xfrm>
                            <a:off x="0" y="0"/>
                            <a:ext cx="2384425" cy="1590675"/>
                          </a:xfrm>
                          <a:prstGeom prst="rect">
                            <a:avLst/>
                          </a:prstGeom>
                          <a:noFill/>
                          <a:ln>
                            <a:noFill/>
                          </a:ln>
                        </pic:spPr>
                      </pic:pic>
                    </a:graphicData>
                  </a:graphic>
                </wp:anchor>
              </w:drawing>
            </w:r>
            <w:r>
              <w:rPr>
                <w:rFonts w:hint="eastAsia" w:eastAsia="宋体"/>
                <w:b/>
                <w:bCs/>
                <w:lang w:eastAsia="zh-CN"/>
              </w:rPr>
              <w:drawing>
                <wp:anchor distT="0" distB="0" distL="114300" distR="114300" simplePos="0" relativeHeight="251670528" behindDoc="0" locked="0" layoutInCell="1" allowOverlap="1">
                  <wp:simplePos x="0" y="0"/>
                  <wp:positionH relativeFrom="column">
                    <wp:posOffset>4331970</wp:posOffset>
                  </wp:positionH>
                  <wp:positionV relativeFrom="paragraph">
                    <wp:posOffset>6243320</wp:posOffset>
                  </wp:positionV>
                  <wp:extent cx="2384425" cy="1590675"/>
                  <wp:effectExtent l="0" t="0" r="8255" b="9525"/>
                  <wp:wrapNone/>
                  <wp:docPr id="9" name="图片 10" descr="C:/Users/Admin/Desktop/立柱.jpg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Desktop/立柱.jpg立柱"/>
                          <pic:cNvPicPr>
                            <a:picLocks noChangeAspect="1"/>
                          </pic:cNvPicPr>
                        </pic:nvPicPr>
                        <pic:blipFill>
                          <a:blip r:embed="rId17"/>
                          <a:srcRect l="15410" r="15410"/>
                          <a:stretch>
                            <a:fillRect/>
                          </a:stretch>
                        </pic:blipFill>
                        <pic:spPr>
                          <a:xfrm>
                            <a:off x="0" y="0"/>
                            <a:ext cx="2384425" cy="1590675"/>
                          </a:xfrm>
                          <a:prstGeom prst="rect">
                            <a:avLst/>
                          </a:prstGeom>
                          <a:noFill/>
                          <a:ln>
                            <a:noFill/>
                          </a:ln>
                        </pic:spPr>
                      </pic:pic>
                    </a:graphicData>
                  </a:graphic>
                </wp:anchor>
              </w:drawing>
            </w:r>
          </w:p>
        </w:tc>
        <w:tc>
          <w:tcPr>
            <w:tcW w:w="1810" w:type="dxa"/>
            <w:vMerge w:val="restart"/>
            <w:vAlign w:val="center"/>
          </w:tcPr>
          <w:p w14:paraId="7B177083">
            <w:pPr>
              <w:jc w:val="center"/>
              <w:rPr>
                <w:rFonts w:hint="eastAsia" w:ascii="仿宋" w:hAnsi="仿宋" w:eastAsia="仿宋"/>
                <w:kern w:val="0"/>
                <w:sz w:val="24"/>
                <w:szCs w:val="24"/>
              </w:rPr>
            </w:pPr>
            <w:r>
              <w:rPr>
                <w:rFonts w:hint="eastAsia" w:ascii="仿宋" w:hAnsi="仿宋" w:eastAsia="仿宋"/>
                <w:kern w:val="0"/>
                <w:sz w:val="24"/>
                <w:szCs w:val="24"/>
              </w:rPr>
              <w:t>现场加油员</w:t>
            </w:r>
          </w:p>
        </w:tc>
      </w:tr>
      <w:tr w14:paraId="189A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vAlign w:val="center"/>
          </w:tcPr>
          <w:p w14:paraId="283F2C1F">
            <w:pPr>
              <w:rPr>
                <w:rFonts w:hint="eastAsia" w:ascii="仿宋" w:hAnsi="仿宋" w:eastAsia="仿宋"/>
                <w:kern w:val="0"/>
                <w:sz w:val="24"/>
                <w:szCs w:val="24"/>
              </w:rPr>
            </w:pPr>
          </w:p>
        </w:tc>
        <w:tc>
          <w:tcPr>
            <w:tcW w:w="1707" w:type="dxa"/>
            <w:vMerge w:val="continue"/>
            <w:vAlign w:val="center"/>
          </w:tcPr>
          <w:p w14:paraId="1E009BEF">
            <w:pPr>
              <w:rPr>
                <w:rFonts w:hint="eastAsia" w:ascii="仿宋" w:hAnsi="仿宋" w:eastAsia="仿宋"/>
                <w:kern w:val="0"/>
                <w:sz w:val="24"/>
                <w:szCs w:val="24"/>
              </w:rPr>
            </w:pPr>
          </w:p>
        </w:tc>
        <w:tc>
          <w:tcPr>
            <w:tcW w:w="4975" w:type="dxa"/>
            <w:vAlign w:val="center"/>
          </w:tcPr>
          <w:p w14:paraId="2456AE62">
            <w:pPr>
              <w:jc w:val="center"/>
              <w:rPr>
                <w:rFonts w:ascii="Calibri" w:hAnsi="Calibri" w:eastAsia="Times New Roman"/>
                <w:kern w:val="0"/>
                <w:sz w:val="20"/>
              </w:rPr>
            </w:pPr>
            <w:r>
              <w:rPr>
                <w:rFonts w:hint="eastAsia" w:ascii="仿宋" w:hAnsi="仿宋" w:eastAsia="仿宋"/>
                <w:kern w:val="0"/>
                <w:sz w:val="24"/>
                <w:szCs w:val="24"/>
              </w:rPr>
              <w:t>立柱一键急停装置（整个加油岛全停）</w:t>
            </w:r>
          </w:p>
        </w:tc>
        <w:tc>
          <w:tcPr>
            <w:tcW w:w="1810" w:type="dxa"/>
            <w:vMerge w:val="continue"/>
            <w:vAlign w:val="center"/>
          </w:tcPr>
          <w:p w14:paraId="1D78C695">
            <w:pPr>
              <w:jc w:val="center"/>
              <w:rPr>
                <w:rFonts w:hint="eastAsia" w:ascii="仿宋" w:hAnsi="仿宋" w:eastAsia="仿宋"/>
                <w:kern w:val="0"/>
                <w:sz w:val="24"/>
                <w:szCs w:val="24"/>
              </w:rPr>
            </w:pPr>
          </w:p>
        </w:tc>
      </w:tr>
      <w:tr w14:paraId="3427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vAlign w:val="center"/>
          </w:tcPr>
          <w:p w14:paraId="321D0B0A">
            <w:pPr>
              <w:rPr>
                <w:rFonts w:hint="eastAsia" w:ascii="仿宋" w:hAnsi="仿宋" w:eastAsia="仿宋"/>
                <w:kern w:val="0"/>
                <w:sz w:val="24"/>
                <w:szCs w:val="24"/>
              </w:rPr>
            </w:pPr>
          </w:p>
        </w:tc>
        <w:tc>
          <w:tcPr>
            <w:tcW w:w="1707" w:type="dxa"/>
            <w:vMerge w:val="continue"/>
            <w:vAlign w:val="center"/>
          </w:tcPr>
          <w:p w14:paraId="702867CF">
            <w:pPr>
              <w:rPr>
                <w:rFonts w:hint="eastAsia" w:ascii="仿宋" w:hAnsi="仿宋" w:eastAsia="仿宋"/>
                <w:kern w:val="0"/>
                <w:sz w:val="24"/>
                <w:szCs w:val="24"/>
              </w:rPr>
            </w:pPr>
          </w:p>
        </w:tc>
        <w:tc>
          <w:tcPr>
            <w:tcW w:w="4975" w:type="dxa"/>
            <w:vAlign w:val="center"/>
          </w:tcPr>
          <w:p w14:paraId="6338132D">
            <w:pPr>
              <w:rPr>
                <w:rFonts w:ascii="Calibri" w:hAnsi="Calibri" w:eastAsia="Times New Roman"/>
                <w:kern w:val="0"/>
                <w:sz w:val="20"/>
              </w:rPr>
            </w:pPr>
            <w:r>
              <w:rPr>
                <w:rFonts w:hint="eastAsia" w:eastAsia="仿宋"/>
                <w:lang w:eastAsia="zh-CN"/>
              </w:rPr>
              <w:drawing>
                <wp:inline distT="0" distB="0" distL="114300" distR="114300">
                  <wp:extent cx="2319020" cy="1640840"/>
                  <wp:effectExtent l="0" t="0" r="12700" b="5080"/>
                  <wp:docPr id="16" name="图片 1" descr="C:/Users/Admin/Desktop/室内.jpg室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Admin/Desktop/室内.jpg室内"/>
                          <pic:cNvPicPr>
                            <a:picLocks noChangeAspect="1"/>
                          </pic:cNvPicPr>
                        </pic:nvPicPr>
                        <pic:blipFill>
                          <a:blip r:embed="rId20"/>
                          <a:srcRect t="33681" b="33681"/>
                          <a:stretch>
                            <a:fillRect/>
                          </a:stretch>
                        </pic:blipFill>
                        <pic:spPr>
                          <a:xfrm>
                            <a:off x="0" y="0"/>
                            <a:ext cx="2319020" cy="1640840"/>
                          </a:xfrm>
                          <a:prstGeom prst="rect">
                            <a:avLst/>
                          </a:prstGeom>
                          <a:noFill/>
                          <a:ln>
                            <a:noFill/>
                          </a:ln>
                        </pic:spPr>
                      </pic:pic>
                    </a:graphicData>
                  </a:graphic>
                </wp:inline>
              </w:drawing>
            </w:r>
          </w:p>
        </w:tc>
        <w:tc>
          <w:tcPr>
            <w:tcW w:w="1810" w:type="dxa"/>
            <w:vMerge w:val="restart"/>
            <w:vAlign w:val="center"/>
          </w:tcPr>
          <w:p w14:paraId="55E34C7E">
            <w:pPr>
              <w:jc w:val="center"/>
              <w:rPr>
                <w:rFonts w:hint="eastAsia" w:ascii="仿宋" w:hAnsi="仿宋" w:eastAsia="仿宋"/>
                <w:kern w:val="0"/>
                <w:sz w:val="24"/>
                <w:szCs w:val="24"/>
              </w:rPr>
            </w:pPr>
            <w:r>
              <w:rPr>
                <w:rFonts w:hint="eastAsia" w:ascii="仿宋" w:hAnsi="仿宋" w:eastAsia="仿宋"/>
                <w:kern w:val="0"/>
                <w:sz w:val="24"/>
                <w:szCs w:val="24"/>
              </w:rPr>
              <w:t>现场加油员</w:t>
            </w:r>
          </w:p>
        </w:tc>
      </w:tr>
      <w:tr w14:paraId="1128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vAlign w:val="center"/>
          </w:tcPr>
          <w:p w14:paraId="1B48B909">
            <w:pPr>
              <w:rPr>
                <w:rFonts w:hint="eastAsia" w:ascii="仿宋" w:hAnsi="仿宋" w:eastAsia="仿宋"/>
                <w:kern w:val="0"/>
                <w:sz w:val="24"/>
                <w:szCs w:val="24"/>
              </w:rPr>
            </w:pPr>
          </w:p>
        </w:tc>
        <w:tc>
          <w:tcPr>
            <w:tcW w:w="1707" w:type="dxa"/>
            <w:vMerge w:val="continue"/>
            <w:vAlign w:val="center"/>
          </w:tcPr>
          <w:p w14:paraId="552CD073">
            <w:pPr>
              <w:rPr>
                <w:rFonts w:hint="eastAsia" w:ascii="仿宋" w:hAnsi="仿宋" w:eastAsia="仿宋"/>
                <w:kern w:val="0"/>
                <w:sz w:val="24"/>
                <w:szCs w:val="24"/>
              </w:rPr>
            </w:pPr>
          </w:p>
        </w:tc>
        <w:tc>
          <w:tcPr>
            <w:tcW w:w="4975" w:type="dxa"/>
            <w:vAlign w:val="center"/>
          </w:tcPr>
          <w:p w14:paraId="09A718FD">
            <w:pPr>
              <w:jc w:val="center"/>
              <w:rPr>
                <w:rFonts w:hint="eastAsia" w:ascii="仿宋" w:hAnsi="仿宋" w:eastAsia="仿宋"/>
                <w:kern w:val="0"/>
                <w:sz w:val="24"/>
                <w:szCs w:val="24"/>
              </w:rPr>
            </w:pPr>
            <w:r>
              <w:rPr>
                <w:rFonts w:hint="eastAsia" w:ascii="仿宋" w:hAnsi="仿宋" w:eastAsia="仿宋"/>
                <w:kern w:val="0"/>
                <w:sz w:val="24"/>
                <w:szCs w:val="24"/>
              </w:rPr>
              <w:t>站房内一键急停装置（整个加油岛全停）</w:t>
            </w:r>
          </w:p>
        </w:tc>
        <w:tc>
          <w:tcPr>
            <w:tcW w:w="1810" w:type="dxa"/>
            <w:vMerge w:val="continue"/>
            <w:vAlign w:val="center"/>
          </w:tcPr>
          <w:p w14:paraId="3A132171">
            <w:pPr>
              <w:jc w:val="center"/>
              <w:rPr>
                <w:rFonts w:hint="eastAsia" w:ascii="仿宋" w:hAnsi="仿宋" w:eastAsia="仿宋"/>
                <w:kern w:val="0"/>
                <w:sz w:val="24"/>
                <w:szCs w:val="24"/>
              </w:rPr>
            </w:pPr>
          </w:p>
        </w:tc>
      </w:tr>
      <w:tr w14:paraId="1CD3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vAlign w:val="center"/>
          </w:tcPr>
          <w:p w14:paraId="40156B50">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发现油罐破损事故情形</w:t>
            </w:r>
          </w:p>
        </w:tc>
        <w:tc>
          <w:tcPr>
            <w:tcW w:w="1707" w:type="dxa"/>
            <w:vMerge w:val="restart"/>
            <w:vAlign w:val="center"/>
          </w:tcPr>
          <w:p w14:paraId="0442F87B">
            <w:pPr>
              <w:ind w:firstLine="240" w:firstLineChars="100"/>
              <w:rPr>
                <w:rFonts w:hint="eastAsia" w:ascii="仿宋" w:hAnsi="仿宋" w:eastAsia="仿宋"/>
                <w:kern w:val="0"/>
                <w:sz w:val="24"/>
                <w:szCs w:val="24"/>
              </w:rPr>
            </w:pPr>
            <w:r>
              <w:rPr>
                <w:rFonts w:hint="eastAsia" w:ascii="仿宋" w:hAnsi="仿宋" w:eastAsia="仿宋"/>
                <w:kern w:val="0"/>
                <w:sz w:val="24"/>
                <w:szCs w:val="24"/>
              </w:rPr>
              <w:t>通过油罐监测仪和二合一渗漏监测仪发现油罐破损，观测报警灯，红灯亮起即为报警</w:t>
            </w:r>
          </w:p>
        </w:tc>
        <w:tc>
          <w:tcPr>
            <w:tcW w:w="4975" w:type="dxa"/>
            <w:vAlign w:val="center"/>
          </w:tcPr>
          <w:p w14:paraId="0568A5FC">
            <w:pPr>
              <w:jc w:val="center"/>
              <w:rPr>
                <w:rFonts w:hint="eastAsia" w:ascii="仿宋" w:hAnsi="仿宋" w:eastAsia="仿宋"/>
                <w:kern w:val="0"/>
                <w:sz w:val="24"/>
                <w:szCs w:val="24"/>
              </w:rPr>
            </w:pPr>
            <w:r>
              <w:rPr>
                <w:rFonts w:hint="eastAsia" w:eastAsia="仿宋"/>
                <w:lang w:eastAsia="zh-CN"/>
              </w:rPr>
              <w:drawing>
                <wp:inline distT="0" distB="0" distL="114300" distR="114300">
                  <wp:extent cx="2179320" cy="1196340"/>
                  <wp:effectExtent l="0" t="0" r="0" b="7620"/>
                  <wp:docPr id="25" name="图片 25" descr="173174518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31745181712"/>
                          <pic:cNvPicPr>
                            <a:picLocks noChangeAspect="1"/>
                          </pic:cNvPicPr>
                        </pic:nvPicPr>
                        <pic:blipFill>
                          <a:blip r:embed="rId21"/>
                          <a:stretch>
                            <a:fillRect/>
                          </a:stretch>
                        </pic:blipFill>
                        <pic:spPr>
                          <a:xfrm>
                            <a:off x="0" y="0"/>
                            <a:ext cx="2179320" cy="1196340"/>
                          </a:xfrm>
                          <a:prstGeom prst="rect">
                            <a:avLst/>
                          </a:prstGeom>
                        </pic:spPr>
                      </pic:pic>
                    </a:graphicData>
                  </a:graphic>
                </wp:inline>
              </w:drawing>
            </w:r>
          </w:p>
        </w:tc>
        <w:tc>
          <w:tcPr>
            <w:tcW w:w="1810" w:type="dxa"/>
            <w:vMerge w:val="restart"/>
            <w:vAlign w:val="center"/>
          </w:tcPr>
          <w:p w14:paraId="668BE53F">
            <w:pPr>
              <w:jc w:val="center"/>
              <w:rPr>
                <w:rFonts w:hint="eastAsia" w:ascii="仿宋" w:hAnsi="仿宋" w:eastAsia="仿宋"/>
                <w:kern w:val="0"/>
                <w:sz w:val="24"/>
                <w:szCs w:val="24"/>
              </w:rPr>
            </w:pPr>
            <w:r>
              <w:rPr>
                <w:rFonts w:hint="eastAsia" w:ascii="仿宋" w:hAnsi="仿宋" w:eastAsia="仿宋"/>
                <w:kern w:val="0"/>
                <w:sz w:val="24"/>
                <w:szCs w:val="24"/>
              </w:rPr>
              <w:t>当天值班人员</w:t>
            </w:r>
          </w:p>
        </w:tc>
      </w:tr>
      <w:tr w14:paraId="7358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vAlign w:val="center"/>
          </w:tcPr>
          <w:p w14:paraId="6CED34CE">
            <w:pPr>
              <w:rPr>
                <w:rFonts w:hint="eastAsia" w:ascii="仿宋" w:hAnsi="仿宋" w:eastAsia="仿宋"/>
                <w:kern w:val="0"/>
                <w:sz w:val="24"/>
                <w:szCs w:val="24"/>
              </w:rPr>
            </w:pPr>
          </w:p>
        </w:tc>
        <w:tc>
          <w:tcPr>
            <w:tcW w:w="1707" w:type="dxa"/>
            <w:vMerge w:val="continue"/>
            <w:vAlign w:val="center"/>
          </w:tcPr>
          <w:p w14:paraId="78246CE3">
            <w:pPr>
              <w:rPr>
                <w:rFonts w:hint="eastAsia" w:ascii="仿宋" w:hAnsi="仿宋" w:eastAsia="仿宋"/>
                <w:kern w:val="0"/>
                <w:sz w:val="24"/>
                <w:szCs w:val="24"/>
              </w:rPr>
            </w:pPr>
          </w:p>
        </w:tc>
        <w:tc>
          <w:tcPr>
            <w:tcW w:w="4975" w:type="dxa"/>
            <w:vAlign w:val="center"/>
          </w:tcPr>
          <w:p w14:paraId="0CEDE1AB">
            <w:pPr>
              <w:jc w:val="center"/>
              <w:rPr>
                <w:rFonts w:hint="eastAsia" w:ascii="仿宋" w:hAnsi="仿宋" w:eastAsia="仿宋"/>
                <w:kern w:val="0"/>
                <w:sz w:val="24"/>
                <w:szCs w:val="24"/>
              </w:rPr>
            </w:pPr>
            <w:r>
              <w:rPr>
                <w:rFonts w:hint="eastAsia" w:ascii="仿宋" w:hAnsi="仿宋" w:eastAsia="仿宋"/>
                <w:kern w:val="0"/>
                <w:sz w:val="24"/>
                <w:szCs w:val="24"/>
              </w:rPr>
              <w:t>液位仪</w:t>
            </w:r>
          </w:p>
        </w:tc>
        <w:tc>
          <w:tcPr>
            <w:tcW w:w="1810" w:type="dxa"/>
            <w:vMerge w:val="continue"/>
            <w:vAlign w:val="center"/>
          </w:tcPr>
          <w:p w14:paraId="2C654CF7">
            <w:pPr>
              <w:jc w:val="center"/>
              <w:rPr>
                <w:rFonts w:hint="eastAsia" w:ascii="仿宋" w:hAnsi="仿宋" w:eastAsia="仿宋"/>
                <w:kern w:val="0"/>
                <w:sz w:val="24"/>
                <w:szCs w:val="24"/>
              </w:rPr>
            </w:pPr>
          </w:p>
        </w:tc>
      </w:tr>
      <w:tr w14:paraId="3A6A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jc w:val="center"/>
        </w:trPr>
        <w:tc>
          <w:tcPr>
            <w:tcW w:w="792" w:type="dxa"/>
            <w:vMerge w:val="continue"/>
            <w:vAlign w:val="center"/>
          </w:tcPr>
          <w:p w14:paraId="68C459B8">
            <w:pPr>
              <w:rPr>
                <w:rFonts w:hint="eastAsia" w:ascii="仿宋" w:hAnsi="仿宋" w:eastAsia="仿宋"/>
                <w:kern w:val="0"/>
                <w:sz w:val="24"/>
                <w:szCs w:val="24"/>
              </w:rPr>
            </w:pPr>
          </w:p>
        </w:tc>
        <w:tc>
          <w:tcPr>
            <w:tcW w:w="1707" w:type="dxa"/>
            <w:vMerge w:val="continue"/>
            <w:vAlign w:val="center"/>
          </w:tcPr>
          <w:p w14:paraId="5C93D0C2">
            <w:pPr>
              <w:rPr>
                <w:rFonts w:hint="eastAsia" w:ascii="仿宋" w:hAnsi="仿宋" w:eastAsia="仿宋"/>
                <w:kern w:val="0"/>
                <w:sz w:val="24"/>
                <w:szCs w:val="24"/>
              </w:rPr>
            </w:pPr>
          </w:p>
        </w:tc>
        <w:tc>
          <w:tcPr>
            <w:tcW w:w="4975" w:type="dxa"/>
            <w:vAlign w:val="center"/>
          </w:tcPr>
          <w:p w14:paraId="666EE01D">
            <w:pPr>
              <w:jc w:val="center"/>
              <w:rPr>
                <w:rFonts w:hint="eastAsia" w:ascii="仿宋" w:hAnsi="仿宋" w:eastAsia="仿宋"/>
                <w:kern w:val="0"/>
                <w:sz w:val="24"/>
                <w:szCs w:val="24"/>
              </w:rPr>
            </w:pPr>
            <w:r>
              <w:rPr>
                <w:rFonts w:hint="eastAsia" w:eastAsia="仿宋"/>
                <w:lang w:val="en-US" w:eastAsia="zh-CN"/>
              </w:rPr>
              <w:drawing>
                <wp:inline distT="0" distB="0" distL="114300" distR="114300">
                  <wp:extent cx="1971675" cy="907415"/>
                  <wp:effectExtent l="0" t="0" r="9525" b="6985"/>
                  <wp:docPr id="29" name="图片 2" descr="C:/Users/Admin/Desktop/油罐.jpg油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Desktop/油罐.jpg油罐"/>
                          <pic:cNvPicPr>
                            <a:picLocks noChangeAspect="1"/>
                          </pic:cNvPicPr>
                        </pic:nvPicPr>
                        <pic:blipFill>
                          <a:blip r:embed="rId22"/>
                          <a:srcRect t="32492" b="32492"/>
                          <a:stretch>
                            <a:fillRect/>
                          </a:stretch>
                        </pic:blipFill>
                        <pic:spPr>
                          <a:xfrm>
                            <a:off x="0" y="0"/>
                            <a:ext cx="1971675" cy="907415"/>
                          </a:xfrm>
                          <a:prstGeom prst="rect">
                            <a:avLst/>
                          </a:prstGeom>
                          <a:noFill/>
                          <a:ln>
                            <a:noFill/>
                          </a:ln>
                        </pic:spPr>
                      </pic:pic>
                    </a:graphicData>
                  </a:graphic>
                </wp:inline>
              </w:drawing>
            </w:r>
          </w:p>
        </w:tc>
        <w:tc>
          <w:tcPr>
            <w:tcW w:w="1810" w:type="dxa"/>
            <w:vMerge w:val="restart"/>
            <w:vAlign w:val="center"/>
          </w:tcPr>
          <w:p w14:paraId="1ED8D810">
            <w:pPr>
              <w:jc w:val="center"/>
              <w:rPr>
                <w:rFonts w:hint="eastAsia" w:ascii="仿宋" w:hAnsi="仿宋" w:eastAsia="仿宋"/>
                <w:kern w:val="0"/>
                <w:sz w:val="24"/>
                <w:szCs w:val="24"/>
              </w:rPr>
            </w:pPr>
            <w:r>
              <w:rPr>
                <w:rFonts w:hint="eastAsia" w:ascii="仿宋" w:hAnsi="仿宋" w:eastAsia="仿宋"/>
                <w:kern w:val="0"/>
                <w:sz w:val="24"/>
                <w:szCs w:val="24"/>
              </w:rPr>
              <w:t>当天值班人员</w:t>
            </w:r>
          </w:p>
        </w:tc>
      </w:tr>
      <w:tr w14:paraId="06A0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jc w:val="center"/>
        </w:trPr>
        <w:tc>
          <w:tcPr>
            <w:tcW w:w="792" w:type="dxa"/>
            <w:vMerge w:val="continue"/>
            <w:vAlign w:val="center"/>
          </w:tcPr>
          <w:p w14:paraId="6AD009C0">
            <w:pPr>
              <w:rPr>
                <w:rFonts w:hint="eastAsia" w:ascii="仿宋" w:hAnsi="仿宋" w:eastAsia="仿宋"/>
                <w:kern w:val="0"/>
                <w:sz w:val="24"/>
                <w:szCs w:val="24"/>
              </w:rPr>
            </w:pPr>
          </w:p>
        </w:tc>
        <w:tc>
          <w:tcPr>
            <w:tcW w:w="1707" w:type="dxa"/>
            <w:vMerge w:val="continue"/>
            <w:vAlign w:val="center"/>
          </w:tcPr>
          <w:p w14:paraId="4A12FEBD">
            <w:pPr>
              <w:rPr>
                <w:rFonts w:hint="eastAsia" w:ascii="仿宋" w:hAnsi="仿宋" w:eastAsia="仿宋"/>
                <w:kern w:val="0"/>
                <w:sz w:val="24"/>
                <w:szCs w:val="24"/>
              </w:rPr>
            </w:pPr>
          </w:p>
        </w:tc>
        <w:tc>
          <w:tcPr>
            <w:tcW w:w="4975" w:type="dxa"/>
            <w:vAlign w:val="center"/>
          </w:tcPr>
          <w:p w14:paraId="55C37964">
            <w:pPr>
              <w:jc w:val="center"/>
              <w:rPr>
                <w:rFonts w:ascii="Calibri" w:hAnsi="Calibri" w:eastAsia="Times New Roman"/>
              </w:rPr>
            </w:pPr>
            <w:r>
              <w:rPr>
                <w:rFonts w:hint="eastAsia" w:eastAsia="仿宋"/>
                <w:lang w:val="en-US" w:eastAsia="zh-CN"/>
              </w:rPr>
              <w:drawing>
                <wp:inline distT="0" distB="0" distL="114300" distR="114300">
                  <wp:extent cx="1971675" cy="907415"/>
                  <wp:effectExtent l="0" t="0" r="9525" b="6985"/>
                  <wp:docPr id="31" name="图片 3" descr="C:/Users/Admin/Desktop/管线.jpg管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C:/Users/Admin/Desktop/管线.jpg管线"/>
                          <pic:cNvPicPr>
                            <a:picLocks noChangeAspect="1"/>
                          </pic:cNvPicPr>
                        </pic:nvPicPr>
                        <pic:blipFill>
                          <a:blip r:embed="rId23"/>
                          <a:srcRect t="145" b="145"/>
                          <a:stretch>
                            <a:fillRect/>
                          </a:stretch>
                        </pic:blipFill>
                        <pic:spPr>
                          <a:xfrm>
                            <a:off x="0" y="0"/>
                            <a:ext cx="1971675" cy="907415"/>
                          </a:xfrm>
                          <a:prstGeom prst="rect">
                            <a:avLst/>
                          </a:prstGeom>
                          <a:noFill/>
                          <a:ln>
                            <a:noFill/>
                          </a:ln>
                        </pic:spPr>
                      </pic:pic>
                    </a:graphicData>
                  </a:graphic>
                </wp:inline>
              </w:drawing>
            </w:r>
          </w:p>
        </w:tc>
        <w:tc>
          <w:tcPr>
            <w:tcW w:w="1810" w:type="dxa"/>
            <w:vMerge w:val="continue"/>
            <w:vAlign w:val="center"/>
          </w:tcPr>
          <w:p w14:paraId="4714DE46">
            <w:pPr>
              <w:jc w:val="center"/>
              <w:rPr>
                <w:rFonts w:hint="eastAsia" w:ascii="仿宋" w:hAnsi="仿宋" w:eastAsia="仿宋"/>
                <w:kern w:val="0"/>
                <w:sz w:val="24"/>
                <w:szCs w:val="24"/>
              </w:rPr>
            </w:pPr>
          </w:p>
        </w:tc>
      </w:tr>
      <w:tr w14:paraId="2F9E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2" w:type="dxa"/>
            <w:vMerge w:val="continue"/>
            <w:vAlign w:val="center"/>
          </w:tcPr>
          <w:p w14:paraId="2D6589D6">
            <w:pPr>
              <w:rPr>
                <w:rFonts w:hint="eastAsia" w:ascii="仿宋" w:hAnsi="仿宋" w:eastAsia="仿宋"/>
                <w:kern w:val="0"/>
                <w:sz w:val="24"/>
                <w:szCs w:val="24"/>
              </w:rPr>
            </w:pPr>
          </w:p>
        </w:tc>
        <w:tc>
          <w:tcPr>
            <w:tcW w:w="1707" w:type="dxa"/>
            <w:vMerge w:val="continue"/>
            <w:vAlign w:val="center"/>
          </w:tcPr>
          <w:p w14:paraId="1A0D03A9">
            <w:pPr>
              <w:rPr>
                <w:rFonts w:hint="eastAsia" w:ascii="仿宋" w:hAnsi="仿宋" w:eastAsia="仿宋"/>
                <w:kern w:val="0"/>
                <w:sz w:val="24"/>
                <w:szCs w:val="24"/>
              </w:rPr>
            </w:pPr>
          </w:p>
        </w:tc>
        <w:tc>
          <w:tcPr>
            <w:tcW w:w="4975" w:type="dxa"/>
            <w:vAlign w:val="center"/>
          </w:tcPr>
          <w:p w14:paraId="41AB540C">
            <w:pPr>
              <w:jc w:val="center"/>
              <w:rPr>
                <w:rFonts w:hint="eastAsia" w:ascii="仿宋" w:hAnsi="仿宋" w:eastAsia="仿宋"/>
                <w:kern w:val="0"/>
                <w:sz w:val="24"/>
                <w:szCs w:val="24"/>
              </w:rPr>
            </w:pPr>
            <w:r>
              <w:rPr>
                <w:rFonts w:hint="eastAsia" w:ascii="仿宋" w:hAnsi="仿宋" w:eastAsia="仿宋"/>
                <w:kern w:val="0"/>
                <w:sz w:val="24"/>
                <w:szCs w:val="24"/>
              </w:rPr>
              <w:t>侧漏报警装置</w:t>
            </w:r>
          </w:p>
        </w:tc>
        <w:tc>
          <w:tcPr>
            <w:tcW w:w="1810" w:type="dxa"/>
            <w:vMerge w:val="continue"/>
            <w:vAlign w:val="center"/>
          </w:tcPr>
          <w:p w14:paraId="57492029">
            <w:pPr>
              <w:jc w:val="center"/>
              <w:rPr>
                <w:rFonts w:hint="eastAsia" w:ascii="仿宋" w:hAnsi="仿宋" w:eastAsia="仿宋"/>
                <w:kern w:val="0"/>
                <w:sz w:val="24"/>
                <w:szCs w:val="24"/>
              </w:rPr>
            </w:pPr>
          </w:p>
        </w:tc>
      </w:tr>
    </w:tbl>
    <w:p w14:paraId="7B41A0F0">
      <w:pPr>
        <w:pStyle w:val="106"/>
        <w:rPr>
          <w:rFonts w:hint="eastAsia"/>
        </w:rPr>
      </w:pPr>
    </w:p>
    <w:p w14:paraId="3EE94F0F">
      <w:pPr>
        <w:spacing w:line="360" w:lineRule="auto"/>
        <w:outlineLvl w:val="2"/>
        <w:rPr>
          <w:rFonts w:eastAsia="仿宋_GB2312"/>
          <w:b/>
          <w:bCs/>
          <w:sz w:val="28"/>
          <w:szCs w:val="32"/>
        </w:rPr>
      </w:pPr>
      <w:r>
        <w:rPr>
          <w:rFonts w:eastAsia="仿宋_GB2312"/>
          <w:b/>
          <w:bCs/>
          <w:sz w:val="28"/>
          <w:szCs w:val="32"/>
        </w:rPr>
        <w:t>6.4.2</w:t>
      </w:r>
      <w:r>
        <w:rPr>
          <w:rFonts w:hint="eastAsia" w:eastAsia="仿宋_GB2312"/>
          <w:b/>
          <w:bCs/>
          <w:sz w:val="28"/>
          <w:szCs w:val="32"/>
        </w:rPr>
        <w:t>卸油作业泄漏应急处置</w:t>
      </w:r>
    </w:p>
    <w:p w14:paraId="1EA0FFC8">
      <w:pPr>
        <w:spacing w:line="360" w:lineRule="auto"/>
        <w:ind w:firstLine="560" w:firstLineChars="200"/>
        <w:rPr>
          <w:rFonts w:eastAsia="仿宋"/>
          <w:sz w:val="28"/>
          <w:szCs w:val="28"/>
        </w:rPr>
      </w:pPr>
      <w:r>
        <w:rPr>
          <w:rFonts w:hint="eastAsia" w:eastAsia="仿宋"/>
          <w:sz w:val="28"/>
          <w:szCs w:val="28"/>
        </w:rPr>
        <w:t>预警方式：卸油时发现卸油接头脱落泄漏。由现场工作人员报告值班站长，如泄漏量较少可按少量泄漏情形进行处置；如发现泄漏量较多，不及时控制可能会流出站区的，由值班站长汇报给应急总指挥，应急总指挥判断可及时处置仍可控，不会产生严重土壤污染和地表水污染的事故时发布蓝色预警，启动三级（加油站级）响应，同时组织站内工作人员穿戴防护物资后进行以下处理：</w:t>
      </w:r>
    </w:p>
    <w:p w14:paraId="5DE04535">
      <w:pPr>
        <w:spacing w:line="360" w:lineRule="auto"/>
        <w:ind w:firstLine="560" w:firstLineChars="200"/>
        <w:rPr>
          <w:rFonts w:eastAsia="仿宋"/>
          <w:sz w:val="28"/>
          <w:szCs w:val="28"/>
        </w:rPr>
      </w:pPr>
      <w:r>
        <w:rPr>
          <w:rFonts w:hint="eastAsia" w:eastAsia="仿宋"/>
          <w:sz w:val="28"/>
          <w:szCs w:val="28"/>
        </w:rPr>
        <w:t>（1）疏散站内无关人员；</w:t>
      </w:r>
    </w:p>
    <w:p w14:paraId="30DC725B">
      <w:pPr>
        <w:spacing w:line="360" w:lineRule="auto"/>
        <w:ind w:firstLine="560" w:firstLineChars="200"/>
        <w:rPr>
          <w:rFonts w:eastAsia="仿宋"/>
          <w:sz w:val="28"/>
          <w:szCs w:val="28"/>
        </w:rPr>
      </w:pPr>
      <w:r>
        <w:rPr>
          <w:rFonts w:hint="eastAsia" w:eastAsia="仿宋"/>
          <w:sz w:val="28"/>
          <w:szCs w:val="28"/>
        </w:rPr>
        <w:t>（2）按下槽车卸油一键急停按钮；</w:t>
      </w:r>
    </w:p>
    <w:p w14:paraId="68DBF6E4">
      <w:pPr>
        <w:spacing w:line="360" w:lineRule="auto"/>
        <w:ind w:firstLine="560" w:firstLineChars="200"/>
        <w:rPr>
          <w:rFonts w:eastAsia="仿宋"/>
          <w:sz w:val="28"/>
          <w:szCs w:val="28"/>
        </w:rPr>
      </w:pPr>
      <w:r>
        <w:rPr>
          <w:rFonts w:hint="eastAsia" w:eastAsia="仿宋"/>
          <w:sz w:val="28"/>
          <w:szCs w:val="28"/>
        </w:rPr>
        <w:t>（3）取来消防沙袋在泄漏点周围进行围挡；</w:t>
      </w:r>
    </w:p>
    <w:p w14:paraId="73E909FE">
      <w:pPr>
        <w:spacing w:line="360" w:lineRule="auto"/>
        <w:ind w:firstLine="560" w:firstLineChars="200"/>
        <w:rPr>
          <w:rFonts w:eastAsia="仿宋"/>
          <w:sz w:val="28"/>
          <w:szCs w:val="28"/>
        </w:rPr>
      </w:pPr>
      <w:r>
        <w:rPr>
          <w:rFonts w:hint="eastAsia" w:eastAsia="仿宋"/>
          <w:sz w:val="28"/>
          <w:szCs w:val="28"/>
        </w:rPr>
        <w:t>（4）已经流出站区外的，在低处沟渠等聚集点利用沙袋进行先行围堵控制。</w:t>
      </w:r>
    </w:p>
    <w:p w14:paraId="36FB83B5">
      <w:pPr>
        <w:spacing w:line="360" w:lineRule="auto"/>
        <w:ind w:firstLine="560" w:firstLineChars="200"/>
        <w:rPr>
          <w:rFonts w:eastAsia="仿宋"/>
          <w:sz w:val="28"/>
          <w:szCs w:val="28"/>
        </w:rPr>
      </w:pPr>
      <w:r>
        <w:rPr>
          <w:rFonts w:hint="eastAsia" w:eastAsia="仿宋"/>
          <w:sz w:val="28"/>
          <w:szCs w:val="28"/>
        </w:rPr>
        <w:t>（5）用危废暂存箱收容泄漏物；</w:t>
      </w:r>
    </w:p>
    <w:p w14:paraId="5BC3E4FF">
      <w:pPr>
        <w:spacing w:line="360" w:lineRule="auto"/>
        <w:ind w:firstLine="560" w:firstLineChars="200"/>
        <w:rPr>
          <w:rFonts w:eastAsia="仿宋"/>
          <w:sz w:val="28"/>
          <w:szCs w:val="28"/>
        </w:rPr>
      </w:pPr>
      <w:r>
        <w:rPr>
          <w:rFonts w:hint="eastAsia" w:eastAsia="仿宋"/>
          <w:sz w:val="28"/>
          <w:szCs w:val="28"/>
        </w:rPr>
        <w:t>（</w:t>
      </w:r>
      <w:r>
        <w:rPr>
          <w:rFonts w:eastAsia="仿宋"/>
          <w:sz w:val="28"/>
          <w:szCs w:val="28"/>
        </w:rPr>
        <w:t>6</w:t>
      </w:r>
      <w:r>
        <w:rPr>
          <w:rFonts w:hint="eastAsia" w:eastAsia="仿宋"/>
          <w:sz w:val="28"/>
          <w:szCs w:val="28"/>
        </w:rPr>
        <w:t>）清理全部污染土壤收容到编织袋中；</w:t>
      </w:r>
    </w:p>
    <w:p w14:paraId="304E94DF">
      <w:pPr>
        <w:spacing w:line="360" w:lineRule="auto"/>
        <w:ind w:firstLine="560" w:firstLineChars="200"/>
        <w:rPr>
          <w:rFonts w:eastAsia="仿宋"/>
          <w:sz w:val="28"/>
          <w:szCs w:val="28"/>
        </w:rPr>
      </w:pPr>
      <w:r>
        <w:rPr>
          <w:rFonts w:hint="eastAsia" w:eastAsia="仿宋"/>
          <w:sz w:val="28"/>
          <w:szCs w:val="28"/>
        </w:rPr>
        <w:t>（</w:t>
      </w:r>
      <w:r>
        <w:rPr>
          <w:rFonts w:eastAsia="仿宋"/>
          <w:sz w:val="28"/>
          <w:szCs w:val="28"/>
        </w:rPr>
        <w:t>7</w:t>
      </w:r>
      <w:r>
        <w:rPr>
          <w:rFonts w:hint="eastAsia" w:eastAsia="仿宋"/>
          <w:sz w:val="28"/>
          <w:szCs w:val="28"/>
        </w:rPr>
        <w:t>）相关沾染废物作为危险废物，交有资质单位处理。成功处理后，三级（加油站级）响应结束。</w:t>
      </w:r>
    </w:p>
    <w:p w14:paraId="596F7B88">
      <w:pPr>
        <w:autoSpaceDE w:val="0"/>
        <w:autoSpaceDN w:val="0"/>
        <w:adjustRightInd w:val="0"/>
        <w:snapToGrid w:val="0"/>
        <w:spacing w:line="360" w:lineRule="auto"/>
        <w:ind w:firstLine="560" w:firstLineChars="200"/>
        <w:rPr>
          <w:rFonts w:eastAsia="仿宋"/>
          <w:sz w:val="28"/>
          <w:szCs w:val="28"/>
        </w:rPr>
      </w:pPr>
      <w:r>
        <w:rPr>
          <w:rFonts w:hint="eastAsia" w:eastAsia="仿宋"/>
          <w:sz w:val="28"/>
          <w:szCs w:val="28"/>
        </w:rPr>
        <w:t>应急处置卡如下：</w:t>
      </w:r>
    </w:p>
    <w:p w14:paraId="0DC721DA">
      <w:pPr>
        <w:spacing w:line="360" w:lineRule="auto"/>
        <w:jc w:val="center"/>
        <w:rPr>
          <w:rFonts w:eastAsia="仿宋"/>
          <w:spacing w:val="6"/>
          <w:kern w:val="0"/>
          <w:sz w:val="28"/>
          <w:szCs w:val="28"/>
          <w:highlight w:val="none"/>
        </w:rPr>
      </w:pPr>
      <w:r>
        <w:rPr>
          <w:rFonts w:eastAsia="仿宋"/>
          <w:spacing w:val="6"/>
          <w:kern w:val="0"/>
          <w:sz w:val="28"/>
          <w:szCs w:val="28"/>
          <w:highlight w:val="none"/>
        </w:rPr>
        <w:t>表6.4-2</w:t>
      </w:r>
      <w:r>
        <w:rPr>
          <w:rFonts w:hint="eastAsia" w:eastAsia="仿宋"/>
          <w:spacing w:val="6"/>
          <w:kern w:val="0"/>
          <w:sz w:val="28"/>
          <w:szCs w:val="28"/>
          <w:highlight w:val="none"/>
        </w:rPr>
        <w:t>泄漏事故应急处置卡（卸油</w:t>
      </w:r>
      <w:r>
        <w:rPr>
          <w:rFonts w:eastAsia="仿宋"/>
          <w:spacing w:val="6"/>
          <w:kern w:val="0"/>
          <w:sz w:val="28"/>
          <w:szCs w:val="28"/>
          <w:highlight w:val="none"/>
        </w:rPr>
        <w:t>作业</w:t>
      </w:r>
      <w:r>
        <w:rPr>
          <w:rFonts w:hint="eastAsia" w:eastAsia="仿宋"/>
          <w:spacing w:val="6"/>
          <w:kern w:val="0"/>
          <w:sz w:val="28"/>
          <w:szCs w:val="28"/>
          <w:highlight w:val="none"/>
        </w:rPr>
        <w:t>）</w:t>
      </w:r>
    </w:p>
    <w:tbl>
      <w:tblPr>
        <w:tblStyle w:val="2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3241"/>
        <w:gridCol w:w="4152"/>
        <w:gridCol w:w="783"/>
      </w:tblGrid>
      <w:tr w14:paraId="2C1B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7F006D">
            <w:pPr>
              <w:jc w:val="center"/>
              <w:rPr>
                <w:rFonts w:hint="eastAsia" w:ascii="仿宋" w:hAnsi="仿宋" w:eastAsia="仿宋"/>
                <w:kern w:val="0"/>
                <w:sz w:val="24"/>
                <w:szCs w:val="24"/>
              </w:rPr>
            </w:pPr>
            <w:r>
              <w:rPr>
                <w:rFonts w:hint="eastAsia" w:ascii="仿宋" w:hAnsi="仿宋" w:eastAsia="仿宋"/>
                <w:kern w:val="0"/>
                <w:sz w:val="24"/>
                <w:szCs w:val="24"/>
              </w:rPr>
              <w:t>突发环境事件</w:t>
            </w:r>
          </w:p>
        </w:tc>
        <w:tc>
          <w:tcPr>
            <w:tcW w:w="0" w:type="auto"/>
            <w:vAlign w:val="center"/>
          </w:tcPr>
          <w:p w14:paraId="4052056E">
            <w:pPr>
              <w:jc w:val="center"/>
              <w:rPr>
                <w:rFonts w:hint="eastAsia" w:ascii="仿宋" w:hAnsi="仿宋" w:eastAsia="仿宋"/>
                <w:kern w:val="0"/>
                <w:sz w:val="24"/>
                <w:szCs w:val="24"/>
              </w:rPr>
            </w:pPr>
            <w:r>
              <w:rPr>
                <w:rFonts w:hint="eastAsia" w:ascii="仿宋" w:hAnsi="仿宋" w:eastAsia="仿宋"/>
                <w:kern w:val="0"/>
                <w:sz w:val="24"/>
                <w:szCs w:val="24"/>
              </w:rPr>
              <w:t>处置</w:t>
            </w:r>
            <w:r>
              <w:rPr>
                <w:rFonts w:ascii="仿宋" w:hAnsi="仿宋" w:eastAsia="仿宋"/>
                <w:kern w:val="0"/>
                <w:sz w:val="24"/>
                <w:szCs w:val="24"/>
              </w:rPr>
              <w:t>措施</w:t>
            </w:r>
          </w:p>
        </w:tc>
        <w:tc>
          <w:tcPr>
            <w:tcW w:w="0" w:type="auto"/>
            <w:vAlign w:val="center"/>
          </w:tcPr>
          <w:p w14:paraId="65287A61">
            <w:pPr>
              <w:jc w:val="center"/>
              <w:rPr>
                <w:rFonts w:hint="eastAsia" w:ascii="仿宋" w:hAnsi="仿宋" w:eastAsia="仿宋"/>
                <w:kern w:val="0"/>
                <w:sz w:val="24"/>
                <w:szCs w:val="24"/>
              </w:rPr>
            </w:pPr>
            <w:r>
              <w:rPr>
                <w:rFonts w:hint="eastAsia" w:ascii="仿宋" w:hAnsi="仿宋" w:eastAsia="仿宋"/>
                <w:kern w:val="0"/>
                <w:sz w:val="24"/>
                <w:szCs w:val="24"/>
              </w:rPr>
              <w:t>应急物资</w:t>
            </w:r>
            <w:r>
              <w:rPr>
                <w:rFonts w:ascii="仿宋" w:hAnsi="仿宋" w:eastAsia="仿宋"/>
                <w:kern w:val="0"/>
                <w:sz w:val="24"/>
                <w:szCs w:val="24"/>
              </w:rPr>
              <w:t>与装置</w:t>
            </w:r>
          </w:p>
        </w:tc>
        <w:tc>
          <w:tcPr>
            <w:tcW w:w="0" w:type="auto"/>
            <w:vAlign w:val="center"/>
          </w:tcPr>
          <w:p w14:paraId="53E88784">
            <w:pPr>
              <w:jc w:val="center"/>
              <w:rPr>
                <w:rFonts w:hint="eastAsia" w:ascii="仿宋" w:hAnsi="仿宋" w:eastAsia="仿宋"/>
                <w:kern w:val="0"/>
                <w:sz w:val="24"/>
                <w:szCs w:val="24"/>
              </w:rPr>
            </w:pPr>
            <w:r>
              <w:rPr>
                <w:rFonts w:hint="eastAsia" w:ascii="仿宋" w:hAnsi="仿宋" w:eastAsia="仿宋"/>
                <w:kern w:val="0"/>
                <w:sz w:val="24"/>
                <w:szCs w:val="24"/>
              </w:rPr>
              <w:t>负责人</w:t>
            </w:r>
          </w:p>
        </w:tc>
      </w:tr>
      <w:tr w14:paraId="6208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8" w:hRule="atLeast"/>
          <w:jc w:val="center"/>
        </w:trPr>
        <w:tc>
          <w:tcPr>
            <w:tcW w:w="0" w:type="auto"/>
            <w:vMerge w:val="restart"/>
            <w:vAlign w:val="center"/>
          </w:tcPr>
          <w:p w14:paraId="167DDDFD">
            <w:pPr>
              <w:autoSpaceDE w:val="0"/>
              <w:autoSpaceDN w:val="0"/>
              <w:adjustRightInd w:val="0"/>
              <w:jc w:val="center"/>
              <w:rPr>
                <w:rFonts w:hint="eastAsia" w:ascii="仿宋" w:hAnsi="仿宋" w:eastAsia="仿宋" w:cs="仿宋"/>
                <w:kern w:val="0"/>
                <w:sz w:val="24"/>
                <w:szCs w:val="24"/>
              </w:rPr>
            </w:pPr>
            <w:r>
              <w:rPr>
                <w:rFonts w:hint="eastAsia" w:ascii="仿宋" w:hAnsi="仿宋" w:eastAsia="仿宋" w:cs="仿宋"/>
                <w:kern w:val="0"/>
                <w:sz w:val="24"/>
                <w:szCs w:val="24"/>
              </w:rPr>
              <w:t>卸油车卸油接头脱落泄漏</w:t>
            </w:r>
          </w:p>
        </w:tc>
        <w:tc>
          <w:tcPr>
            <w:tcW w:w="0" w:type="auto"/>
            <w:vMerge w:val="restart"/>
            <w:vAlign w:val="center"/>
          </w:tcPr>
          <w:p w14:paraId="0D0E1A8A">
            <w:pPr>
              <w:ind w:firstLine="240" w:firstLineChars="100"/>
              <w:rPr>
                <w:rFonts w:hint="eastAsia" w:ascii="仿宋" w:hAnsi="仿宋" w:eastAsia="仿宋"/>
                <w:kern w:val="0"/>
                <w:sz w:val="24"/>
                <w:szCs w:val="24"/>
              </w:rPr>
            </w:pPr>
            <w:r>
              <w:rPr>
                <w:rFonts w:hint="eastAsia" w:ascii="仿宋" w:hAnsi="仿宋" w:eastAsia="仿宋"/>
                <w:kern w:val="0"/>
                <w:sz w:val="24"/>
                <w:szCs w:val="24"/>
              </w:rPr>
              <w:t>发现泄漏事故后，迅速按下卸油车的一键急停装置；并按照只现场指示牌要求进行后续操作</w:t>
            </w:r>
          </w:p>
          <w:p w14:paraId="672C7ADB">
            <w:pPr>
              <w:ind w:firstLine="240" w:firstLineChars="100"/>
              <w:rPr>
                <w:rFonts w:hint="eastAsia" w:ascii="仿宋" w:hAnsi="仿宋" w:eastAsia="仿宋"/>
                <w:kern w:val="0"/>
                <w:sz w:val="24"/>
                <w:szCs w:val="24"/>
              </w:rPr>
            </w:pPr>
            <w:r>
              <w:rPr>
                <w:rFonts w:hint="eastAsia" w:ascii="仿宋" w:hAnsi="仿宋" w:eastAsia="仿宋"/>
                <w:kern w:val="0"/>
                <w:sz w:val="24"/>
                <w:szCs w:val="24"/>
              </w:rPr>
              <w:t>有泄漏物流向站外的，用消防沙袋将站周围未设置围墙处围挡，防止泄漏物继续外流</w:t>
            </w:r>
          </w:p>
        </w:tc>
        <w:tc>
          <w:tcPr>
            <w:tcW w:w="0" w:type="auto"/>
            <w:vAlign w:val="center"/>
          </w:tcPr>
          <w:p w14:paraId="37E4C969">
            <w:pPr>
              <w:jc w:val="center"/>
              <w:rPr>
                <w:rFonts w:hint="eastAsia" w:ascii="仿宋" w:hAnsi="仿宋" w:eastAsia="仿宋"/>
                <w:kern w:val="0"/>
                <w:sz w:val="24"/>
                <w:szCs w:val="24"/>
              </w:rPr>
            </w:pPr>
          </w:p>
        </w:tc>
        <w:tc>
          <w:tcPr>
            <w:tcW w:w="0" w:type="auto"/>
            <w:vMerge w:val="restart"/>
            <w:vAlign w:val="center"/>
          </w:tcPr>
          <w:p w14:paraId="5586996A">
            <w:pPr>
              <w:jc w:val="center"/>
              <w:rPr>
                <w:rFonts w:ascii="Calibri" w:hAnsi="Calibri" w:eastAsia="Times New Roman"/>
                <w:kern w:val="0"/>
                <w:sz w:val="24"/>
                <w:szCs w:val="24"/>
              </w:rPr>
            </w:pPr>
            <w:r>
              <w:rPr>
                <w:rFonts w:hint="eastAsia" w:ascii="Calibri" w:hAnsi="Calibri" w:eastAsia="Times New Roman"/>
                <w:kern w:val="0"/>
                <w:sz w:val="24"/>
                <w:szCs w:val="24"/>
              </w:rPr>
              <w:t>现场工作人员</w:t>
            </w:r>
          </w:p>
        </w:tc>
      </w:tr>
      <w:tr w14:paraId="4629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6F86498">
            <w:pPr>
              <w:rPr>
                <w:rFonts w:hint="eastAsia" w:ascii="仿宋" w:hAnsi="仿宋" w:eastAsia="仿宋"/>
                <w:kern w:val="0"/>
                <w:sz w:val="24"/>
                <w:szCs w:val="24"/>
              </w:rPr>
            </w:pPr>
          </w:p>
        </w:tc>
        <w:tc>
          <w:tcPr>
            <w:tcW w:w="0" w:type="auto"/>
            <w:vMerge w:val="continue"/>
            <w:vAlign w:val="center"/>
          </w:tcPr>
          <w:p w14:paraId="1D7CFC9F">
            <w:pPr>
              <w:rPr>
                <w:rFonts w:hint="eastAsia" w:ascii="仿宋" w:hAnsi="仿宋" w:eastAsia="仿宋"/>
                <w:kern w:val="0"/>
                <w:sz w:val="24"/>
                <w:szCs w:val="24"/>
              </w:rPr>
            </w:pPr>
          </w:p>
        </w:tc>
        <w:tc>
          <w:tcPr>
            <w:tcW w:w="0" w:type="auto"/>
            <w:vAlign w:val="center"/>
          </w:tcPr>
          <w:p w14:paraId="30402344">
            <w:pPr>
              <w:jc w:val="center"/>
              <w:rPr>
                <w:rFonts w:hint="eastAsia" w:ascii="仿宋" w:hAnsi="仿宋" w:eastAsia="仿宋"/>
                <w:kern w:val="0"/>
                <w:sz w:val="24"/>
                <w:szCs w:val="24"/>
              </w:rPr>
            </w:pPr>
            <w:r>
              <w:rPr>
                <w:rFonts w:hint="eastAsia" w:ascii="仿宋" w:hAnsi="仿宋" w:eastAsia="仿宋"/>
                <w:kern w:val="0"/>
                <w:sz w:val="24"/>
                <w:szCs w:val="24"/>
              </w:rPr>
              <w:t>卸油车一键急停装置</w:t>
            </w:r>
          </w:p>
        </w:tc>
        <w:tc>
          <w:tcPr>
            <w:tcW w:w="0" w:type="auto"/>
            <w:vMerge w:val="continue"/>
            <w:vAlign w:val="center"/>
          </w:tcPr>
          <w:p w14:paraId="35FF0A5E">
            <w:pPr>
              <w:jc w:val="center"/>
              <w:rPr>
                <w:rFonts w:hint="eastAsia" w:ascii="仿宋" w:hAnsi="仿宋" w:eastAsia="仿宋"/>
                <w:kern w:val="0"/>
                <w:sz w:val="24"/>
                <w:szCs w:val="24"/>
              </w:rPr>
            </w:pPr>
          </w:p>
        </w:tc>
      </w:tr>
      <w:tr w14:paraId="3E2C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0" w:type="auto"/>
            <w:vMerge w:val="continue"/>
            <w:vAlign w:val="center"/>
          </w:tcPr>
          <w:p w14:paraId="660589D9">
            <w:pPr>
              <w:rPr>
                <w:rFonts w:hint="eastAsia" w:ascii="仿宋" w:hAnsi="仿宋" w:eastAsia="仿宋"/>
                <w:kern w:val="0"/>
                <w:sz w:val="24"/>
                <w:szCs w:val="24"/>
              </w:rPr>
            </w:pPr>
          </w:p>
        </w:tc>
        <w:tc>
          <w:tcPr>
            <w:tcW w:w="0" w:type="auto"/>
            <w:vMerge w:val="continue"/>
            <w:vAlign w:val="center"/>
          </w:tcPr>
          <w:p w14:paraId="1F93641C">
            <w:pPr>
              <w:rPr>
                <w:rFonts w:hint="eastAsia" w:ascii="仿宋" w:hAnsi="仿宋" w:eastAsia="仿宋"/>
                <w:kern w:val="0"/>
                <w:sz w:val="24"/>
                <w:szCs w:val="24"/>
              </w:rPr>
            </w:pPr>
          </w:p>
        </w:tc>
        <w:tc>
          <w:tcPr>
            <w:tcW w:w="0" w:type="auto"/>
            <w:vAlign w:val="center"/>
          </w:tcPr>
          <w:p w14:paraId="288CDBBB">
            <w:pPr>
              <w:rPr>
                <w:rFonts w:hint="eastAsia" w:ascii="仿宋" w:hAnsi="仿宋" w:eastAsia="仿宋"/>
                <w:kern w:val="0"/>
                <w:sz w:val="24"/>
                <w:szCs w:val="24"/>
              </w:rPr>
            </w:pPr>
            <w:r>
              <w:rPr>
                <w:rFonts w:hint="eastAsia"/>
                <w:spacing w:val="-3"/>
                <w:lang w:eastAsia="zh-CN"/>
              </w:rPr>
              <w:drawing>
                <wp:inline distT="0" distB="0" distL="114300" distR="114300">
                  <wp:extent cx="2493645" cy="1677035"/>
                  <wp:effectExtent l="0" t="0" r="5715" b="14605"/>
                  <wp:docPr id="34" name="图片 34" descr="173174529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31745290815"/>
                          <pic:cNvPicPr>
                            <a:picLocks noChangeAspect="1"/>
                          </pic:cNvPicPr>
                        </pic:nvPicPr>
                        <pic:blipFill>
                          <a:blip r:embed="rId24"/>
                          <a:stretch>
                            <a:fillRect/>
                          </a:stretch>
                        </pic:blipFill>
                        <pic:spPr>
                          <a:xfrm>
                            <a:off x="0" y="0"/>
                            <a:ext cx="2493645" cy="1677035"/>
                          </a:xfrm>
                          <a:prstGeom prst="rect">
                            <a:avLst/>
                          </a:prstGeom>
                        </pic:spPr>
                      </pic:pic>
                    </a:graphicData>
                  </a:graphic>
                </wp:inline>
              </w:drawing>
            </w:r>
          </w:p>
        </w:tc>
        <w:tc>
          <w:tcPr>
            <w:tcW w:w="0" w:type="auto"/>
            <w:vMerge w:val="continue"/>
            <w:vAlign w:val="center"/>
          </w:tcPr>
          <w:p w14:paraId="3D782A16">
            <w:pPr>
              <w:jc w:val="center"/>
              <w:rPr>
                <w:rFonts w:hint="eastAsia" w:ascii="仿宋" w:hAnsi="仿宋" w:eastAsia="仿宋"/>
                <w:kern w:val="0"/>
                <w:sz w:val="24"/>
                <w:szCs w:val="24"/>
              </w:rPr>
            </w:pPr>
          </w:p>
        </w:tc>
      </w:tr>
      <w:tr w14:paraId="4A27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0" w:type="auto"/>
            <w:vMerge w:val="continue"/>
            <w:vAlign w:val="center"/>
          </w:tcPr>
          <w:p w14:paraId="5F02B5FE">
            <w:pPr>
              <w:rPr>
                <w:rFonts w:hint="eastAsia" w:ascii="仿宋" w:hAnsi="仿宋" w:eastAsia="仿宋"/>
                <w:kern w:val="0"/>
                <w:sz w:val="24"/>
                <w:szCs w:val="24"/>
              </w:rPr>
            </w:pPr>
          </w:p>
        </w:tc>
        <w:tc>
          <w:tcPr>
            <w:tcW w:w="0" w:type="auto"/>
            <w:vMerge w:val="continue"/>
            <w:vAlign w:val="center"/>
          </w:tcPr>
          <w:p w14:paraId="060CB12F">
            <w:pPr>
              <w:rPr>
                <w:rFonts w:hint="eastAsia" w:ascii="仿宋" w:hAnsi="仿宋" w:eastAsia="仿宋"/>
                <w:kern w:val="0"/>
                <w:sz w:val="24"/>
                <w:szCs w:val="24"/>
              </w:rPr>
            </w:pPr>
          </w:p>
        </w:tc>
        <w:tc>
          <w:tcPr>
            <w:tcW w:w="0" w:type="auto"/>
            <w:vAlign w:val="center"/>
          </w:tcPr>
          <w:p w14:paraId="2FF61EBC">
            <w:pPr>
              <w:jc w:val="center"/>
              <w:rPr>
                <w:rFonts w:ascii="Calibri" w:hAnsi="Calibri" w:eastAsia="Times New Roman"/>
                <w:sz w:val="24"/>
                <w:szCs w:val="24"/>
              </w:rPr>
            </w:pPr>
            <w:r>
              <w:rPr>
                <w:rFonts w:hint="eastAsia" w:ascii="Calibri" w:hAnsi="Calibri" w:eastAsia="Times New Roman"/>
                <w:sz w:val="24"/>
                <w:szCs w:val="24"/>
              </w:rPr>
              <w:t>消防沙袋</w:t>
            </w:r>
          </w:p>
        </w:tc>
        <w:tc>
          <w:tcPr>
            <w:tcW w:w="0" w:type="auto"/>
            <w:vMerge w:val="continue"/>
            <w:vAlign w:val="center"/>
          </w:tcPr>
          <w:p w14:paraId="1005D0CA">
            <w:pPr>
              <w:jc w:val="center"/>
              <w:rPr>
                <w:rFonts w:hint="eastAsia" w:ascii="仿宋" w:hAnsi="仿宋" w:eastAsia="仿宋"/>
                <w:kern w:val="0"/>
                <w:sz w:val="24"/>
                <w:szCs w:val="24"/>
              </w:rPr>
            </w:pPr>
          </w:p>
        </w:tc>
      </w:tr>
    </w:tbl>
    <w:p w14:paraId="71662646">
      <w:pPr>
        <w:spacing w:line="360" w:lineRule="auto"/>
        <w:rPr>
          <w:rFonts w:eastAsia="仿宋"/>
          <w:spacing w:val="6"/>
          <w:kern w:val="0"/>
          <w:sz w:val="28"/>
          <w:szCs w:val="28"/>
        </w:rPr>
      </w:pPr>
    </w:p>
    <w:p w14:paraId="212405E7">
      <w:pPr>
        <w:spacing w:line="360" w:lineRule="auto"/>
        <w:outlineLvl w:val="2"/>
        <w:rPr>
          <w:rFonts w:eastAsia="仿宋_GB2312"/>
          <w:b/>
          <w:bCs/>
          <w:sz w:val="28"/>
          <w:szCs w:val="32"/>
        </w:rPr>
      </w:pPr>
      <w:r>
        <w:rPr>
          <w:rFonts w:eastAsia="仿宋_GB2312"/>
          <w:b/>
          <w:bCs/>
          <w:sz w:val="28"/>
          <w:szCs w:val="32"/>
        </w:rPr>
        <w:t>6.4.3</w:t>
      </w:r>
      <w:r>
        <w:rPr>
          <w:rFonts w:hint="eastAsia" w:eastAsia="仿宋_GB2312"/>
          <w:b/>
          <w:bCs/>
          <w:sz w:val="28"/>
          <w:szCs w:val="32"/>
        </w:rPr>
        <w:t>油罐车泄漏事故应急处置</w:t>
      </w:r>
    </w:p>
    <w:p w14:paraId="074A5777">
      <w:pPr>
        <w:spacing w:line="360" w:lineRule="auto"/>
        <w:ind w:firstLine="560" w:firstLineChars="200"/>
        <w:rPr>
          <w:rFonts w:eastAsia="仿宋"/>
          <w:sz w:val="28"/>
          <w:szCs w:val="28"/>
        </w:rPr>
      </w:pPr>
      <w:r>
        <w:rPr>
          <w:rFonts w:hint="eastAsia" w:eastAsia="仿宋"/>
          <w:sz w:val="28"/>
          <w:szCs w:val="28"/>
        </w:rPr>
        <w:t>预警方式：现场人员发现槽车侧翻导致大量泄漏的，经判断可能导致较严重的土壤污染和地表水污染的值班站长迅速报告给应急总指挥，红色预警，启动二级（分公司级）响应，现场由应急总指挥负责指挥，对泄漏物和加油站行以下处理：</w:t>
      </w:r>
    </w:p>
    <w:p w14:paraId="563917BE">
      <w:pPr>
        <w:spacing w:line="360" w:lineRule="auto"/>
        <w:ind w:firstLine="560" w:firstLineChars="200"/>
        <w:rPr>
          <w:rFonts w:eastAsia="仿宋"/>
          <w:sz w:val="28"/>
          <w:szCs w:val="28"/>
        </w:rPr>
      </w:pPr>
      <w:r>
        <w:rPr>
          <w:rFonts w:hint="eastAsia" w:eastAsia="仿宋"/>
          <w:sz w:val="28"/>
          <w:szCs w:val="28"/>
        </w:rPr>
        <w:t>（1）疏散周边无关人员和车辆，远离加油站防止中毒等；</w:t>
      </w:r>
    </w:p>
    <w:p w14:paraId="0BDFBF35">
      <w:pPr>
        <w:spacing w:line="360" w:lineRule="auto"/>
        <w:ind w:firstLine="560" w:firstLineChars="200"/>
        <w:rPr>
          <w:rFonts w:eastAsia="仿宋"/>
          <w:sz w:val="28"/>
          <w:szCs w:val="28"/>
        </w:rPr>
      </w:pPr>
      <w:r>
        <w:rPr>
          <w:rFonts w:hint="eastAsia" w:eastAsia="仿宋"/>
          <w:sz w:val="28"/>
          <w:szCs w:val="28"/>
        </w:rPr>
        <w:t>（2）切断加油站内的总电源开关等，杜绝一切火源、热源、电源等；</w:t>
      </w:r>
    </w:p>
    <w:p w14:paraId="438CEFAB">
      <w:pPr>
        <w:spacing w:line="360" w:lineRule="auto"/>
        <w:ind w:firstLine="560" w:firstLineChars="200"/>
        <w:rPr>
          <w:rFonts w:eastAsia="仿宋"/>
          <w:sz w:val="28"/>
          <w:szCs w:val="28"/>
        </w:rPr>
      </w:pPr>
      <w:r>
        <w:rPr>
          <w:rFonts w:hint="eastAsia" w:eastAsia="仿宋"/>
          <w:sz w:val="28"/>
          <w:szCs w:val="28"/>
        </w:rPr>
        <w:t>（3）用消防沙袋对泄漏物围挡，防止大面积扩散，降低环境污染程度；</w:t>
      </w:r>
    </w:p>
    <w:p w14:paraId="6C5E8FF8">
      <w:pPr>
        <w:spacing w:line="360" w:lineRule="auto"/>
        <w:ind w:firstLine="560" w:firstLineChars="200"/>
        <w:rPr>
          <w:rFonts w:eastAsia="仿宋"/>
          <w:sz w:val="28"/>
          <w:szCs w:val="28"/>
        </w:rPr>
      </w:pPr>
      <w:r>
        <w:rPr>
          <w:rFonts w:hint="eastAsia" w:eastAsia="仿宋"/>
          <w:sz w:val="28"/>
          <w:szCs w:val="28"/>
        </w:rPr>
        <w:t>（4）用危废暂存箱收集泄漏物；</w:t>
      </w:r>
    </w:p>
    <w:p w14:paraId="51AA414E">
      <w:pPr>
        <w:spacing w:line="360" w:lineRule="auto"/>
        <w:ind w:firstLine="560" w:firstLineChars="200"/>
        <w:rPr>
          <w:rFonts w:eastAsia="仿宋"/>
          <w:sz w:val="28"/>
          <w:szCs w:val="28"/>
        </w:rPr>
      </w:pPr>
      <w:r>
        <w:rPr>
          <w:rFonts w:hint="eastAsia" w:eastAsia="仿宋"/>
          <w:sz w:val="28"/>
          <w:szCs w:val="28"/>
        </w:rPr>
        <w:t>（5）引导外界救援车辆进入，待外接应急救援队伍到达后，移交指挥权；</w:t>
      </w:r>
    </w:p>
    <w:p w14:paraId="1D36CDDD">
      <w:pPr>
        <w:spacing w:line="360" w:lineRule="auto"/>
        <w:ind w:firstLine="560" w:firstLineChars="200"/>
        <w:rPr>
          <w:rFonts w:eastAsia="仿宋"/>
          <w:sz w:val="28"/>
          <w:szCs w:val="28"/>
        </w:rPr>
      </w:pPr>
      <w:r>
        <w:rPr>
          <w:rFonts w:hint="eastAsia" w:eastAsia="仿宋"/>
          <w:sz w:val="28"/>
          <w:szCs w:val="28"/>
        </w:rPr>
        <w:t>（6）泄漏物造成土壤污染或地表水污染的，须联系应急监测评估对环境影响。</w:t>
      </w:r>
    </w:p>
    <w:p w14:paraId="2587694B">
      <w:pPr>
        <w:spacing w:line="360" w:lineRule="auto"/>
        <w:ind w:firstLine="560" w:firstLineChars="200"/>
        <w:rPr>
          <w:rFonts w:eastAsia="仿宋"/>
          <w:sz w:val="28"/>
          <w:szCs w:val="28"/>
        </w:rPr>
      </w:pPr>
      <w:r>
        <w:rPr>
          <w:rFonts w:hint="eastAsia" w:eastAsia="仿宋"/>
          <w:sz w:val="28"/>
          <w:szCs w:val="28"/>
        </w:rPr>
        <w:t>洗消及环境恢复：应急结束后，根据加油站及外环境中涉及的有害物质性质，按区生态环境局的有关要求，进行冲洗清理，冲洗废水、污染物等收集做危废处理。</w:t>
      </w:r>
    </w:p>
    <w:p w14:paraId="67348D75">
      <w:pPr>
        <w:spacing w:line="360" w:lineRule="auto"/>
        <w:ind w:firstLine="560" w:firstLineChars="200"/>
        <w:rPr>
          <w:rFonts w:eastAsia="仿宋"/>
          <w:sz w:val="28"/>
          <w:szCs w:val="28"/>
        </w:rPr>
      </w:pPr>
      <w:r>
        <w:rPr>
          <w:rFonts w:hint="eastAsia" w:eastAsia="仿宋"/>
          <w:sz w:val="28"/>
          <w:szCs w:val="28"/>
        </w:rPr>
        <w:t>善后处置：涉及水污染的（或土壤、地下水污染），联系应急监测，委托有资质单位进行检测以查看周边土壤是否受到污染，配合政府做好环境损害的评估及恢复或可能的赔偿工作。</w:t>
      </w:r>
    </w:p>
    <w:p w14:paraId="5D6F9FB0">
      <w:pPr>
        <w:spacing w:line="360" w:lineRule="auto"/>
        <w:ind w:firstLine="560" w:firstLineChars="200"/>
        <w:rPr>
          <w:rFonts w:eastAsia="仿宋"/>
          <w:sz w:val="28"/>
          <w:szCs w:val="28"/>
        </w:rPr>
      </w:pPr>
      <w:r>
        <w:rPr>
          <w:rFonts w:hint="eastAsia" w:eastAsia="仿宋"/>
          <w:sz w:val="28"/>
          <w:szCs w:val="28"/>
        </w:rPr>
        <w:t>衔接：（1）泄漏事故导致人员中毒的，立即衔接加油站生产安全事故应急预案；（2）防止发生继发火灾，视情况启动加油站消防事件应急预案。</w:t>
      </w:r>
    </w:p>
    <w:p w14:paraId="61EAC202">
      <w:pPr>
        <w:spacing w:line="360" w:lineRule="auto"/>
        <w:ind w:firstLine="560" w:firstLineChars="200"/>
        <w:rPr>
          <w:rFonts w:eastAsia="仿宋"/>
          <w:sz w:val="28"/>
          <w:szCs w:val="28"/>
        </w:rPr>
      </w:pPr>
      <w:r>
        <w:rPr>
          <w:rFonts w:hint="eastAsia" w:eastAsia="仿宋"/>
          <w:sz w:val="28"/>
          <w:szCs w:val="28"/>
        </w:rPr>
        <w:t>应急监测建议方案：</w:t>
      </w:r>
    </w:p>
    <w:p w14:paraId="4C114EE9">
      <w:pPr>
        <w:spacing w:line="360" w:lineRule="auto"/>
        <w:ind w:firstLine="560" w:firstLineChars="200"/>
        <w:rPr>
          <w:rFonts w:eastAsia="仿宋"/>
          <w:sz w:val="28"/>
          <w:szCs w:val="28"/>
        </w:rPr>
      </w:pPr>
      <w:r>
        <w:rPr>
          <w:rFonts w:hint="eastAsia" w:eastAsia="仿宋"/>
          <w:sz w:val="28"/>
          <w:szCs w:val="28"/>
        </w:rPr>
        <w:t>对泄漏物实际污染的，进行土壤、地下水和地表水监测，土壤监测总石油烃，地下水监测石油类、COD，地表水监测石油类、COD。</w:t>
      </w:r>
    </w:p>
    <w:p w14:paraId="493380BA">
      <w:pPr>
        <w:spacing w:line="360" w:lineRule="auto"/>
        <w:ind w:firstLine="560" w:firstLineChars="200"/>
        <w:rPr>
          <w:rFonts w:eastAsia="仿宋"/>
          <w:sz w:val="28"/>
          <w:szCs w:val="28"/>
        </w:rPr>
      </w:pPr>
      <w:r>
        <w:rPr>
          <w:rFonts w:hint="eastAsia" w:eastAsia="仿宋"/>
          <w:sz w:val="28"/>
          <w:szCs w:val="28"/>
        </w:rPr>
        <w:t>建议：二级（分公司级）响应启动区域应急预案的，对区域雨水泵站进行控制，对区域可能受影响的土壤或者地表水进行采样监测。</w:t>
      </w:r>
    </w:p>
    <w:p w14:paraId="0E7F32DF">
      <w:pPr>
        <w:spacing w:line="360" w:lineRule="auto"/>
        <w:outlineLvl w:val="2"/>
        <w:rPr>
          <w:rFonts w:eastAsia="仿宋_GB2312"/>
          <w:b/>
          <w:bCs/>
          <w:sz w:val="28"/>
          <w:szCs w:val="32"/>
        </w:rPr>
      </w:pPr>
      <w:r>
        <w:rPr>
          <w:rFonts w:eastAsia="仿宋_GB2312"/>
          <w:b/>
          <w:bCs/>
          <w:sz w:val="28"/>
          <w:szCs w:val="32"/>
        </w:rPr>
        <w:t>6.4.5</w:t>
      </w:r>
      <w:r>
        <w:rPr>
          <w:rFonts w:hint="eastAsia" w:eastAsia="仿宋_GB2312"/>
          <w:b/>
          <w:bCs/>
          <w:sz w:val="28"/>
          <w:szCs w:val="32"/>
        </w:rPr>
        <w:t>火灾事故现场应急处置</w:t>
      </w:r>
    </w:p>
    <w:p w14:paraId="4A015839">
      <w:pPr>
        <w:spacing w:line="360" w:lineRule="auto"/>
        <w:ind w:firstLine="560" w:firstLineChars="200"/>
        <w:rPr>
          <w:rFonts w:eastAsia="仿宋"/>
          <w:sz w:val="28"/>
          <w:szCs w:val="28"/>
        </w:rPr>
      </w:pPr>
      <w:r>
        <w:rPr>
          <w:rFonts w:hint="eastAsia" w:eastAsia="仿宋"/>
          <w:sz w:val="28"/>
          <w:szCs w:val="28"/>
        </w:rPr>
        <w:t>预警方式：现场人员发现初期火灾或通过视频监控发现小型火灾。</w:t>
      </w:r>
    </w:p>
    <w:p w14:paraId="069D402A">
      <w:pPr>
        <w:spacing w:line="360" w:lineRule="auto"/>
        <w:ind w:firstLine="560" w:firstLineChars="200"/>
        <w:rPr>
          <w:rFonts w:eastAsia="仿宋"/>
          <w:sz w:val="28"/>
          <w:szCs w:val="28"/>
        </w:rPr>
      </w:pPr>
      <w:r>
        <w:rPr>
          <w:rFonts w:hint="eastAsia" w:eastAsia="仿宋"/>
          <w:sz w:val="28"/>
          <w:szCs w:val="28"/>
        </w:rPr>
        <w:t>消防应急预案立刻启动，现场工作人员汇报值班站长，蓝色预警，由现场指挥（值班站长）启动三级（加油站级）响应，同步上报上级公司。值班站长负责现场指挥，按下站房或加油到的一键急停装置（整个加油岛全停）防止引燃；指令引导疏散员疏散现场无关人员和车辆；现场应急处置员使用（5kg）干粉灭火器对起火点进行灭火，如处置成功，及时收集废消防干粉等废物放于密闭收集桶内，作为危险废物交有资质单位处理。若发现初期火灾控制不力，火势扩大，现场处置人员用推车灭火器（35kg）进行灭火，必要时，开启消防栓扑灭非油建构筑物火势或进行打湿降温；引导疏散员疏散站内加油车辆及附近人员；灭火成功后，全站人员检查消防废水废液的流向，已经流出站区外的，在低处沟渠等聚集点利用沙袋进行先行围堵控制。可利用站外废水废液流向的沟渠，使用消防沙袋等构筑临时事故废水收集池。收集全部消防废水废液并收容到容器中，清理全部污染土壤收容到编织袋中，确保上述工作完成后，三级（加油站级）响应结束。若发生大型火灾，由总指挥启动二级（分公司级）响应，待上级公司或津南区生态环境局到达现场后，移交环境应急指挥权，服从其应急安排。灭火成功后，在保证安全的前提下，全站人员检查消防废水废液的流向，利用沙袋进行先行围堵控制，由分公司应急总指挥带领现场本公司应急力量配合其进行收集处置。根据火情大小，建议监测厂界下风向大气中CO及非甲烷总烃等有害物质，必要的建议进行进一步的人群疏散确保，上述工作完成后，二级（分公司级）响应结束；</w:t>
      </w:r>
    </w:p>
    <w:p w14:paraId="40EF7C3E">
      <w:pPr>
        <w:spacing w:line="360" w:lineRule="auto"/>
        <w:ind w:firstLine="560" w:firstLineChars="200"/>
        <w:rPr>
          <w:rFonts w:eastAsia="仿宋"/>
          <w:sz w:val="28"/>
          <w:szCs w:val="28"/>
        </w:rPr>
      </w:pPr>
      <w:r>
        <w:rPr>
          <w:rFonts w:hint="eastAsia" w:eastAsia="仿宋"/>
          <w:sz w:val="28"/>
          <w:szCs w:val="28"/>
        </w:rPr>
        <w:t>若火势进一步蔓延，或火势很大，应急总指挥决定报火警119，或灭火器处置不力，火势迅速扩大，失去先期处置条件，总指挥报火警119时，红色预警，启动一级（社会级）响应，上报告津南区政府部门（应急管理局、生态环境局）。报119火警后，在具备安全条件的前提下，现场应急指挥关闭全站急停按钮，关闭加油站总电源；指令引导疏散员疏散撤离站内全部人员及车辆，通知周边人群10分钟内疏散，并做好外部救援力量接引准备。待消防应急力量、政府部门应急力量到达现场后，将安全应急指挥权移交给政府部门，服从其应急安排，由应急总指挥带领现场本加油站应急力量配合其进行环境应急。</w:t>
      </w:r>
    </w:p>
    <w:p w14:paraId="58FC42D1">
      <w:pPr>
        <w:spacing w:line="360" w:lineRule="auto"/>
        <w:ind w:firstLine="560" w:firstLineChars="200"/>
        <w:rPr>
          <w:rFonts w:eastAsia="仿宋"/>
          <w:sz w:val="28"/>
          <w:szCs w:val="28"/>
        </w:rPr>
      </w:pPr>
      <w:r>
        <w:rPr>
          <w:rFonts w:hint="eastAsia" w:eastAsia="仿宋"/>
          <w:sz w:val="28"/>
          <w:szCs w:val="28"/>
        </w:rPr>
        <w:t>根据火情大小，建议监测厂界下风向大气中CO及非甲烷总烃等有害物质；根据消防废水量具体情况，建议进一步利用站外废水废液流向的沟渠，扩大构筑临时事故废水收集池以收容事故废水废液；</w:t>
      </w:r>
    </w:p>
    <w:p w14:paraId="7273B1EB">
      <w:pPr>
        <w:spacing w:line="360" w:lineRule="auto"/>
        <w:ind w:firstLine="560" w:firstLineChars="200"/>
        <w:rPr>
          <w:rFonts w:eastAsia="仿宋"/>
          <w:sz w:val="28"/>
          <w:szCs w:val="28"/>
        </w:rPr>
      </w:pPr>
      <w:r>
        <w:rPr>
          <w:rFonts w:hint="eastAsia" w:eastAsia="仿宋"/>
          <w:sz w:val="28"/>
          <w:szCs w:val="28"/>
        </w:rPr>
        <w:t>消防废水废液难以控制必须外排，或已经失去控制流向地表水时，建议政府应急指挥部协调关闭区域雨水相关入河泵站。建议监测消防废水中的石油类、COD以评估污染源强；已经入河的，建议监测河道下游相关断面石油类、COD。西南石油分公司协助政府应急力量开展上述建议的应急监测工作。</w:t>
      </w:r>
    </w:p>
    <w:p w14:paraId="08B277CA">
      <w:pPr>
        <w:spacing w:line="360" w:lineRule="auto"/>
        <w:ind w:firstLine="560" w:firstLineChars="200"/>
        <w:rPr>
          <w:rFonts w:eastAsia="仿宋"/>
          <w:sz w:val="28"/>
          <w:szCs w:val="28"/>
        </w:rPr>
      </w:pPr>
      <w:r>
        <w:rPr>
          <w:rFonts w:hint="eastAsia" w:eastAsia="仿宋"/>
          <w:sz w:val="28"/>
          <w:szCs w:val="28"/>
        </w:rPr>
        <w:t>火灾扑灭后，协助政府应急力量进行收容的消防废水废液的收集暂存，后续做危险废物处置。</w:t>
      </w:r>
    </w:p>
    <w:p w14:paraId="15C5A905">
      <w:pPr>
        <w:spacing w:line="360" w:lineRule="auto"/>
        <w:ind w:firstLine="560" w:firstLineChars="200"/>
        <w:rPr>
          <w:rFonts w:eastAsia="仿宋"/>
          <w:sz w:val="28"/>
          <w:szCs w:val="28"/>
        </w:rPr>
      </w:pPr>
      <w:r>
        <w:rPr>
          <w:rFonts w:hint="eastAsia" w:eastAsia="仿宋"/>
          <w:sz w:val="28"/>
          <w:szCs w:val="28"/>
        </w:rPr>
        <w:t>洗消及环境恢复：应急结束后，加油站人员根据所在站区及外环境土壤中涉及的有害物质性质，按区生态主管部门的有关要求，进行冲洗清理，冲洗废水、污染土壤收集做危废处理。</w:t>
      </w:r>
    </w:p>
    <w:p w14:paraId="4D35AF22">
      <w:pPr>
        <w:spacing w:line="360" w:lineRule="auto"/>
        <w:ind w:firstLine="560" w:firstLineChars="200"/>
        <w:rPr>
          <w:rFonts w:eastAsia="仿宋"/>
          <w:sz w:val="28"/>
          <w:szCs w:val="28"/>
          <w:highlight w:val="yellow"/>
        </w:rPr>
      </w:pPr>
      <w:r>
        <w:rPr>
          <w:rFonts w:hint="eastAsia" w:eastAsia="仿宋"/>
          <w:sz w:val="28"/>
          <w:szCs w:val="28"/>
        </w:rPr>
        <w:t>涉及水污染的，配合政府做好环境损害的评估及恢复或可能的赔偿工作。</w:t>
      </w:r>
    </w:p>
    <w:p w14:paraId="6C2047B1">
      <w:pPr>
        <w:spacing w:line="360" w:lineRule="auto"/>
        <w:ind w:firstLine="560" w:firstLineChars="200"/>
        <w:rPr>
          <w:rFonts w:eastAsia="仿宋"/>
          <w:sz w:val="28"/>
          <w:szCs w:val="28"/>
        </w:rPr>
      </w:pPr>
      <w:r>
        <w:rPr>
          <w:rFonts w:hint="eastAsia" w:eastAsia="仿宋"/>
          <w:sz w:val="28"/>
          <w:szCs w:val="28"/>
        </w:rPr>
        <w:t>衔接：应急处置中出现人身伤害，立即衔接安全生产应急预案，救人第一，求援友邻单位协助进行120救援车辆到达之前的伤员救护。</w:t>
      </w:r>
    </w:p>
    <w:p w14:paraId="3B9FE02D">
      <w:pPr>
        <w:spacing w:line="360" w:lineRule="auto"/>
        <w:ind w:firstLine="560" w:firstLineChars="200"/>
        <w:rPr>
          <w:rFonts w:eastAsia="仿宋"/>
          <w:sz w:val="28"/>
          <w:szCs w:val="28"/>
        </w:rPr>
      </w:pPr>
      <w:r>
        <w:rPr>
          <w:rFonts w:hint="eastAsia" w:eastAsia="仿宋"/>
          <w:sz w:val="28"/>
          <w:szCs w:val="28"/>
        </w:rPr>
        <w:t>应急监测建议方案：</w:t>
      </w:r>
    </w:p>
    <w:p w14:paraId="066038B2">
      <w:pPr>
        <w:spacing w:line="360" w:lineRule="auto"/>
        <w:ind w:firstLine="560" w:firstLineChars="200"/>
        <w:rPr>
          <w:rFonts w:eastAsia="仿宋"/>
          <w:sz w:val="28"/>
          <w:szCs w:val="28"/>
        </w:rPr>
      </w:pPr>
      <w:r>
        <w:rPr>
          <w:rFonts w:hint="eastAsia" w:eastAsia="仿宋"/>
          <w:sz w:val="28"/>
          <w:szCs w:val="28"/>
        </w:rPr>
        <w:t>对消防废水泵流淌实际污染的，进行土壤、地下水和地表水监测，土壤监测总石油烃，地下水监测石油类、COD，地表水监测石油类、COD。</w:t>
      </w:r>
    </w:p>
    <w:p w14:paraId="18D373C2">
      <w:pPr>
        <w:spacing w:line="360" w:lineRule="auto"/>
        <w:ind w:firstLine="560" w:firstLineChars="200"/>
        <w:rPr>
          <w:rFonts w:eastAsia="仿宋"/>
          <w:sz w:val="28"/>
          <w:szCs w:val="28"/>
        </w:rPr>
      </w:pPr>
      <w:r>
        <w:rPr>
          <w:rFonts w:hint="eastAsia" w:eastAsia="仿宋"/>
          <w:sz w:val="28"/>
          <w:szCs w:val="28"/>
        </w:rPr>
        <w:t>建议：一级（社会级）响应启动区域应急预案的，对区域雨水泵站进行控制，对区域可能受影响的土壤或者地表水进行采样监测。</w:t>
      </w:r>
    </w:p>
    <w:p w14:paraId="1E07F646">
      <w:pPr>
        <w:spacing w:line="360" w:lineRule="auto"/>
        <w:ind w:firstLine="560" w:firstLineChars="200"/>
        <w:rPr>
          <w:rFonts w:eastAsia="仿宋"/>
          <w:sz w:val="28"/>
          <w:szCs w:val="28"/>
        </w:rPr>
      </w:pPr>
      <w:r>
        <w:rPr>
          <w:rFonts w:hint="eastAsia" w:eastAsia="仿宋"/>
          <w:sz w:val="28"/>
          <w:szCs w:val="28"/>
        </w:rPr>
        <w:t>火灾事故应急处置卡如下：</w:t>
      </w:r>
    </w:p>
    <w:p w14:paraId="612CD1AA">
      <w:pPr>
        <w:spacing w:line="360" w:lineRule="auto"/>
        <w:ind w:firstLine="2628" w:firstLineChars="900"/>
        <w:rPr>
          <w:rFonts w:eastAsia="仿宋"/>
          <w:spacing w:val="6"/>
          <w:kern w:val="0"/>
          <w:sz w:val="28"/>
          <w:szCs w:val="28"/>
          <w:highlight w:val="none"/>
        </w:rPr>
      </w:pPr>
      <w:r>
        <w:rPr>
          <w:rFonts w:eastAsia="仿宋"/>
          <w:spacing w:val="6"/>
          <w:kern w:val="0"/>
          <w:sz w:val="28"/>
          <w:szCs w:val="28"/>
          <w:highlight w:val="none"/>
        </w:rPr>
        <w:t>表6.4-3</w:t>
      </w:r>
      <w:r>
        <w:rPr>
          <w:rFonts w:hint="eastAsia" w:eastAsia="仿宋"/>
          <w:spacing w:val="6"/>
          <w:kern w:val="0"/>
          <w:sz w:val="28"/>
          <w:szCs w:val="28"/>
          <w:highlight w:val="none"/>
        </w:rPr>
        <w:t>火灾事故应急处置卡</w:t>
      </w:r>
    </w:p>
    <w:tbl>
      <w:tblPr>
        <w:tblStyle w:val="281"/>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637"/>
        <w:gridCol w:w="5063"/>
        <w:gridCol w:w="1247"/>
      </w:tblGrid>
      <w:tr w14:paraId="2F6C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Align w:val="center"/>
          </w:tcPr>
          <w:p w14:paraId="1F545698">
            <w:pPr>
              <w:jc w:val="center"/>
              <w:rPr>
                <w:rFonts w:hint="eastAsia" w:ascii="仿宋" w:hAnsi="仿宋" w:eastAsia="仿宋"/>
                <w:kern w:val="0"/>
                <w:sz w:val="24"/>
                <w:szCs w:val="24"/>
              </w:rPr>
            </w:pPr>
            <w:r>
              <w:rPr>
                <w:rFonts w:hint="eastAsia" w:ascii="仿宋" w:hAnsi="仿宋" w:eastAsia="仿宋"/>
                <w:kern w:val="0"/>
                <w:sz w:val="24"/>
                <w:szCs w:val="24"/>
              </w:rPr>
              <w:t>突发环境事件</w:t>
            </w:r>
          </w:p>
        </w:tc>
        <w:tc>
          <w:tcPr>
            <w:tcW w:w="1637" w:type="dxa"/>
            <w:vAlign w:val="center"/>
          </w:tcPr>
          <w:p w14:paraId="3DC16389">
            <w:pPr>
              <w:jc w:val="center"/>
              <w:rPr>
                <w:rFonts w:hint="eastAsia" w:ascii="仿宋" w:hAnsi="仿宋" w:eastAsia="仿宋"/>
                <w:kern w:val="0"/>
                <w:sz w:val="24"/>
                <w:szCs w:val="24"/>
              </w:rPr>
            </w:pPr>
            <w:r>
              <w:rPr>
                <w:rFonts w:hint="eastAsia" w:ascii="仿宋" w:hAnsi="仿宋" w:eastAsia="仿宋"/>
                <w:kern w:val="0"/>
                <w:sz w:val="24"/>
                <w:szCs w:val="24"/>
              </w:rPr>
              <w:t>处置</w:t>
            </w:r>
            <w:r>
              <w:rPr>
                <w:rFonts w:ascii="仿宋" w:hAnsi="仿宋" w:eastAsia="仿宋"/>
                <w:kern w:val="0"/>
                <w:sz w:val="24"/>
                <w:szCs w:val="24"/>
              </w:rPr>
              <w:t>措施</w:t>
            </w:r>
          </w:p>
        </w:tc>
        <w:tc>
          <w:tcPr>
            <w:tcW w:w="5063" w:type="dxa"/>
            <w:vAlign w:val="center"/>
          </w:tcPr>
          <w:p w14:paraId="17E93CC5">
            <w:pPr>
              <w:jc w:val="center"/>
              <w:rPr>
                <w:rFonts w:hint="eastAsia" w:ascii="仿宋" w:hAnsi="仿宋" w:eastAsia="仿宋"/>
                <w:kern w:val="0"/>
                <w:sz w:val="24"/>
                <w:szCs w:val="24"/>
              </w:rPr>
            </w:pPr>
            <w:r>
              <w:rPr>
                <w:rFonts w:hint="eastAsia" w:ascii="仿宋" w:hAnsi="仿宋" w:eastAsia="仿宋"/>
                <w:kern w:val="0"/>
                <w:sz w:val="24"/>
                <w:szCs w:val="24"/>
              </w:rPr>
              <w:t>应急物资</w:t>
            </w:r>
            <w:r>
              <w:rPr>
                <w:rFonts w:ascii="仿宋" w:hAnsi="仿宋" w:eastAsia="仿宋"/>
                <w:kern w:val="0"/>
                <w:sz w:val="24"/>
                <w:szCs w:val="24"/>
              </w:rPr>
              <w:t>与装置</w:t>
            </w:r>
          </w:p>
        </w:tc>
        <w:tc>
          <w:tcPr>
            <w:tcW w:w="1247" w:type="dxa"/>
            <w:vAlign w:val="center"/>
          </w:tcPr>
          <w:p w14:paraId="30CEA3EC">
            <w:pPr>
              <w:jc w:val="center"/>
              <w:rPr>
                <w:rFonts w:hint="eastAsia" w:ascii="仿宋" w:hAnsi="仿宋" w:eastAsia="仿宋"/>
                <w:kern w:val="0"/>
                <w:sz w:val="24"/>
                <w:szCs w:val="24"/>
              </w:rPr>
            </w:pPr>
            <w:r>
              <w:rPr>
                <w:rFonts w:hint="eastAsia" w:ascii="仿宋" w:hAnsi="仿宋" w:eastAsia="仿宋"/>
                <w:kern w:val="0"/>
                <w:sz w:val="24"/>
                <w:szCs w:val="24"/>
              </w:rPr>
              <w:t>负责人</w:t>
            </w:r>
          </w:p>
        </w:tc>
      </w:tr>
      <w:tr w14:paraId="558B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restart"/>
            <w:vAlign w:val="center"/>
          </w:tcPr>
          <w:p w14:paraId="5D20EA07">
            <w:pPr>
              <w:rPr>
                <w:rFonts w:hint="eastAsia" w:ascii="仿宋" w:hAnsi="仿宋" w:eastAsia="仿宋"/>
                <w:kern w:val="0"/>
                <w:sz w:val="24"/>
                <w:szCs w:val="24"/>
              </w:rPr>
            </w:pPr>
            <w:r>
              <w:rPr>
                <w:rFonts w:hint="eastAsia" w:ascii="仿宋" w:hAnsi="仿宋" w:eastAsia="仿宋"/>
                <w:kern w:val="0"/>
                <w:sz w:val="24"/>
                <w:szCs w:val="24"/>
              </w:rPr>
              <w:t>火灾事故</w:t>
            </w:r>
          </w:p>
        </w:tc>
        <w:tc>
          <w:tcPr>
            <w:tcW w:w="1637" w:type="dxa"/>
            <w:vMerge w:val="restart"/>
            <w:vAlign w:val="center"/>
          </w:tcPr>
          <w:p w14:paraId="3606D685">
            <w:pPr>
              <w:ind w:firstLine="240" w:firstLineChars="100"/>
              <w:rPr>
                <w:rFonts w:hint="eastAsia" w:ascii="仿宋" w:hAnsi="仿宋" w:eastAsia="仿宋"/>
                <w:kern w:val="0"/>
                <w:sz w:val="24"/>
                <w:szCs w:val="24"/>
              </w:rPr>
            </w:pPr>
            <w:r>
              <w:rPr>
                <w:rFonts w:hint="eastAsia" w:ascii="仿宋" w:hAnsi="仿宋" w:eastAsia="仿宋"/>
                <w:kern w:val="0"/>
                <w:sz w:val="24"/>
                <w:szCs w:val="24"/>
              </w:rPr>
              <w:t>发现小型火灾事故的，使用干粉灭火器进行灭火，使用时拔下螺栓，对准火源处进行喷射</w:t>
            </w:r>
          </w:p>
        </w:tc>
        <w:tc>
          <w:tcPr>
            <w:tcW w:w="5063" w:type="dxa"/>
            <w:vAlign w:val="center"/>
          </w:tcPr>
          <w:p w14:paraId="009F75B7">
            <w:pPr>
              <w:rPr>
                <w:rFonts w:ascii="仿宋" w:hAnsi="仿宋" w:eastAsia="Times New Roman"/>
                <w:kern w:val="0"/>
                <w:sz w:val="24"/>
                <w:szCs w:val="24"/>
              </w:rPr>
            </w:pPr>
            <w:r>
              <w:rPr>
                <w:rFonts w:hint="eastAsia" w:ascii="仿宋" w:hAnsi="仿宋" w:eastAsia="宋体"/>
                <w:kern w:val="0"/>
                <w:sz w:val="24"/>
                <w:szCs w:val="24"/>
                <w:lang w:eastAsia="zh-CN"/>
              </w:rPr>
              <w:drawing>
                <wp:inline distT="0" distB="0" distL="114300" distR="114300">
                  <wp:extent cx="3253105" cy="3068955"/>
                  <wp:effectExtent l="0" t="0" r="8255" b="9525"/>
                  <wp:docPr id="35" name="图片 4" descr="C:/Users/Admin/Desktop/干粉.jpg干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C:/Users/Admin/Desktop/干粉.jpg干粉"/>
                          <pic:cNvPicPr>
                            <a:picLocks noChangeAspect="1"/>
                          </pic:cNvPicPr>
                        </pic:nvPicPr>
                        <pic:blipFill>
                          <a:blip r:embed="rId25"/>
                          <a:srcRect t="28235" b="28235"/>
                          <a:stretch>
                            <a:fillRect/>
                          </a:stretch>
                        </pic:blipFill>
                        <pic:spPr>
                          <a:xfrm>
                            <a:off x="0" y="0"/>
                            <a:ext cx="3253105" cy="3068955"/>
                          </a:xfrm>
                          <a:prstGeom prst="rect">
                            <a:avLst/>
                          </a:prstGeom>
                          <a:noFill/>
                          <a:ln>
                            <a:noFill/>
                          </a:ln>
                        </pic:spPr>
                      </pic:pic>
                    </a:graphicData>
                  </a:graphic>
                </wp:inline>
              </w:drawing>
            </w:r>
          </w:p>
        </w:tc>
        <w:tc>
          <w:tcPr>
            <w:tcW w:w="1247" w:type="dxa"/>
            <w:vMerge w:val="restart"/>
            <w:vAlign w:val="center"/>
          </w:tcPr>
          <w:p w14:paraId="75D1A7C4">
            <w:pPr>
              <w:jc w:val="center"/>
              <w:rPr>
                <w:rFonts w:hint="eastAsia" w:ascii="仿宋" w:hAnsi="仿宋" w:eastAsia="仿宋"/>
                <w:kern w:val="0"/>
                <w:sz w:val="24"/>
                <w:szCs w:val="24"/>
              </w:rPr>
            </w:pPr>
            <w:r>
              <w:rPr>
                <w:rFonts w:hint="eastAsia" w:ascii="仿宋" w:hAnsi="仿宋" w:eastAsia="仿宋"/>
                <w:kern w:val="0"/>
                <w:sz w:val="24"/>
                <w:szCs w:val="24"/>
              </w:rPr>
              <w:t>现场加油员</w:t>
            </w:r>
          </w:p>
        </w:tc>
      </w:tr>
      <w:tr w14:paraId="4AB5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14:paraId="2CF675A3">
            <w:pPr>
              <w:rPr>
                <w:rFonts w:hint="eastAsia" w:ascii="仿宋" w:hAnsi="仿宋" w:eastAsia="仿宋"/>
                <w:kern w:val="0"/>
                <w:sz w:val="24"/>
                <w:szCs w:val="24"/>
              </w:rPr>
            </w:pPr>
          </w:p>
        </w:tc>
        <w:tc>
          <w:tcPr>
            <w:tcW w:w="1637" w:type="dxa"/>
            <w:vMerge w:val="continue"/>
            <w:vAlign w:val="center"/>
          </w:tcPr>
          <w:p w14:paraId="7BC90561">
            <w:pPr>
              <w:rPr>
                <w:rFonts w:hint="eastAsia" w:ascii="仿宋" w:hAnsi="仿宋" w:eastAsia="仿宋"/>
                <w:kern w:val="0"/>
                <w:sz w:val="24"/>
                <w:szCs w:val="24"/>
              </w:rPr>
            </w:pPr>
          </w:p>
        </w:tc>
        <w:tc>
          <w:tcPr>
            <w:tcW w:w="5063" w:type="dxa"/>
            <w:vAlign w:val="center"/>
          </w:tcPr>
          <w:p w14:paraId="2E31A474">
            <w:pPr>
              <w:jc w:val="center"/>
              <w:rPr>
                <w:rFonts w:hint="eastAsia" w:ascii="仿宋" w:hAnsi="仿宋" w:eastAsia="仿宋"/>
                <w:kern w:val="0"/>
                <w:sz w:val="24"/>
                <w:szCs w:val="24"/>
              </w:rPr>
            </w:pPr>
            <w:r>
              <w:rPr>
                <w:rFonts w:hint="eastAsia" w:ascii="仿宋" w:hAnsi="仿宋" w:eastAsia="仿宋"/>
                <w:kern w:val="0"/>
                <w:sz w:val="24"/>
                <w:szCs w:val="24"/>
              </w:rPr>
              <w:t>干粉灭火器（位于各个加油机旁）</w:t>
            </w:r>
          </w:p>
        </w:tc>
        <w:tc>
          <w:tcPr>
            <w:tcW w:w="1247" w:type="dxa"/>
            <w:vMerge w:val="continue"/>
            <w:vAlign w:val="center"/>
          </w:tcPr>
          <w:p w14:paraId="0DF03ECD">
            <w:pPr>
              <w:jc w:val="center"/>
              <w:rPr>
                <w:rFonts w:hint="eastAsia" w:ascii="仿宋" w:hAnsi="仿宋" w:eastAsia="仿宋"/>
                <w:kern w:val="0"/>
                <w:sz w:val="24"/>
                <w:szCs w:val="24"/>
              </w:rPr>
            </w:pPr>
          </w:p>
        </w:tc>
      </w:tr>
      <w:tr w14:paraId="5419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14:paraId="7AD0B1C1">
            <w:pPr>
              <w:rPr>
                <w:rFonts w:hint="eastAsia" w:ascii="仿宋" w:hAnsi="仿宋" w:eastAsia="仿宋"/>
                <w:kern w:val="0"/>
                <w:sz w:val="24"/>
                <w:szCs w:val="24"/>
              </w:rPr>
            </w:pPr>
          </w:p>
        </w:tc>
        <w:tc>
          <w:tcPr>
            <w:tcW w:w="1637" w:type="dxa"/>
            <w:vMerge w:val="restart"/>
            <w:vAlign w:val="center"/>
          </w:tcPr>
          <w:p w14:paraId="77F22716">
            <w:pPr>
              <w:ind w:firstLine="240" w:firstLineChars="100"/>
              <w:rPr>
                <w:rFonts w:hint="eastAsia" w:ascii="仿宋" w:hAnsi="仿宋" w:eastAsia="仿宋"/>
                <w:kern w:val="0"/>
                <w:sz w:val="24"/>
                <w:szCs w:val="24"/>
              </w:rPr>
            </w:pPr>
            <w:r>
              <w:rPr>
                <w:rFonts w:hint="eastAsia" w:ascii="仿宋" w:hAnsi="仿宋" w:eastAsia="仿宋"/>
                <w:kern w:val="0"/>
                <w:sz w:val="24"/>
                <w:szCs w:val="24"/>
              </w:rPr>
              <w:t>火灾较大，允许先期处置的，使用推车灭火器进行灭火，使用时拔下螺栓，对准火源处进行喷射</w:t>
            </w:r>
          </w:p>
        </w:tc>
        <w:tc>
          <w:tcPr>
            <w:tcW w:w="5063" w:type="dxa"/>
            <w:vAlign w:val="center"/>
          </w:tcPr>
          <w:p w14:paraId="43C3585C">
            <w:pPr>
              <w:jc w:val="center"/>
              <w:rPr>
                <w:rFonts w:hint="eastAsia" w:ascii="仿宋" w:hAnsi="仿宋" w:eastAsia="仿宋"/>
                <w:kern w:val="0"/>
                <w:sz w:val="24"/>
                <w:szCs w:val="24"/>
              </w:rPr>
            </w:pPr>
            <w:r>
              <w:rPr>
                <w:rFonts w:hint="eastAsia" w:ascii="仿宋" w:hAnsi="仿宋" w:eastAsia="仿宋"/>
                <w:kern w:val="0"/>
                <w:sz w:val="24"/>
                <w:szCs w:val="24"/>
                <w:lang w:eastAsia="zh-CN"/>
              </w:rPr>
              <w:drawing>
                <wp:inline distT="0" distB="0" distL="114300" distR="114300">
                  <wp:extent cx="2983230" cy="2656840"/>
                  <wp:effectExtent l="0" t="0" r="3810" b="10160"/>
                  <wp:docPr id="36" name="图片 5" descr="C:/Users/Admin/Desktop/35公斤.jpg35公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C:/Users/Admin/Desktop/35公斤.jpg35公斤"/>
                          <pic:cNvPicPr>
                            <a:picLocks noChangeAspect="1"/>
                          </pic:cNvPicPr>
                        </pic:nvPicPr>
                        <pic:blipFill>
                          <a:blip r:embed="rId26"/>
                          <a:srcRect t="29449" b="29449"/>
                          <a:stretch>
                            <a:fillRect/>
                          </a:stretch>
                        </pic:blipFill>
                        <pic:spPr>
                          <a:xfrm>
                            <a:off x="0" y="0"/>
                            <a:ext cx="2983230" cy="2656840"/>
                          </a:xfrm>
                          <a:prstGeom prst="rect">
                            <a:avLst/>
                          </a:prstGeom>
                          <a:noFill/>
                          <a:ln>
                            <a:noFill/>
                          </a:ln>
                        </pic:spPr>
                      </pic:pic>
                    </a:graphicData>
                  </a:graphic>
                </wp:inline>
              </w:drawing>
            </w:r>
          </w:p>
        </w:tc>
        <w:tc>
          <w:tcPr>
            <w:tcW w:w="1247" w:type="dxa"/>
            <w:vMerge w:val="restart"/>
            <w:vAlign w:val="center"/>
          </w:tcPr>
          <w:p w14:paraId="19FAA550">
            <w:pPr>
              <w:jc w:val="center"/>
              <w:rPr>
                <w:rFonts w:hint="eastAsia" w:ascii="仿宋" w:hAnsi="仿宋" w:eastAsia="仿宋"/>
                <w:kern w:val="0"/>
                <w:sz w:val="24"/>
                <w:szCs w:val="24"/>
              </w:rPr>
            </w:pPr>
            <w:r>
              <w:rPr>
                <w:rFonts w:hint="eastAsia" w:ascii="仿宋" w:hAnsi="仿宋" w:eastAsia="仿宋"/>
                <w:kern w:val="0"/>
                <w:sz w:val="24"/>
                <w:szCs w:val="24"/>
              </w:rPr>
              <w:t>现场加油员</w:t>
            </w:r>
          </w:p>
        </w:tc>
      </w:tr>
      <w:tr w14:paraId="3049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vAlign w:val="center"/>
          </w:tcPr>
          <w:p w14:paraId="7A9A540D">
            <w:pPr>
              <w:rPr>
                <w:rFonts w:hint="eastAsia" w:ascii="仿宋" w:hAnsi="仿宋" w:eastAsia="仿宋"/>
                <w:kern w:val="0"/>
                <w:sz w:val="24"/>
                <w:szCs w:val="24"/>
              </w:rPr>
            </w:pPr>
          </w:p>
        </w:tc>
        <w:tc>
          <w:tcPr>
            <w:tcW w:w="1637" w:type="dxa"/>
            <w:vMerge w:val="continue"/>
            <w:vAlign w:val="center"/>
          </w:tcPr>
          <w:p w14:paraId="3C1AB7FC">
            <w:pPr>
              <w:rPr>
                <w:rFonts w:hint="eastAsia" w:ascii="仿宋" w:hAnsi="仿宋" w:eastAsia="仿宋"/>
                <w:kern w:val="0"/>
                <w:sz w:val="24"/>
                <w:szCs w:val="24"/>
              </w:rPr>
            </w:pPr>
          </w:p>
        </w:tc>
        <w:tc>
          <w:tcPr>
            <w:tcW w:w="5063" w:type="dxa"/>
            <w:vAlign w:val="center"/>
          </w:tcPr>
          <w:p w14:paraId="0036FF6A">
            <w:pPr>
              <w:jc w:val="center"/>
              <w:rPr>
                <w:rFonts w:hint="eastAsia" w:ascii="仿宋" w:hAnsi="仿宋" w:eastAsia="仿宋"/>
                <w:kern w:val="0"/>
                <w:sz w:val="24"/>
                <w:szCs w:val="24"/>
              </w:rPr>
            </w:pPr>
            <w:r>
              <w:rPr>
                <w:rFonts w:hint="eastAsia" w:ascii="仿宋" w:hAnsi="仿宋" w:eastAsia="仿宋"/>
                <w:kern w:val="0"/>
                <w:sz w:val="24"/>
                <w:szCs w:val="24"/>
              </w:rPr>
              <w:t>推车灭火器</w:t>
            </w:r>
          </w:p>
        </w:tc>
        <w:tc>
          <w:tcPr>
            <w:tcW w:w="1247" w:type="dxa"/>
            <w:vMerge w:val="continue"/>
            <w:vAlign w:val="center"/>
          </w:tcPr>
          <w:p w14:paraId="6ED0A81D">
            <w:pPr>
              <w:jc w:val="center"/>
              <w:rPr>
                <w:rFonts w:hint="eastAsia" w:ascii="仿宋" w:hAnsi="仿宋" w:eastAsia="仿宋"/>
                <w:kern w:val="0"/>
                <w:sz w:val="24"/>
                <w:szCs w:val="24"/>
              </w:rPr>
            </w:pPr>
          </w:p>
        </w:tc>
      </w:tr>
    </w:tbl>
    <w:p w14:paraId="0F087245">
      <w:pPr>
        <w:pStyle w:val="2"/>
      </w:pPr>
      <w:r>
        <w:br w:type="page"/>
      </w:r>
      <w:bookmarkStart w:id="55" w:name="_Toc165395078"/>
      <w:r>
        <w:t>7应急终止</w:t>
      </w:r>
      <w:bookmarkEnd w:id="55"/>
    </w:p>
    <w:p w14:paraId="0002E618">
      <w:pPr>
        <w:spacing w:line="360" w:lineRule="auto"/>
        <w:outlineLvl w:val="1"/>
        <w:rPr>
          <w:rFonts w:eastAsia="黑体"/>
          <w:bCs/>
          <w:sz w:val="28"/>
          <w:szCs w:val="32"/>
        </w:rPr>
      </w:pPr>
      <w:bookmarkStart w:id="56" w:name="_Toc165395079"/>
      <w:r>
        <w:rPr>
          <w:rFonts w:eastAsia="黑体"/>
          <w:bCs/>
          <w:sz w:val="28"/>
          <w:szCs w:val="32"/>
        </w:rPr>
        <w:t>7.1应急终止条件</w:t>
      </w:r>
      <w:bookmarkEnd w:id="56"/>
    </w:p>
    <w:p w14:paraId="683E58E9">
      <w:pPr>
        <w:spacing w:line="360" w:lineRule="auto"/>
        <w:ind w:firstLine="560" w:firstLineChars="200"/>
        <w:rPr>
          <w:rFonts w:eastAsia="仿宋"/>
          <w:sz w:val="28"/>
          <w:szCs w:val="28"/>
        </w:rPr>
      </w:pPr>
      <w:r>
        <w:rPr>
          <w:rFonts w:eastAsia="仿宋"/>
          <w:sz w:val="28"/>
          <w:szCs w:val="28"/>
        </w:rPr>
        <w:t>符合下列条件之一的，即满足应急终止条件：</w:t>
      </w:r>
    </w:p>
    <w:p w14:paraId="57EF34F0">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现场得到控制，事件条件已经消除；</w:t>
      </w:r>
    </w:p>
    <w:p w14:paraId="496E3A5E">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油品的泄漏或释放已经降至规定限值以内；</w:t>
      </w:r>
    </w:p>
    <w:p w14:paraId="1286E020">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事件所造成的危害已经被彻底消除，无续发可能；</w:t>
      </w:r>
    </w:p>
    <w:p w14:paraId="5CDCD2F2">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事件现场的各种专业应急处置行动已经无继续的必要；</w:t>
      </w:r>
    </w:p>
    <w:p w14:paraId="6348E914">
      <w:pPr>
        <w:spacing w:line="360" w:lineRule="auto"/>
        <w:ind w:firstLine="560" w:firstLineChars="200"/>
        <w:rPr>
          <w:rFonts w:eastAsia="仿宋"/>
          <w:sz w:val="28"/>
          <w:szCs w:val="28"/>
        </w:rPr>
      </w:pPr>
      <w:r>
        <w:rPr>
          <w:rFonts w:hint="eastAsia" w:eastAsia="仿宋"/>
          <w:sz w:val="28"/>
          <w:szCs w:val="28"/>
        </w:rPr>
        <w:t>（5）</w:t>
      </w:r>
      <w:r>
        <w:rPr>
          <w:rFonts w:eastAsia="仿宋"/>
          <w:sz w:val="28"/>
          <w:szCs w:val="28"/>
        </w:rPr>
        <w:t>采取一切必要的防护措施以保护公众再次免受危害，并使事件可能引起的中长期影响起于合理且尽量低的水平。</w:t>
      </w:r>
    </w:p>
    <w:p w14:paraId="7402790C">
      <w:pPr>
        <w:spacing w:line="360" w:lineRule="auto"/>
        <w:outlineLvl w:val="1"/>
        <w:rPr>
          <w:rFonts w:eastAsia="黑体"/>
          <w:bCs/>
          <w:sz w:val="28"/>
          <w:szCs w:val="32"/>
        </w:rPr>
      </w:pPr>
      <w:bookmarkStart w:id="57" w:name="_Toc165395080"/>
      <w:r>
        <w:rPr>
          <w:rFonts w:eastAsia="黑体"/>
          <w:bCs/>
          <w:sz w:val="28"/>
          <w:szCs w:val="32"/>
        </w:rPr>
        <w:t>7.2应急终止程序</w:t>
      </w:r>
      <w:bookmarkEnd w:id="57"/>
    </w:p>
    <w:p w14:paraId="1D82760D">
      <w:pPr>
        <w:spacing w:line="360" w:lineRule="auto"/>
        <w:ind w:firstLine="560" w:firstLineChars="200"/>
        <w:rPr>
          <w:rFonts w:eastAsia="仿宋"/>
          <w:sz w:val="28"/>
          <w:szCs w:val="28"/>
        </w:rPr>
      </w:pPr>
      <w:r>
        <w:rPr>
          <w:rFonts w:eastAsia="仿宋"/>
          <w:sz w:val="28"/>
          <w:szCs w:val="28"/>
        </w:rPr>
        <w:t>当加油站内突发环境事件得到有效控制后，灾害性冲击已消除，不可能发生次生事件，社会负面影响消减，进入恢复阶段时，进入应急终止程序。</w:t>
      </w:r>
    </w:p>
    <w:p w14:paraId="56110754">
      <w:pPr>
        <w:spacing w:line="360" w:lineRule="auto"/>
        <w:ind w:firstLine="560" w:firstLineChars="200"/>
        <w:rPr>
          <w:rFonts w:eastAsia="仿宋"/>
          <w:sz w:val="28"/>
          <w:szCs w:val="28"/>
        </w:rPr>
      </w:pPr>
      <w:r>
        <w:rPr>
          <w:rFonts w:hint="eastAsia" w:eastAsia="仿宋"/>
          <w:sz w:val="28"/>
          <w:szCs w:val="28"/>
        </w:rPr>
        <w:t>（1）抢险救援</w:t>
      </w:r>
      <w:r>
        <w:rPr>
          <w:rFonts w:eastAsia="仿宋"/>
          <w:sz w:val="28"/>
          <w:szCs w:val="28"/>
        </w:rPr>
        <w:t>组确认终止时机，或事件责任单位提出，遵循“谁启动、谁结束”原则，经环境应急领导小组批准，由</w:t>
      </w:r>
      <w:r>
        <w:rPr>
          <w:rFonts w:hint="eastAsia" w:eastAsia="仿宋"/>
          <w:sz w:val="28"/>
          <w:szCs w:val="28"/>
        </w:rPr>
        <w:t>抢险救援</w:t>
      </w:r>
      <w:r>
        <w:rPr>
          <w:rFonts w:eastAsia="仿宋"/>
          <w:sz w:val="28"/>
          <w:szCs w:val="28"/>
        </w:rPr>
        <w:t>组向应急总指挥报告终止抢险；</w:t>
      </w:r>
    </w:p>
    <w:p w14:paraId="223A201C">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应急总指挥宣布站级应急结束，并向环境应急小组下达应急终止命令；</w:t>
      </w:r>
    </w:p>
    <w:p w14:paraId="56F0C940">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疏散监测组通知周边环境相关单位及人员此突发环境应急事件危险已解除；</w:t>
      </w:r>
    </w:p>
    <w:p w14:paraId="7C321518">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应急状态终止后，根据有关指示和实际情况，继续进行环境监测和评价工作；</w:t>
      </w:r>
    </w:p>
    <w:p w14:paraId="2C31342A">
      <w:pPr>
        <w:spacing w:line="360" w:lineRule="auto"/>
        <w:ind w:firstLine="560" w:firstLineChars="200"/>
        <w:rPr>
          <w:rFonts w:eastAsia="仿宋"/>
          <w:sz w:val="28"/>
          <w:szCs w:val="28"/>
        </w:rPr>
      </w:pPr>
      <w:r>
        <w:rPr>
          <w:rFonts w:hint="eastAsia" w:eastAsia="仿宋"/>
          <w:sz w:val="28"/>
          <w:szCs w:val="28"/>
        </w:rPr>
        <w:t>（5）</w:t>
      </w:r>
      <w:r>
        <w:rPr>
          <w:rFonts w:eastAsia="仿宋"/>
          <w:sz w:val="28"/>
          <w:szCs w:val="28"/>
        </w:rPr>
        <w:t>疏散监测组配合相关环保主管部门对环境污染事件中长期环境影响进行评估，提出补偿和对遭受污染的生态环境进行恢复的建议。</w:t>
      </w:r>
    </w:p>
    <w:p w14:paraId="499B1B9D">
      <w:pPr>
        <w:spacing w:line="360" w:lineRule="auto"/>
        <w:ind w:firstLine="560" w:firstLineChars="200"/>
        <w:rPr>
          <w:rFonts w:eastAsia="仿宋"/>
          <w:sz w:val="28"/>
          <w:szCs w:val="28"/>
        </w:rPr>
      </w:pPr>
      <w:r>
        <w:rPr>
          <w:rFonts w:eastAsia="仿宋"/>
          <w:sz w:val="28"/>
          <w:szCs w:val="28"/>
        </w:rPr>
        <w:t>应急终止指令内容如下：</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2575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61" w:type="dxa"/>
          </w:tcPr>
          <w:p w14:paraId="048F42FA">
            <w:pPr>
              <w:pStyle w:val="17"/>
              <w:jc w:val="center"/>
              <w:textAlignment w:val="baseline"/>
              <w:rPr>
                <w:rFonts w:eastAsia="仿宋_GB2312"/>
                <w:b/>
                <w:color w:val="000000"/>
                <w:sz w:val="28"/>
                <w:szCs w:val="28"/>
              </w:rPr>
            </w:pPr>
            <w:r>
              <w:rPr>
                <w:rFonts w:hint="eastAsia" w:eastAsia="仿宋_GB2312"/>
                <w:b/>
                <w:color w:val="000000"/>
                <w:sz w:val="28"/>
                <w:szCs w:val="28"/>
              </w:rPr>
              <w:t>突</w:t>
            </w:r>
            <w:r>
              <w:rPr>
                <w:rFonts w:eastAsia="仿宋_GB2312"/>
                <w:b/>
                <w:color w:val="000000"/>
                <w:sz w:val="28"/>
                <w:szCs w:val="28"/>
              </w:rPr>
              <w:t>发环境事件应急终止指令</w:t>
            </w:r>
          </w:p>
          <w:p w14:paraId="07091F5B">
            <w:pPr>
              <w:adjustRightInd w:val="0"/>
              <w:spacing w:line="360" w:lineRule="auto"/>
              <w:textAlignment w:val="baseline"/>
              <w:rPr>
                <w:rFonts w:eastAsia="仿宋_GB2312"/>
                <w:color w:val="000000"/>
                <w:sz w:val="28"/>
                <w:szCs w:val="28"/>
              </w:rPr>
            </w:pPr>
            <w:r>
              <w:rPr>
                <w:rFonts w:eastAsia="仿宋_GB2312"/>
                <w:color w:val="000000"/>
                <w:sz w:val="28"/>
                <w:szCs w:val="28"/>
              </w:rPr>
              <w:t>发布单位：</w:t>
            </w:r>
            <w:r>
              <w:rPr>
                <w:rFonts w:hint="eastAsia" w:eastAsia="仿宋_GB2312"/>
                <w:color w:val="000000"/>
                <w:sz w:val="28"/>
                <w:szCs w:val="28"/>
              </w:rPr>
              <w:t xml:space="preserve">                           </w:t>
            </w:r>
            <w:r>
              <w:rPr>
                <w:rFonts w:eastAsia="仿宋_GB2312"/>
                <w:color w:val="000000"/>
                <w:sz w:val="28"/>
                <w:szCs w:val="28"/>
              </w:rPr>
              <w:t>签发人：</w:t>
            </w:r>
          </w:p>
          <w:p w14:paraId="040491D2">
            <w:pPr>
              <w:adjustRightInd w:val="0"/>
              <w:spacing w:line="360" w:lineRule="auto"/>
              <w:textAlignment w:val="baseline"/>
              <w:rPr>
                <w:rFonts w:eastAsia="仿宋_GB2312"/>
                <w:color w:val="000000"/>
                <w:sz w:val="28"/>
                <w:szCs w:val="28"/>
              </w:rPr>
            </w:pPr>
            <w:r>
              <w:rPr>
                <w:rFonts w:eastAsia="仿宋_GB2312"/>
                <w:color w:val="000000"/>
                <w:sz w:val="28"/>
                <w:szCs w:val="28"/>
              </w:rPr>
              <w:t>发布时间：</w:t>
            </w:r>
            <w:r>
              <w:rPr>
                <w:rFonts w:hint="eastAsia" w:eastAsia="仿宋_GB2312"/>
                <w:color w:val="000000"/>
                <w:sz w:val="28"/>
                <w:szCs w:val="28"/>
              </w:rPr>
              <w:t xml:space="preserve">  </w:t>
            </w:r>
            <w:r>
              <w:rPr>
                <w:rFonts w:eastAsia="仿宋_GB2312"/>
                <w:color w:val="000000"/>
                <w:sz w:val="28"/>
                <w:szCs w:val="28"/>
              </w:rPr>
              <w:t>年</w:t>
            </w:r>
            <w:r>
              <w:rPr>
                <w:rFonts w:hint="eastAsia" w:eastAsia="仿宋_GB2312"/>
                <w:color w:val="000000"/>
                <w:sz w:val="28"/>
                <w:szCs w:val="28"/>
              </w:rPr>
              <w:t xml:space="preserve">  </w:t>
            </w:r>
            <w:r>
              <w:rPr>
                <w:rFonts w:eastAsia="仿宋_GB2312"/>
                <w:color w:val="000000"/>
                <w:sz w:val="28"/>
                <w:szCs w:val="28"/>
              </w:rPr>
              <w:t>月</w:t>
            </w:r>
            <w:r>
              <w:rPr>
                <w:rFonts w:hint="eastAsia" w:eastAsia="仿宋_GB2312"/>
                <w:color w:val="000000"/>
                <w:sz w:val="28"/>
                <w:szCs w:val="28"/>
              </w:rPr>
              <w:t xml:space="preserve">  </w:t>
            </w:r>
            <w:r>
              <w:rPr>
                <w:rFonts w:eastAsia="仿宋_GB2312"/>
                <w:color w:val="000000"/>
                <w:sz w:val="28"/>
                <w:szCs w:val="28"/>
              </w:rPr>
              <w:t>日</w:t>
            </w:r>
            <w:r>
              <w:rPr>
                <w:rFonts w:hint="eastAsia" w:eastAsia="仿宋_GB2312"/>
                <w:color w:val="000000"/>
                <w:sz w:val="28"/>
                <w:szCs w:val="28"/>
              </w:rPr>
              <w:t xml:space="preserve">  </w:t>
            </w:r>
            <w:r>
              <w:rPr>
                <w:rFonts w:eastAsia="仿宋_GB2312"/>
                <w:color w:val="000000"/>
                <w:sz w:val="28"/>
                <w:szCs w:val="28"/>
              </w:rPr>
              <w:t>时</w:t>
            </w:r>
            <w:r>
              <w:rPr>
                <w:rFonts w:hint="eastAsia" w:eastAsia="仿宋_GB2312"/>
                <w:color w:val="000000"/>
                <w:sz w:val="28"/>
                <w:szCs w:val="28"/>
              </w:rPr>
              <w:t xml:space="preserve">  </w:t>
            </w:r>
            <w:r>
              <w:rPr>
                <w:rFonts w:eastAsia="仿宋_GB2312"/>
                <w:color w:val="000000"/>
                <w:sz w:val="28"/>
                <w:szCs w:val="28"/>
              </w:rPr>
              <w:t>分</w:t>
            </w:r>
          </w:p>
          <w:p w14:paraId="3E5ADBC3">
            <w:pPr>
              <w:adjustRightInd w:val="0"/>
              <w:spacing w:line="360" w:lineRule="auto"/>
              <w:textAlignment w:val="baseline"/>
              <w:rPr>
                <w:rFonts w:eastAsia="仿宋_GB2312"/>
                <w:color w:val="000000"/>
                <w:sz w:val="28"/>
                <w:szCs w:val="28"/>
              </w:rPr>
            </w:pPr>
            <w:r>
              <w:rPr>
                <w:rFonts w:eastAsia="仿宋_GB2312"/>
                <w:color w:val="000000"/>
                <w:sz w:val="28"/>
                <w:szCs w:val="28"/>
              </w:rPr>
              <w:t>终止内容：发布的</w:t>
            </w:r>
            <w:r>
              <w:rPr>
                <w:rFonts w:hint="eastAsia" w:eastAsia="仿宋_GB2312"/>
                <w:color w:val="000000"/>
                <w:sz w:val="28"/>
                <w:szCs w:val="28"/>
              </w:rPr>
              <w:t xml:space="preserve">  </w:t>
            </w:r>
            <w:r>
              <w:rPr>
                <w:rFonts w:eastAsia="仿宋_GB2312"/>
                <w:color w:val="000000"/>
                <w:sz w:val="28"/>
                <w:szCs w:val="28"/>
              </w:rPr>
              <w:t>年第</w:t>
            </w:r>
            <w:r>
              <w:rPr>
                <w:rFonts w:hint="eastAsia" w:eastAsia="仿宋_GB2312"/>
                <w:color w:val="000000"/>
                <w:sz w:val="28"/>
                <w:szCs w:val="28"/>
              </w:rPr>
              <w:t xml:space="preserve">  </w:t>
            </w:r>
            <w:r>
              <w:rPr>
                <w:rFonts w:eastAsia="仿宋_GB2312"/>
                <w:color w:val="000000"/>
                <w:sz w:val="28"/>
                <w:szCs w:val="28"/>
              </w:rPr>
              <w:t>号指令</w:t>
            </w:r>
          </w:p>
          <w:p w14:paraId="3EADA3B4">
            <w:pPr>
              <w:adjustRightInd w:val="0"/>
              <w:spacing w:line="360" w:lineRule="auto"/>
              <w:ind w:firstLine="1400" w:firstLineChars="500"/>
              <w:textAlignment w:val="baseline"/>
              <w:rPr>
                <w:rFonts w:eastAsia="仿宋_GB2312"/>
                <w:color w:val="000000"/>
                <w:sz w:val="28"/>
                <w:szCs w:val="28"/>
              </w:rPr>
            </w:pPr>
            <w:r>
              <w:rPr>
                <w:rFonts w:eastAsia="仿宋_GB2312"/>
                <w:color w:val="000000"/>
                <w:sz w:val="28"/>
                <w:szCs w:val="28"/>
              </w:rPr>
              <w:t>于年月日时分终止执行。</w:t>
            </w:r>
          </w:p>
          <w:p w14:paraId="64C51F89">
            <w:pPr>
              <w:pStyle w:val="17"/>
              <w:textAlignment w:val="baseline"/>
              <w:rPr>
                <w:rFonts w:eastAsia="仿宋_GB2312"/>
                <w:color w:val="000000"/>
                <w:sz w:val="28"/>
                <w:szCs w:val="28"/>
              </w:rPr>
            </w:pPr>
            <w:r>
              <w:rPr>
                <w:rFonts w:eastAsia="仿宋_GB2312"/>
                <w:color w:val="000000"/>
                <w:sz w:val="28"/>
                <w:szCs w:val="28"/>
              </w:rPr>
              <w:t>执行单位：</w:t>
            </w:r>
          </w:p>
          <w:p w14:paraId="460E162B">
            <w:pPr>
              <w:pStyle w:val="31"/>
              <w:adjustRightInd w:val="0"/>
              <w:spacing w:line="360" w:lineRule="atLeast"/>
              <w:ind w:left="560" w:hanging="560"/>
              <w:textAlignment w:val="baseline"/>
              <w:rPr>
                <w:rFonts w:eastAsia="仿宋_GB2312"/>
                <w:color w:val="000000"/>
                <w:sz w:val="28"/>
                <w:szCs w:val="28"/>
              </w:rPr>
            </w:pPr>
            <w:r>
              <w:rPr>
                <w:rFonts w:eastAsia="仿宋_GB2312"/>
                <w:color w:val="000000"/>
                <w:sz w:val="28"/>
                <w:szCs w:val="28"/>
              </w:rPr>
              <w:t>联系电话：</w:t>
            </w:r>
            <w:r>
              <w:rPr>
                <w:rFonts w:hint="eastAsia" w:eastAsia="仿宋_GB2312"/>
                <w:color w:val="000000"/>
                <w:sz w:val="28"/>
                <w:szCs w:val="28"/>
              </w:rPr>
              <w:t xml:space="preserve">                            </w:t>
            </w:r>
            <w:r>
              <w:rPr>
                <w:rFonts w:eastAsia="仿宋_GB2312"/>
                <w:color w:val="000000"/>
                <w:sz w:val="28"/>
                <w:szCs w:val="28"/>
              </w:rPr>
              <w:t>传真：</w:t>
            </w:r>
          </w:p>
        </w:tc>
      </w:tr>
    </w:tbl>
    <w:p w14:paraId="7AC441EB">
      <w:pPr>
        <w:spacing w:line="360" w:lineRule="auto"/>
        <w:outlineLvl w:val="1"/>
        <w:rPr>
          <w:rFonts w:eastAsia="黑体"/>
          <w:bCs/>
          <w:sz w:val="28"/>
          <w:szCs w:val="32"/>
        </w:rPr>
      </w:pPr>
      <w:bookmarkStart w:id="58" w:name="_Toc165395081"/>
      <w:r>
        <w:rPr>
          <w:rFonts w:eastAsia="黑体"/>
          <w:bCs/>
          <w:sz w:val="28"/>
          <w:szCs w:val="32"/>
        </w:rPr>
        <w:t>7.3应急终止后的行动</w:t>
      </w:r>
      <w:bookmarkEnd w:id="58"/>
    </w:p>
    <w:p w14:paraId="05C79300">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事故现场保护</w:t>
      </w:r>
    </w:p>
    <w:p w14:paraId="0541D602">
      <w:pPr>
        <w:spacing w:line="360" w:lineRule="auto"/>
        <w:ind w:firstLine="560" w:firstLineChars="200"/>
        <w:rPr>
          <w:rFonts w:eastAsia="仿宋"/>
          <w:sz w:val="28"/>
          <w:szCs w:val="28"/>
        </w:rPr>
      </w:pPr>
      <w:r>
        <w:rPr>
          <w:rFonts w:eastAsia="仿宋"/>
          <w:sz w:val="28"/>
          <w:szCs w:val="28"/>
        </w:rPr>
        <w:t>事故得到控制后，善后工作人员要保护好事故现场，以便对事故进行调查。因应急抢救人员、疏导交通等原因，需要移动现场物品时，应当做出标记，绘制现场简图并做出书面纪录，妥善保存现场重要痕迹、物证，并应采取拍照或录像等直接方式反映现场原状。</w:t>
      </w:r>
    </w:p>
    <w:p w14:paraId="652D1D8A">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事故现场清理和恢复</w:t>
      </w:r>
    </w:p>
    <w:p w14:paraId="2805B241">
      <w:pPr>
        <w:spacing w:line="360" w:lineRule="auto"/>
        <w:ind w:firstLine="560" w:firstLineChars="200"/>
        <w:rPr>
          <w:rFonts w:eastAsia="仿宋"/>
          <w:sz w:val="28"/>
          <w:szCs w:val="28"/>
        </w:rPr>
      </w:pPr>
      <w:r>
        <w:rPr>
          <w:rFonts w:eastAsia="仿宋"/>
          <w:sz w:val="28"/>
          <w:szCs w:val="28"/>
        </w:rPr>
        <w:t>1</w:t>
      </w:r>
      <w:r>
        <w:rPr>
          <w:rFonts w:hint="eastAsia" w:eastAsia="仿宋"/>
          <w:sz w:val="28"/>
          <w:szCs w:val="28"/>
        </w:rPr>
        <w:t>）</w:t>
      </w:r>
      <w:r>
        <w:rPr>
          <w:rFonts w:eastAsia="仿宋"/>
          <w:sz w:val="28"/>
          <w:szCs w:val="28"/>
        </w:rPr>
        <w:t>注意现场恢复的过程中的潜在危险，如余烬复燃，受损建筑倒塌等情况；</w:t>
      </w:r>
    </w:p>
    <w:p w14:paraId="47EE2883">
      <w:pPr>
        <w:spacing w:line="360" w:lineRule="auto"/>
        <w:ind w:firstLine="560" w:firstLineChars="200"/>
        <w:rPr>
          <w:rFonts w:eastAsia="仿宋"/>
          <w:sz w:val="28"/>
          <w:szCs w:val="28"/>
        </w:rPr>
      </w:pPr>
      <w:r>
        <w:rPr>
          <w:rFonts w:eastAsia="仿宋"/>
          <w:sz w:val="28"/>
          <w:szCs w:val="28"/>
        </w:rPr>
        <w:t>2）确认现场污染物排放达标，有毒有害物质含量不超标，环境污染隐患已消除，清点人员、车辆及器材；</w:t>
      </w:r>
    </w:p>
    <w:p w14:paraId="05D6BCBA">
      <w:pPr>
        <w:spacing w:line="360" w:lineRule="auto"/>
        <w:ind w:firstLine="560" w:firstLineChars="200"/>
        <w:rPr>
          <w:rFonts w:eastAsia="仿宋"/>
          <w:sz w:val="28"/>
          <w:szCs w:val="28"/>
        </w:rPr>
      </w:pPr>
      <w:r>
        <w:rPr>
          <w:rFonts w:eastAsia="仿宋"/>
          <w:sz w:val="28"/>
          <w:szCs w:val="28"/>
        </w:rPr>
        <w:t>3</w:t>
      </w:r>
      <w:r>
        <w:rPr>
          <w:rFonts w:hint="eastAsia" w:eastAsia="仿宋"/>
          <w:sz w:val="28"/>
          <w:szCs w:val="28"/>
        </w:rPr>
        <w:t>）</w:t>
      </w:r>
      <w:r>
        <w:rPr>
          <w:rFonts w:eastAsia="仿宋"/>
          <w:sz w:val="28"/>
          <w:szCs w:val="28"/>
        </w:rPr>
        <w:t>清理事故现场，防止二次污染。</w:t>
      </w:r>
    </w:p>
    <w:p w14:paraId="2C3DB9F3">
      <w:pPr>
        <w:spacing w:line="360" w:lineRule="auto"/>
        <w:outlineLvl w:val="1"/>
        <w:rPr>
          <w:rFonts w:eastAsia="黑体"/>
          <w:bCs/>
          <w:sz w:val="28"/>
          <w:szCs w:val="32"/>
        </w:rPr>
      </w:pPr>
      <w:bookmarkStart w:id="59" w:name="_Toc165395082"/>
      <w:r>
        <w:rPr>
          <w:rFonts w:eastAsia="黑体"/>
          <w:bCs/>
          <w:sz w:val="28"/>
          <w:szCs w:val="32"/>
        </w:rPr>
        <w:t>7.4应急终止后的环境管理</w:t>
      </w:r>
      <w:bookmarkEnd w:id="59"/>
    </w:p>
    <w:p w14:paraId="6236410F">
      <w:pPr>
        <w:spacing w:line="360" w:lineRule="auto"/>
        <w:ind w:firstLine="560" w:firstLineChars="200"/>
        <w:rPr>
          <w:rFonts w:eastAsia="仿宋"/>
          <w:sz w:val="28"/>
          <w:szCs w:val="28"/>
        </w:rPr>
      </w:pPr>
      <w:r>
        <w:rPr>
          <w:rFonts w:eastAsia="仿宋"/>
          <w:sz w:val="28"/>
          <w:szCs w:val="28"/>
        </w:rPr>
        <w:t>突发环境事件终止后，加油站在上级政府环境保护行政部门和上级政府的领导下，做好加油站突发环境事件应急终止后的环境管理工作。主要内容包括：</w:t>
      </w:r>
    </w:p>
    <w:p w14:paraId="16C3C5C5">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环境应急过程评价；</w:t>
      </w:r>
    </w:p>
    <w:p w14:paraId="55A1DAFD">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环境污染事故原因、事故损失调查与责任认定；</w:t>
      </w:r>
    </w:p>
    <w:p w14:paraId="2FA214CA">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提出补偿措施；</w:t>
      </w:r>
    </w:p>
    <w:p w14:paraId="1B27E349">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编制突发环境事件应急总结报告；</w:t>
      </w:r>
    </w:p>
    <w:p w14:paraId="052F118D">
      <w:pPr>
        <w:spacing w:line="360" w:lineRule="auto"/>
        <w:ind w:firstLine="560" w:firstLineChars="200"/>
        <w:rPr>
          <w:rFonts w:eastAsia="仿宋"/>
          <w:sz w:val="28"/>
          <w:szCs w:val="28"/>
        </w:rPr>
      </w:pPr>
      <w:r>
        <w:rPr>
          <w:rFonts w:hint="eastAsia" w:eastAsia="仿宋"/>
          <w:sz w:val="28"/>
          <w:szCs w:val="28"/>
        </w:rPr>
        <w:t>（5）</w:t>
      </w:r>
      <w:r>
        <w:rPr>
          <w:rFonts w:eastAsia="仿宋"/>
          <w:sz w:val="28"/>
          <w:szCs w:val="28"/>
        </w:rPr>
        <w:t>根据应急响应过程中出现的问题进一步修订应急预案；</w:t>
      </w:r>
    </w:p>
    <w:p w14:paraId="6A8D0B65">
      <w:pPr>
        <w:spacing w:line="360" w:lineRule="auto"/>
        <w:ind w:firstLine="560" w:firstLineChars="200"/>
        <w:rPr>
          <w:rFonts w:eastAsia="仿宋"/>
          <w:sz w:val="28"/>
          <w:szCs w:val="28"/>
        </w:rPr>
      </w:pPr>
      <w:r>
        <w:rPr>
          <w:rFonts w:hint="eastAsia" w:eastAsia="仿宋"/>
          <w:sz w:val="28"/>
          <w:szCs w:val="28"/>
        </w:rPr>
        <w:t>（6）</w:t>
      </w:r>
      <w:r>
        <w:rPr>
          <w:rFonts w:eastAsia="仿宋"/>
          <w:sz w:val="28"/>
          <w:szCs w:val="28"/>
        </w:rPr>
        <w:t>配合政府部门开展相关发布报告的工作。</w:t>
      </w:r>
    </w:p>
    <w:bookmarkEnd w:id="42"/>
    <w:p w14:paraId="11735A6A">
      <w:pPr>
        <w:spacing w:line="360" w:lineRule="auto"/>
        <w:ind w:firstLine="560" w:firstLineChars="200"/>
        <w:rPr>
          <w:rFonts w:eastAsia="仿宋"/>
          <w:sz w:val="28"/>
          <w:szCs w:val="28"/>
        </w:rPr>
        <w:sectPr>
          <w:pgSz w:w="11907" w:h="16839"/>
          <w:pgMar w:top="1418" w:right="1418" w:bottom="1418" w:left="1418" w:header="720" w:footer="720" w:gutter="0"/>
          <w:cols w:space="720" w:num="1"/>
          <w:docGrid w:linePitch="286" w:charSpace="0"/>
        </w:sectPr>
      </w:pPr>
    </w:p>
    <w:p w14:paraId="1C9DD7A7">
      <w:pPr>
        <w:pStyle w:val="2"/>
      </w:pPr>
      <w:bookmarkStart w:id="60" w:name="_Toc165395083"/>
      <w:r>
        <w:t>8后期处置</w:t>
      </w:r>
      <w:bookmarkEnd w:id="60"/>
    </w:p>
    <w:p w14:paraId="5AD3B5C8">
      <w:pPr>
        <w:spacing w:line="360" w:lineRule="auto"/>
        <w:ind w:firstLine="560" w:firstLineChars="200"/>
        <w:rPr>
          <w:rFonts w:eastAsia="仿宋"/>
          <w:sz w:val="28"/>
          <w:szCs w:val="28"/>
        </w:rPr>
      </w:pPr>
      <w:r>
        <w:rPr>
          <w:rFonts w:eastAsia="仿宋"/>
          <w:sz w:val="28"/>
          <w:szCs w:val="28"/>
        </w:rPr>
        <w:t>后期处置工作主要包括以下几个方面：现场恢复、环境恢复、补充应急物资、善后赔偿等。</w:t>
      </w:r>
    </w:p>
    <w:p w14:paraId="7D35FF4D">
      <w:pPr>
        <w:spacing w:line="360" w:lineRule="auto"/>
        <w:outlineLvl w:val="1"/>
        <w:rPr>
          <w:rFonts w:eastAsia="黑体"/>
          <w:bCs/>
          <w:sz w:val="28"/>
          <w:szCs w:val="32"/>
        </w:rPr>
      </w:pPr>
      <w:bookmarkStart w:id="61" w:name="_Toc165395084"/>
      <w:r>
        <w:rPr>
          <w:rFonts w:eastAsia="黑体"/>
          <w:bCs/>
          <w:sz w:val="28"/>
          <w:szCs w:val="32"/>
        </w:rPr>
        <w:t>8.1现场恢复</w:t>
      </w:r>
      <w:bookmarkEnd w:id="61"/>
    </w:p>
    <w:p w14:paraId="227B64D2">
      <w:pPr>
        <w:spacing w:line="360" w:lineRule="auto"/>
        <w:ind w:firstLine="560" w:firstLineChars="200"/>
        <w:rPr>
          <w:rFonts w:eastAsia="仿宋"/>
          <w:sz w:val="28"/>
          <w:szCs w:val="28"/>
        </w:rPr>
      </w:pPr>
      <w:r>
        <w:rPr>
          <w:rFonts w:eastAsia="仿宋"/>
          <w:sz w:val="28"/>
          <w:szCs w:val="28"/>
        </w:rPr>
        <w:t>应急完终止后应对事故现场采取妥善的保护措施，以利取得相关证据分析事故原因，制定改善对策。同时还可以有效避免二次事故的发生。</w:t>
      </w:r>
    </w:p>
    <w:p w14:paraId="5C015F6A">
      <w:pPr>
        <w:spacing w:line="360" w:lineRule="auto"/>
        <w:ind w:firstLine="560" w:firstLineChars="200"/>
        <w:rPr>
          <w:rFonts w:eastAsia="仿宋"/>
          <w:sz w:val="28"/>
          <w:szCs w:val="28"/>
        </w:rPr>
      </w:pPr>
      <w:r>
        <w:rPr>
          <w:rFonts w:eastAsia="仿宋"/>
          <w:sz w:val="28"/>
          <w:szCs w:val="28"/>
        </w:rPr>
        <w:t>根据抢险后事故现场的具体情况，洗消去污可以采用以下几种方法：</w:t>
      </w:r>
    </w:p>
    <w:p w14:paraId="54A72566">
      <w:pPr>
        <w:spacing w:line="360" w:lineRule="auto"/>
        <w:ind w:firstLine="560" w:firstLineChars="200"/>
        <w:rPr>
          <w:rFonts w:eastAsia="仿宋"/>
          <w:sz w:val="28"/>
          <w:szCs w:val="28"/>
        </w:rPr>
      </w:pPr>
      <w:r>
        <w:rPr>
          <w:rFonts w:eastAsia="仿宋"/>
          <w:sz w:val="28"/>
          <w:szCs w:val="28"/>
        </w:rPr>
        <w:t>（1）稀释。用乙醇稀释现场污染物料。</w:t>
      </w:r>
    </w:p>
    <w:p w14:paraId="59EDB1E5">
      <w:pPr>
        <w:spacing w:line="360" w:lineRule="auto"/>
        <w:ind w:firstLine="560" w:firstLineChars="200"/>
        <w:rPr>
          <w:rFonts w:eastAsia="仿宋"/>
          <w:sz w:val="28"/>
          <w:szCs w:val="28"/>
        </w:rPr>
      </w:pPr>
      <w:r>
        <w:rPr>
          <w:rFonts w:eastAsia="仿宋"/>
          <w:sz w:val="28"/>
          <w:szCs w:val="28"/>
        </w:rPr>
        <w:t>（2）处理。对应急行动工作人员使用过后衣服、工具、设备进行处理。当应急人员从现场撤出时，他们的衣物或其它物品应集中储藏，作为危险废物处理。</w:t>
      </w:r>
    </w:p>
    <w:p w14:paraId="39F73EB1">
      <w:pPr>
        <w:spacing w:line="360" w:lineRule="auto"/>
        <w:ind w:firstLine="560" w:firstLineChars="200"/>
        <w:rPr>
          <w:rFonts w:eastAsia="仿宋"/>
          <w:sz w:val="28"/>
          <w:szCs w:val="28"/>
        </w:rPr>
      </w:pPr>
      <w:r>
        <w:rPr>
          <w:rFonts w:eastAsia="仿宋"/>
          <w:sz w:val="28"/>
          <w:szCs w:val="28"/>
        </w:rPr>
        <w:t>（3）物理去除。使用刷子或吸尘器除去一些颗粒性污染物。</w:t>
      </w:r>
    </w:p>
    <w:p w14:paraId="5353C7D8">
      <w:pPr>
        <w:spacing w:line="360" w:lineRule="auto"/>
        <w:ind w:firstLine="560" w:firstLineChars="200"/>
        <w:rPr>
          <w:rFonts w:eastAsia="仿宋"/>
          <w:sz w:val="28"/>
          <w:szCs w:val="28"/>
        </w:rPr>
      </w:pPr>
      <w:r>
        <w:rPr>
          <w:rFonts w:eastAsia="仿宋"/>
          <w:sz w:val="28"/>
          <w:szCs w:val="28"/>
        </w:rPr>
        <w:t>（4）中和。中和一般不直接应用于人体，一般可用苏打粉、碳酸氢钠、醋、漂白剂等用于衣服、设备和受污染环境的清洗。</w:t>
      </w:r>
    </w:p>
    <w:p w14:paraId="73650D74">
      <w:pPr>
        <w:spacing w:line="360" w:lineRule="auto"/>
        <w:ind w:firstLine="560" w:firstLineChars="200"/>
        <w:rPr>
          <w:rFonts w:eastAsia="仿宋"/>
          <w:sz w:val="28"/>
          <w:szCs w:val="28"/>
        </w:rPr>
      </w:pPr>
      <w:r>
        <w:rPr>
          <w:rFonts w:eastAsia="仿宋"/>
          <w:sz w:val="28"/>
          <w:szCs w:val="28"/>
        </w:rPr>
        <w:t>（5）吸附。可用吸附剂吸收污染物，但吸附剂使用后要回收、处理。</w:t>
      </w:r>
    </w:p>
    <w:p w14:paraId="14789D02">
      <w:pPr>
        <w:spacing w:line="360" w:lineRule="auto"/>
        <w:ind w:firstLine="560" w:firstLineChars="200"/>
        <w:rPr>
          <w:rFonts w:eastAsia="仿宋"/>
          <w:sz w:val="28"/>
          <w:szCs w:val="28"/>
        </w:rPr>
      </w:pPr>
      <w:r>
        <w:rPr>
          <w:rFonts w:eastAsia="仿宋"/>
          <w:sz w:val="28"/>
          <w:szCs w:val="28"/>
        </w:rPr>
        <w:t>（6）隔离。隔离需要全部隔离或把现场受污染环境全部围起来以免污染扩散，污染物质要待以后处理。</w:t>
      </w:r>
    </w:p>
    <w:p w14:paraId="1A406D5C">
      <w:pPr>
        <w:spacing w:line="360" w:lineRule="auto"/>
        <w:outlineLvl w:val="1"/>
        <w:rPr>
          <w:rFonts w:eastAsia="黑体"/>
          <w:bCs/>
          <w:sz w:val="28"/>
          <w:szCs w:val="32"/>
        </w:rPr>
      </w:pPr>
      <w:bookmarkStart w:id="62" w:name="_Toc165395085"/>
      <w:r>
        <w:rPr>
          <w:rFonts w:eastAsia="黑体"/>
          <w:bCs/>
          <w:sz w:val="28"/>
          <w:szCs w:val="32"/>
        </w:rPr>
        <w:t>8.2环境恢复</w:t>
      </w:r>
      <w:bookmarkEnd w:id="62"/>
    </w:p>
    <w:p w14:paraId="0D169BCD">
      <w:pPr>
        <w:spacing w:line="360" w:lineRule="auto"/>
        <w:ind w:firstLine="560" w:firstLineChars="200"/>
        <w:rPr>
          <w:rFonts w:eastAsia="仿宋"/>
          <w:sz w:val="28"/>
          <w:szCs w:val="28"/>
        </w:rPr>
      </w:pPr>
      <w:r>
        <w:rPr>
          <w:rFonts w:eastAsia="仿宋"/>
          <w:sz w:val="28"/>
          <w:szCs w:val="28"/>
        </w:rPr>
        <w:t>对于造成生态破坏的环境污染事故，应在事故处理后进行生态监测，并视生态破坏的严重程度，酌情采取相应的生态修复措施。</w:t>
      </w:r>
    </w:p>
    <w:p w14:paraId="22E464D1">
      <w:pPr>
        <w:spacing w:line="360" w:lineRule="auto"/>
        <w:outlineLvl w:val="1"/>
        <w:rPr>
          <w:rFonts w:eastAsia="黑体"/>
          <w:bCs/>
          <w:sz w:val="28"/>
          <w:szCs w:val="32"/>
        </w:rPr>
      </w:pPr>
      <w:bookmarkStart w:id="63" w:name="_Toc165395086"/>
      <w:r>
        <w:rPr>
          <w:rFonts w:eastAsia="黑体"/>
          <w:bCs/>
          <w:sz w:val="28"/>
          <w:szCs w:val="32"/>
        </w:rPr>
        <w:t>8.3补充应急物资</w:t>
      </w:r>
      <w:bookmarkEnd w:id="63"/>
    </w:p>
    <w:p w14:paraId="09D0BBD1">
      <w:pPr>
        <w:spacing w:line="360" w:lineRule="auto"/>
        <w:ind w:firstLine="560" w:firstLineChars="200"/>
        <w:rPr>
          <w:rFonts w:eastAsia="仿宋"/>
          <w:sz w:val="28"/>
          <w:szCs w:val="28"/>
        </w:rPr>
      </w:pPr>
      <w:r>
        <w:rPr>
          <w:rFonts w:eastAsia="仿宋"/>
          <w:sz w:val="28"/>
          <w:szCs w:val="28"/>
        </w:rPr>
        <w:t>（1）应急终止后及时补充损耗的应急物资，补充数量及存放位置应与预案中要求一致；</w:t>
      </w:r>
    </w:p>
    <w:p w14:paraId="4F8D8BDF">
      <w:pPr>
        <w:spacing w:line="360" w:lineRule="auto"/>
        <w:ind w:firstLine="560" w:firstLineChars="200"/>
        <w:rPr>
          <w:rFonts w:eastAsia="仿宋"/>
          <w:sz w:val="28"/>
          <w:szCs w:val="28"/>
        </w:rPr>
      </w:pPr>
      <w:r>
        <w:rPr>
          <w:rFonts w:eastAsia="仿宋"/>
          <w:sz w:val="28"/>
          <w:szCs w:val="28"/>
        </w:rPr>
        <w:t>（2）维修相关的应急设施和设备，确保其处于准工作状态，随时都能正常使用。</w:t>
      </w:r>
    </w:p>
    <w:p w14:paraId="69847087">
      <w:pPr>
        <w:spacing w:line="360" w:lineRule="auto"/>
        <w:outlineLvl w:val="1"/>
        <w:rPr>
          <w:rFonts w:eastAsia="黑体"/>
          <w:bCs/>
          <w:sz w:val="28"/>
          <w:szCs w:val="32"/>
        </w:rPr>
      </w:pPr>
      <w:bookmarkStart w:id="64" w:name="_Toc165395087"/>
      <w:r>
        <w:rPr>
          <w:rFonts w:eastAsia="黑体"/>
          <w:bCs/>
          <w:sz w:val="28"/>
          <w:szCs w:val="32"/>
        </w:rPr>
        <w:t>8.4善后赔偿</w:t>
      </w:r>
      <w:bookmarkEnd w:id="64"/>
    </w:p>
    <w:p w14:paraId="54BD99F8">
      <w:pPr>
        <w:spacing w:line="360" w:lineRule="auto"/>
        <w:ind w:firstLine="560" w:firstLineChars="200"/>
        <w:rPr>
          <w:rFonts w:eastAsia="仿宋"/>
          <w:sz w:val="28"/>
          <w:szCs w:val="28"/>
        </w:rPr>
      </w:pPr>
      <w:r>
        <w:rPr>
          <w:rFonts w:eastAsia="仿宋"/>
          <w:sz w:val="28"/>
          <w:szCs w:val="28"/>
        </w:rPr>
        <w:t>（1）若有人员伤亡，按照国家的相关法律、法规规定执行。</w:t>
      </w:r>
    </w:p>
    <w:p w14:paraId="1B018192">
      <w:pPr>
        <w:spacing w:line="360" w:lineRule="auto"/>
        <w:ind w:firstLine="560" w:firstLineChars="200"/>
        <w:rPr>
          <w:rFonts w:eastAsia="仿宋"/>
          <w:sz w:val="28"/>
          <w:szCs w:val="28"/>
        </w:rPr>
      </w:pPr>
      <w:r>
        <w:rPr>
          <w:rFonts w:eastAsia="仿宋"/>
          <w:sz w:val="28"/>
          <w:szCs w:val="28"/>
        </w:rPr>
        <w:t>（2）周边企业受到影响，造成经济损失的，双方协商达成共识后进行赔偿。</w:t>
      </w:r>
    </w:p>
    <w:p w14:paraId="72FA5D0F">
      <w:pPr>
        <w:spacing w:line="360" w:lineRule="auto"/>
        <w:ind w:firstLine="560" w:firstLineChars="200"/>
        <w:rPr>
          <w:rFonts w:eastAsia="仿宋"/>
          <w:sz w:val="28"/>
          <w:szCs w:val="28"/>
        </w:rPr>
      </w:pPr>
      <w:r>
        <w:rPr>
          <w:rFonts w:eastAsia="仿宋"/>
          <w:sz w:val="28"/>
          <w:szCs w:val="28"/>
        </w:rPr>
        <w:t>（3）应急救援过程中，周边企业支援救助的物资、人力等，双方协商达成共识后进行补偿。</w:t>
      </w:r>
    </w:p>
    <w:p w14:paraId="3FE03C95">
      <w:pPr>
        <w:spacing w:line="360" w:lineRule="auto"/>
        <w:ind w:firstLine="560" w:firstLineChars="200"/>
        <w:rPr>
          <w:rFonts w:eastAsia="仿宋"/>
          <w:sz w:val="28"/>
          <w:szCs w:val="28"/>
        </w:rPr>
      </w:pPr>
      <w:r>
        <w:rPr>
          <w:rFonts w:eastAsia="仿宋"/>
          <w:sz w:val="28"/>
          <w:szCs w:val="28"/>
        </w:rPr>
        <w:t>（4）其他未尽事宜，依照国家相关规定执行。</w:t>
      </w:r>
    </w:p>
    <w:p w14:paraId="3854AF24">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1972068F">
      <w:pPr>
        <w:pStyle w:val="2"/>
      </w:pPr>
      <w:bookmarkStart w:id="65" w:name="_Toc165395088"/>
      <w:r>
        <w:t>9保障措施</w:t>
      </w:r>
      <w:bookmarkEnd w:id="65"/>
    </w:p>
    <w:p w14:paraId="17BD984A">
      <w:pPr>
        <w:spacing w:line="360" w:lineRule="auto"/>
        <w:outlineLvl w:val="1"/>
        <w:rPr>
          <w:rFonts w:eastAsia="黑体"/>
          <w:bCs/>
          <w:sz w:val="28"/>
          <w:szCs w:val="32"/>
        </w:rPr>
      </w:pPr>
      <w:bookmarkStart w:id="66" w:name="_Toc165395089"/>
      <w:r>
        <w:rPr>
          <w:rFonts w:eastAsia="黑体"/>
          <w:bCs/>
          <w:sz w:val="28"/>
          <w:szCs w:val="32"/>
        </w:rPr>
        <w:t>9.1通信与信息保障</w:t>
      </w:r>
      <w:bookmarkEnd w:id="66"/>
    </w:p>
    <w:p w14:paraId="27DA506B">
      <w:pPr>
        <w:spacing w:line="360" w:lineRule="auto"/>
        <w:ind w:firstLine="560" w:firstLineChars="200"/>
        <w:rPr>
          <w:rFonts w:eastAsia="仿宋"/>
          <w:sz w:val="28"/>
          <w:szCs w:val="28"/>
        </w:rPr>
      </w:pPr>
      <w:r>
        <w:rPr>
          <w:rFonts w:eastAsia="仿宋"/>
          <w:sz w:val="28"/>
          <w:szCs w:val="28"/>
        </w:rPr>
        <w:t>加油站收银台兼应急救援值班室，加油员承担夜间及节假日应急值班，保证24小时接警的畅通。遇有环境事故发生，及时组织处理并通知有关方面。加油站内设有固定电话，通讯系统完善，均可供事故发生时报警用，可以迅速、有效的将灾害信息传送到应急指挥部内。日常对通信设施进行经常性检查，确保通信系统的可靠性，发现问题及时解决。</w:t>
      </w:r>
    </w:p>
    <w:p w14:paraId="45D1C727">
      <w:pPr>
        <w:spacing w:line="360" w:lineRule="auto"/>
        <w:outlineLvl w:val="1"/>
        <w:rPr>
          <w:rFonts w:eastAsia="黑体"/>
          <w:bCs/>
          <w:sz w:val="28"/>
          <w:szCs w:val="32"/>
        </w:rPr>
      </w:pPr>
      <w:bookmarkStart w:id="67" w:name="_Toc165395090"/>
      <w:r>
        <w:rPr>
          <w:rFonts w:eastAsia="黑体"/>
          <w:bCs/>
          <w:sz w:val="28"/>
          <w:szCs w:val="32"/>
        </w:rPr>
        <w:t>9.2应急队伍保障</w:t>
      </w:r>
      <w:bookmarkEnd w:id="67"/>
    </w:p>
    <w:p w14:paraId="7F7678AE">
      <w:pPr>
        <w:spacing w:line="360" w:lineRule="auto"/>
        <w:ind w:firstLine="560" w:firstLineChars="200"/>
        <w:rPr>
          <w:rFonts w:eastAsia="仿宋"/>
          <w:sz w:val="28"/>
          <w:szCs w:val="28"/>
        </w:rPr>
      </w:pPr>
      <w:r>
        <w:rPr>
          <w:rFonts w:hint="eastAsia" w:eastAsia="仿宋"/>
          <w:sz w:val="28"/>
          <w:szCs w:val="28"/>
        </w:rPr>
        <w:t>津南</w:t>
      </w:r>
      <w:r>
        <w:rPr>
          <w:rFonts w:eastAsia="仿宋"/>
          <w:sz w:val="28"/>
          <w:szCs w:val="28"/>
        </w:rPr>
        <w:t>区生态环境局督促检查加油站环境应急力量的建设和准备情况。完善应急救援队伍建设。站内设有突发环境事件应急指挥机构，由总指挥、副总指挥、</w:t>
      </w:r>
      <w:r>
        <w:rPr>
          <w:rFonts w:hint="eastAsia" w:eastAsia="仿宋"/>
          <w:sz w:val="28"/>
          <w:szCs w:val="28"/>
        </w:rPr>
        <w:t>抢险救援</w:t>
      </w:r>
      <w:r>
        <w:rPr>
          <w:rFonts w:eastAsia="仿宋"/>
          <w:sz w:val="28"/>
          <w:szCs w:val="28"/>
        </w:rPr>
        <w:t>组、医疗救护组、疏散监测组组成。能在事故发生后迅速准确、有条不紊的处理事故，尽可能减小事故造成的损失，平时定期进行培训及演练。</w:t>
      </w:r>
    </w:p>
    <w:p w14:paraId="43FA6AFB">
      <w:pPr>
        <w:spacing w:line="360" w:lineRule="auto"/>
        <w:outlineLvl w:val="1"/>
        <w:rPr>
          <w:rFonts w:eastAsia="黑体"/>
          <w:bCs/>
          <w:sz w:val="28"/>
          <w:szCs w:val="32"/>
        </w:rPr>
      </w:pPr>
      <w:bookmarkStart w:id="68" w:name="_Toc165395091"/>
      <w:r>
        <w:rPr>
          <w:rFonts w:eastAsia="黑体"/>
          <w:bCs/>
          <w:sz w:val="28"/>
          <w:szCs w:val="32"/>
        </w:rPr>
        <w:t>9.3应急物资装备保障</w:t>
      </w:r>
      <w:bookmarkEnd w:id="68"/>
    </w:p>
    <w:p w14:paraId="7148E7A9">
      <w:pPr>
        <w:spacing w:line="360" w:lineRule="auto"/>
        <w:ind w:firstLine="560" w:firstLineChars="200"/>
        <w:rPr>
          <w:rFonts w:eastAsia="仿宋"/>
          <w:sz w:val="28"/>
          <w:szCs w:val="28"/>
        </w:rPr>
      </w:pPr>
      <w:r>
        <w:rPr>
          <w:rFonts w:eastAsia="仿宋"/>
          <w:sz w:val="28"/>
          <w:szCs w:val="28"/>
        </w:rPr>
        <w:t>各应急救援小组根据其救援职责，配备必要的应急救援装备。保证应急资源物资及时合理地调配与高效使用。</w:t>
      </w:r>
    </w:p>
    <w:p w14:paraId="673D9C0E">
      <w:pPr>
        <w:spacing w:line="360" w:lineRule="auto"/>
        <w:ind w:firstLine="560" w:firstLineChars="200"/>
        <w:rPr>
          <w:rFonts w:eastAsia="仿宋"/>
          <w:sz w:val="28"/>
          <w:szCs w:val="28"/>
        </w:rPr>
      </w:pPr>
      <w:r>
        <w:rPr>
          <w:rFonts w:eastAsia="仿宋"/>
          <w:sz w:val="28"/>
          <w:szCs w:val="28"/>
        </w:rPr>
        <w:t>加油站建立应急救援设备、设施、防护器材、救治药品和医疗器械等储备制度，储备必要的应急物资和装备。</w:t>
      </w:r>
    </w:p>
    <w:p w14:paraId="18AF2DAE">
      <w:pPr>
        <w:spacing w:line="360" w:lineRule="auto"/>
        <w:ind w:firstLine="560" w:firstLineChars="200"/>
        <w:rPr>
          <w:rFonts w:eastAsia="仿宋"/>
          <w:sz w:val="28"/>
          <w:szCs w:val="28"/>
        </w:rPr>
      </w:pPr>
      <w:r>
        <w:rPr>
          <w:rFonts w:eastAsia="仿宋"/>
          <w:sz w:val="28"/>
          <w:szCs w:val="28"/>
        </w:rPr>
        <w:t>站房内配备急救箱，急救箱中的物品只能在出现紧急事故的情况下使用。应急物资负责人每月对消防设施、应急设施做一次检查，确保各类消防设施都处于可用状态。</w:t>
      </w:r>
    </w:p>
    <w:p w14:paraId="1866189D">
      <w:pPr>
        <w:spacing w:line="360" w:lineRule="auto"/>
        <w:ind w:firstLine="560" w:firstLineChars="200"/>
        <w:rPr>
          <w:rFonts w:eastAsia="仿宋"/>
          <w:sz w:val="28"/>
          <w:szCs w:val="28"/>
        </w:rPr>
      </w:pPr>
      <w:r>
        <w:rPr>
          <w:rFonts w:eastAsia="仿宋"/>
          <w:sz w:val="28"/>
          <w:szCs w:val="28"/>
        </w:rPr>
        <w:t>本加油站的应急物质装备情况详见《中国石化销售股份有限公司天津石油分公司</w:t>
      </w:r>
      <w:r>
        <w:rPr>
          <w:rFonts w:hint="eastAsia" w:eastAsia="仿宋"/>
          <w:sz w:val="28"/>
          <w:szCs w:val="28"/>
        </w:rPr>
        <w:t>津南</w:t>
      </w:r>
      <w:r>
        <w:rPr>
          <w:rFonts w:hint="eastAsia" w:eastAsia="仿宋"/>
          <w:sz w:val="28"/>
          <w:szCs w:val="28"/>
          <w:lang w:eastAsia="zh-CN"/>
        </w:rPr>
        <w:t>水利</w:t>
      </w:r>
      <w:r>
        <w:rPr>
          <w:rFonts w:eastAsia="仿宋"/>
          <w:sz w:val="28"/>
          <w:szCs w:val="28"/>
        </w:rPr>
        <w:t>加油站环境应急资源调查报告》。</w:t>
      </w:r>
    </w:p>
    <w:p w14:paraId="73A441F3">
      <w:pPr>
        <w:spacing w:line="360" w:lineRule="auto"/>
        <w:outlineLvl w:val="1"/>
        <w:rPr>
          <w:rFonts w:eastAsia="黑体"/>
          <w:bCs/>
          <w:sz w:val="28"/>
          <w:szCs w:val="32"/>
        </w:rPr>
      </w:pPr>
      <w:bookmarkStart w:id="69" w:name="_Toc165395092"/>
      <w:r>
        <w:rPr>
          <w:rFonts w:eastAsia="黑体"/>
          <w:bCs/>
          <w:sz w:val="28"/>
          <w:szCs w:val="32"/>
        </w:rPr>
        <w:t>9.4经费及其他保障</w:t>
      </w:r>
      <w:bookmarkEnd w:id="69"/>
    </w:p>
    <w:p w14:paraId="42AECE83">
      <w:pPr>
        <w:spacing w:line="360" w:lineRule="auto"/>
        <w:ind w:firstLine="560" w:firstLineChars="200"/>
        <w:rPr>
          <w:rFonts w:eastAsia="仿宋"/>
          <w:sz w:val="28"/>
          <w:szCs w:val="28"/>
        </w:rPr>
      </w:pPr>
      <w:r>
        <w:rPr>
          <w:rFonts w:eastAsia="仿宋"/>
          <w:sz w:val="28"/>
          <w:szCs w:val="28"/>
        </w:rPr>
        <w:t>处置突发环境事故所需工作经费列入加油站财政预算，由财务部门按照国家经费要求落实。主要包括体系建设、日常运行、专家队伍建设、救援演练、事故紧急救援装备等费用。</w:t>
      </w:r>
    </w:p>
    <w:p w14:paraId="766E46A4">
      <w:pPr>
        <w:spacing w:line="360" w:lineRule="auto"/>
        <w:ind w:firstLine="560" w:firstLineChars="200"/>
        <w:rPr>
          <w:rFonts w:eastAsia="仿宋"/>
          <w:sz w:val="28"/>
          <w:szCs w:val="28"/>
        </w:rPr>
      </w:pPr>
      <w:r>
        <w:rPr>
          <w:rFonts w:eastAsia="仿宋"/>
          <w:sz w:val="28"/>
          <w:szCs w:val="28"/>
        </w:rPr>
        <w:t>加油站在发生事故时，要紧密配合、全力支持事故应急救援，在人力、技术和后勤等方面实行统一调度。同时，根据职责分工，积极开展演练、物资储备，为应急救援提供交通运输保障、治安保障、技术保障、医疗保障、后勤保障等。</w:t>
      </w:r>
    </w:p>
    <w:p w14:paraId="52D50634">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29980C65">
      <w:pPr>
        <w:pStyle w:val="2"/>
      </w:pPr>
      <w:bookmarkStart w:id="70" w:name="_Toc165395093"/>
      <w:r>
        <w:t>10应急培训与演练</w:t>
      </w:r>
      <w:bookmarkEnd w:id="70"/>
    </w:p>
    <w:p w14:paraId="537A68F4">
      <w:pPr>
        <w:spacing w:line="360" w:lineRule="auto"/>
        <w:outlineLvl w:val="1"/>
        <w:rPr>
          <w:rFonts w:eastAsia="黑体"/>
          <w:bCs/>
          <w:sz w:val="28"/>
          <w:szCs w:val="32"/>
        </w:rPr>
      </w:pPr>
      <w:bookmarkStart w:id="71" w:name="_Toc165395094"/>
      <w:r>
        <w:rPr>
          <w:rFonts w:eastAsia="黑体"/>
          <w:bCs/>
          <w:sz w:val="28"/>
          <w:szCs w:val="32"/>
        </w:rPr>
        <w:t>10.1应急培训</w:t>
      </w:r>
      <w:bookmarkEnd w:id="71"/>
    </w:p>
    <w:p w14:paraId="470C5EA3">
      <w:pPr>
        <w:spacing w:line="360" w:lineRule="auto"/>
        <w:ind w:firstLine="560" w:firstLineChars="200"/>
        <w:rPr>
          <w:rFonts w:eastAsia="仿宋"/>
          <w:sz w:val="28"/>
          <w:szCs w:val="28"/>
        </w:rPr>
      </w:pPr>
      <w:r>
        <w:rPr>
          <w:rFonts w:eastAsia="仿宋"/>
          <w:sz w:val="28"/>
          <w:szCs w:val="28"/>
        </w:rPr>
        <w:t>应急总指挥应每年参加天津市安监局组织的主要负责人安全管理培训并取得合格证。</w:t>
      </w:r>
    </w:p>
    <w:p w14:paraId="7A4D5764">
      <w:pPr>
        <w:spacing w:line="360" w:lineRule="auto"/>
        <w:ind w:firstLine="560" w:firstLineChars="200"/>
        <w:rPr>
          <w:rFonts w:eastAsia="仿宋"/>
          <w:sz w:val="28"/>
          <w:szCs w:val="28"/>
        </w:rPr>
      </w:pPr>
      <w:r>
        <w:rPr>
          <w:rFonts w:eastAsia="仿宋"/>
          <w:sz w:val="28"/>
          <w:szCs w:val="28"/>
        </w:rPr>
        <w:t>（1）应急救援人员的培训：</w:t>
      </w:r>
    </w:p>
    <w:p w14:paraId="5B1ED93A">
      <w:pPr>
        <w:spacing w:line="360" w:lineRule="auto"/>
        <w:ind w:firstLine="560" w:firstLineChars="200"/>
        <w:rPr>
          <w:rFonts w:eastAsia="仿宋"/>
          <w:sz w:val="28"/>
          <w:szCs w:val="28"/>
        </w:rPr>
      </w:pPr>
      <w:r>
        <w:rPr>
          <w:rFonts w:eastAsia="仿宋"/>
          <w:sz w:val="28"/>
          <w:szCs w:val="28"/>
        </w:rPr>
        <w:t>应急救援全体成员参加每年一次的突发环境事件应急救援预案知识培训，每年一次且总培训时间不少16小时。要求全体成员能够掌握以下内容：掌握应急救援预案，事故时按照预案有条不紊地组织应急救援；针对公司实际情况，熟悉如何有效地控制事故，避免事故失控和扩大化；学会使用应急救援设备和防护装备；明确各自救援职责。</w:t>
      </w:r>
    </w:p>
    <w:p w14:paraId="53A78B37">
      <w:pPr>
        <w:spacing w:line="360" w:lineRule="auto"/>
        <w:ind w:firstLine="560" w:firstLineChars="200"/>
        <w:rPr>
          <w:rFonts w:eastAsia="仿宋"/>
          <w:sz w:val="28"/>
          <w:szCs w:val="28"/>
        </w:rPr>
      </w:pPr>
      <w:r>
        <w:rPr>
          <w:rFonts w:eastAsia="仿宋"/>
          <w:sz w:val="28"/>
          <w:szCs w:val="28"/>
        </w:rPr>
        <w:t>（2）员工应急响应的培训</w:t>
      </w:r>
    </w:p>
    <w:p w14:paraId="3C5C8EDD">
      <w:pPr>
        <w:spacing w:line="360" w:lineRule="auto"/>
        <w:ind w:firstLine="560" w:firstLineChars="200"/>
        <w:rPr>
          <w:rFonts w:eastAsia="仿宋"/>
          <w:sz w:val="28"/>
          <w:szCs w:val="28"/>
        </w:rPr>
      </w:pPr>
      <w:r>
        <w:rPr>
          <w:rFonts w:eastAsia="仿宋"/>
          <w:sz w:val="28"/>
          <w:szCs w:val="28"/>
        </w:rPr>
        <w:t>定期对所有员工进行应急知识的培训。新员工入职时应针对可能发生的事故进行应急知识（主要包括应急程序、注意事项、逃生路线、集合地点等）的培训。应急培训可以采用内部培训必要时也可以聘请专家或组织人员参加外委培训，培训后应进行考核，并按加油站相关规定记录。</w:t>
      </w:r>
    </w:p>
    <w:p w14:paraId="54E7227D">
      <w:pPr>
        <w:spacing w:line="360" w:lineRule="auto"/>
        <w:ind w:firstLine="560" w:firstLineChars="200"/>
        <w:rPr>
          <w:rFonts w:eastAsia="仿宋"/>
          <w:sz w:val="28"/>
          <w:szCs w:val="28"/>
        </w:rPr>
      </w:pPr>
      <w:r>
        <w:rPr>
          <w:rFonts w:eastAsia="仿宋"/>
          <w:sz w:val="28"/>
          <w:szCs w:val="28"/>
        </w:rPr>
        <w:t>应急培训可以采用内部培训必要时也可以聘请专家或组织人员参加外委培训，培训后应进行考核，并按加油站相关规定记录。</w:t>
      </w:r>
    </w:p>
    <w:p w14:paraId="2BBD0904">
      <w:pPr>
        <w:spacing w:line="360" w:lineRule="auto"/>
        <w:outlineLvl w:val="1"/>
        <w:rPr>
          <w:rFonts w:eastAsia="黑体"/>
          <w:bCs/>
          <w:sz w:val="28"/>
          <w:szCs w:val="32"/>
        </w:rPr>
      </w:pPr>
      <w:bookmarkStart w:id="72" w:name="_Toc165395095"/>
      <w:r>
        <w:rPr>
          <w:rFonts w:eastAsia="黑体"/>
          <w:bCs/>
          <w:sz w:val="28"/>
          <w:szCs w:val="32"/>
        </w:rPr>
        <w:t>10.2演练</w:t>
      </w:r>
      <w:bookmarkEnd w:id="72"/>
    </w:p>
    <w:p w14:paraId="62DACDCF">
      <w:pPr>
        <w:spacing w:line="360" w:lineRule="auto"/>
        <w:ind w:firstLine="560" w:firstLineChars="200"/>
        <w:rPr>
          <w:rFonts w:eastAsia="仿宋"/>
          <w:sz w:val="28"/>
          <w:szCs w:val="28"/>
        </w:rPr>
      </w:pPr>
      <w:r>
        <w:rPr>
          <w:rFonts w:eastAsia="仿宋"/>
          <w:sz w:val="28"/>
          <w:szCs w:val="28"/>
        </w:rPr>
        <w:t>加油站每年至少组织一次突发环境事故应急救援演习，小范围的演练以及专项演练根据实际情况合理安排时间进行。通过演练，锻炼和提高相关人员在突发事故情况下的快速抢险救援，及时营救伤员、正确指导和帮助员工防护和撤离、有效消除危害后果、提高现场急救和伤员转送等应急救援技能和应急反应综合素质、有效降低事故危害，减少事故损失。定期进行演练，使应急人员更清晰地明确各自的职责和工作程序，提高协同作战的能力，保证应急救援工作的有效、迅速地开展。</w:t>
      </w:r>
    </w:p>
    <w:p w14:paraId="039238E1">
      <w:pPr>
        <w:spacing w:line="360" w:lineRule="auto"/>
        <w:ind w:firstLine="560" w:firstLineChars="200"/>
        <w:rPr>
          <w:rFonts w:eastAsia="仿宋"/>
          <w:sz w:val="28"/>
          <w:szCs w:val="28"/>
        </w:rPr>
      </w:pPr>
      <w:r>
        <w:rPr>
          <w:rFonts w:eastAsia="仿宋"/>
          <w:sz w:val="28"/>
          <w:szCs w:val="28"/>
        </w:rPr>
        <w:t>演练前制定周密的演习计划与程序，检查演习所需的器材、工具，落实安全防护措施，对参加演习的人员进行安全教育。</w:t>
      </w:r>
    </w:p>
    <w:p w14:paraId="3076EFBA">
      <w:pPr>
        <w:spacing w:line="360" w:lineRule="auto"/>
        <w:ind w:firstLine="560" w:firstLineChars="200"/>
        <w:rPr>
          <w:rFonts w:eastAsia="仿宋"/>
          <w:sz w:val="28"/>
          <w:szCs w:val="28"/>
        </w:rPr>
      </w:pPr>
      <w:r>
        <w:rPr>
          <w:rFonts w:eastAsia="仿宋"/>
          <w:sz w:val="28"/>
          <w:szCs w:val="28"/>
        </w:rPr>
        <w:t>演练结束后，由应急指挥部对演练的效果进行分析评估，总结演练时各部门应急反应能力及演习效果，解决演练中暴露的问题。演练过程、评估结果和问题整改结果要以文字形式记录并保存。</w:t>
      </w:r>
    </w:p>
    <w:p w14:paraId="403DFCC7">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75BCB3DF">
      <w:pPr>
        <w:pStyle w:val="2"/>
      </w:pPr>
      <w:bookmarkStart w:id="73" w:name="_Toc165395096"/>
      <w:r>
        <w:t>11奖惩</w:t>
      </w:r>
      <w:bookmarkEnd w:id="73"/>
    </w:p>
    <w:p w14:paraId="287E44F3">
      <w:pPr>
        <w:spacing w:line="360" w:lineRule="auto"/>
        <w:ind w:firstLine="560" w:firstLineChars="200"/>
        <w:rPr>
          <w:rFonts w:eastAsia="仿宋"/>
          <w:sz w:val="28"/>
          <w:szCs w:val="28"/>
        </w:rPr>
      </w:pPr>
      <w:r>
        <w:rPr>
          <w:rFonts w:eastAsia="仿宋"/>
          <w:sz w:val="28"/>
          <w:szCs w:val="28"/>
        </w:rPr>
        <w:t>对于在突发环境应急救援或演练工作中出色完成应急处置任务，防止或抢救事故有功，对应急救援工作提出重大建议，实施效果显著的部门和个人，依据有关规定由加油站给予奖励。</w:t>
      </w:r>
    </w:p>
    <w:p w14:paraId="1A1A055D">
      <w:pPr>
        <w:spacing w:line="360" w:lineRule="auto"/>
        <w:ind w:firstLine="560" w:firstLineChars="200"/>
        <w:rPr>
          <w:rFonts w:eastAsia="仿宋"/>
          <w:sz w:val="28"/>
          <w:szCs w:val="28"/>
        </w:rPr>
      </w:pPr>
      <w:r>
        <w:rPr>
          <w:rFonts w:eastAsia="仿宋"/>
          <w:sz w:val="28"/>
          <w:szCs w:val="28"/>
        </w:rPr>
        <w:t>对于在应急处置过程中渎职不作为的；拒绝履行应急救援义务，从而造成事故及损失扩大，后果严重的；应急状态下不服从命令和指挥，严重干扰和影响应急工作的；严重影响事故应急救援工作实施的其他行为等，依据相关规定追究责任及相关纪律处分。</w:t>
      </w:r>
    </w:p>
    <w:p w14:paraId="36FB3C63">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5C92A638">
      <w:pPr>
        <w:pStyle w:val="2"/>
      </w:pPr>
      <w:bookmarkStart w:id="74" w:name="_Toc165395097"/>
      <w:r>
        <w:t>12预案的评审、发布和更新</w:t>
      </w:r>
      <w:bookmarkEnd w:id="74"/>
    </w:p>
    <w:p w14:paraId="322A6DA7">
      <w:pPr>
        <w:spacing w:line="360" w:lineRule="auto"/>
        <w:outlineLvl w:val="1"/>
        <w:rPr>
          <w:rFonts w:eastAsia="黑体"/>
          <w:bCs/>
          <w:sz w:val="28"/>
          <w:szCs w:val="32"/>
        </w:rPr>
      </w:pPr>
      <w:bookmarkStart w:id="75" w:name="_Toc165395098"/>
      <w:r>
        <w:rPr>
          <w:rFonts w:eastAsia="黑体"/>
          <w:bCs/>
          <w:sz w:val="28"/>
          <w:szCs w:val="32"/>
        </w:rPr>
        <w:t>12.1预案的评审</w:t>
      </w:r>
      <w:bookmarkEnd w:id="75"/>
    </w:p>
    <w:p w14:paraId="6B03D5C0">
      <w:pPr>
        <w:spacing w:line="360" w:lineRule="auto"/>
        <w:ind w:firstLine="560" w:firstLineChars="200"/>
        <w:rPr>
          <w:rFonts w:eastAsia="仿宋"/>
          <w:sz w:val="28"/>
          <w:szCs w:val="28"/>
        </w:rPr>
      </w:pPr>
      <w:r>
        <w:rPr>
          <w:rFonts w:eastAsia="仿宋"/>
          <w:sz w:val="28"/>
          <w:szCs w:val="28"/>
        </w:rPr>
        <w:t>内部评审：应急预案草案编制完成后，应急总指挥组织各应急小组的组长对应急预案草案进行内部评审，针对应急保障措施的可行性、应急分工是否明确、合理等方面进行讨论，对不合理的地方进行修改。</w:t>
      </w:r>
    </w:p>
    <w:p w14:paraId="4C77F9ED">
      <w:pPr>
        <w:spacing w:line="360" w:lineRule="auto"/>
        <w:ind w:firstLine="560" w:firstLineChars="200"/>
        <w:rPr>
          <w:rFonts w:eastAsia="仿宋"/>
          <w:sz w:val="28"/>
          <w:szCs w:val="28"/>
        </w:rPr>
      </w:pPr>
      <w:r>
        <w:rPr>
          <w:rFonts w:eastAsia="仿宋"/>
          <w:sz w:val="28"/>
          <w:szCs w:val="28"/>
        </w:rPr>
        <w:t>外部评审：应急预案草案经内部评审后，邀请环境应急专家组成应急预案评估小组对应急预案草案进行评估。环境应急预案评估小组重点评估了环境应急预案的实用性、基本要素的完整性、内容格式的规范性、应急保障措施的可行性以及与其他相关预案的衔接性等内容。应急预案编制人员根据评估结果，对应急预案草案进行修改。</w:t>
      </w:r>
    </w:p>
    <w:p w14:paraId="6DEF4A00">
      <w:pPr>
        <w:spacing w:line="360" w:lineRule="auto"/>
        <w:outlineLvl w:val="1"/>
        <w:rPr>
          <w:rFonts w:eastAsia="黑体"/>
          <w:bCs/>
          <w:sz w:val="28"/>
          <w:szCs w:val="32"/>
        </w:rPr>
      </w:pPr>
      <w:bookmarkStart w:id="76" w:name="_Toc165395099"/>
      <w:r>
        <w:rPr>
          <w:rFonts w:eastAsia="黑体"/>
          <w:bCs/>
          <w:sz w:val="28"/>
          <w:szCs w:val="32"/>
        </w:rPr>
        <w:t>12.2预案的发布及更新</w:t>
      </w:r>
      <w:bookmarkEnd w:id="76"/>
    </w:p>
    <w:p w14:paraId="3EC20C2D">
      <w:pPr>
        <w:spacing w:line="360" w:lineRule="auto"/>
        <w:ind w:firstLine="560" w:firstLineChars="200"/>
        <w:rPr>
          <w:rFonts w:eastAsia="仿宋"/>
          <w:sz w:val="28"/>
          <w:szCs w:val="28"/>
        </w:rPr>
      </w:pPr>
      <w:r>
        <w:rPr>
          <w:rFonts w:eastAsia="仿宋"/>
          <w:sz w:val="28"/>
          <w:szCs w:val="28"/>
        </w:rPr>
        <w:t>本预案发布之日起实施生效，加油站总负责人进行本预案的管理工作，加油站内启动应急救援预案或进行演练后，应急总指挥负责对救援情况和演练效果进行评价，提出修订意见，经加油站总负责人批准后及时修订本预案。</w:t>
      </w:r>
    </w:p>
    <w:p w14:paraId="6D4642A9">
      <w:pPr>
        <w:spacing w:line="360" w:lineRule="auto"/>
        <w:ind w:firstLine="560" w:firstLineChars="200"/>
        <w:rPr>
          <w:rFonts w:eastAsia="仿宋"/>
          <w:sz w:val="28"/>
          <w:szCs w:val="28"/>
        </w:rPr>
      </w:pPr>
      <w:r>
        <w:rPr>
          <w:rFonts w:eastAsia="仿宋"/>
          <w:sz w:val="28"/>
          <w:szCs w:val="28"/>
        </w:rPr>
        <w:t>公司环境事故应急预案每三年至少修订一次；有下列情形之一的，公司环境事故应急预案应当及时进行修订：</w:t>
      </w:r>
    </w:p>
    <w:p w14:paraId="4C89DB5A">
      <w:pPr>
        <w:spacing w:line="360" w:lineRule="auto"/>
        <w:ind w:firstLine="560" w:firstLineChars="200"/>
        <w:rPr>
          <w:rFonts w:eastAsia="仿宋"/>
          <w:sz w:val="28"/>
          <w:szCs w:val="28"/>
        </w:rPr>
      </w:pPr>
      <w:r>
        <w:rPr>
          <w:rFonts w:eastAsia="仿宋"/>
          <w:sz w:val="28"/>
          <w:szCs w:val="28"/>
        </w:rPr>
        <w:t>（一）面临的环境风险发生重大变化，需要重新进行环境风险评估的；</w:t>
      </w:r>
    </w:p>
    <w:p w14:paraId="41B6CB23">
      <w:pPr>
        <w:spacing w:line="360" w:lineRule="auto"/>
        <w:ind w:firstLine="560" w:firstLineChars="200"/>
        <w:rPr>
          <w:rFonts w:eastAsia="仿宋"/>
          <w:sz w:val="28"/>
          <w:szCs w:val="28"/>
        </w:rPr>
      </w:pPr>
      <w:r>
        <w:rPr>
          <w:rFonts w:eastAsia="仿宋"/>
          <w:sz w:val="28"/>
          <w:szCs w:val="28"/>
        </w:rPr>
        <w:t>（二）应急管理组织指挥体系与职责发生重大变化的；</w:t>
      </w:r>
    </w:p>
    <w:p w14:paraId="7AD6DF84">
      <w:pPr>
        <w:spacing w:line="360" w:lineRule="auto"/>
        <w:ind w:firstLine="560" w:firstLineChars="200"/>
        <w:rPr>
          <w:rFonts w:eastAsia="仿宋"/>
          <w:sz w:val="28"/>
          <w:szCs w:val="28"/>
        </w:rPr>
      </w:pPr>
      <w:r>
        <w:rPr>
          <w:rFonts w:eastAsia="仿宋"/>
          <w:sz w:val="28"/>
          <w:szCs w:val="28"/>
        </w:rPr>
        <w:t>（三）环境应急监测预警及报告机制、应对流程和措施、应急保障措施发生重大变化的；</w:t>
      </w:r>
    </w:p>
    <w:p w14:paraId="26F283F6">
      <w:pPr>
        <w:spacing w:line="360" w:lineRule="auto"/>
        <w:ind w:firstLine="560" w:firstLineChars="200"/>
        <w:rPr>
          <w:rFonts w:eastAsia="仿宋"/>
          <w:sz w:val="28"/>
          <w:szCs w:val="28"/>
        </w:rPr>
      </w:pPr>
      <w:r>
        <w:rPr>
          <w:rFonts w:eastAsia="仿宋"/>
          <w:sz w:val="28"/>
          <w:szCs w:val="28"/>
        </w:rPr>
        <w:t>（四）重要应急资源发生重大变化的；</w:t>
      </w:r>
    </w:p>
    <w:p w14:paraId="0A9A0A0A">
      <w:pPr>
        <w:spacing w:line="360" w:lineRule="auto"/>
        <w:ind w:firstLine="560" w:firstLineChars="200"/>
        <w:rPr>
          <w:rFonts w:eastAsia="仿宋"/>
          <w:sz w:val="28"/>
          <w:szCs w:val="28"/>
        </w:rPr>
      </w:pPr>
      <w:r>
        <w:rPr>
          <w:rFonts w:eastAsia="仿宋"/>
          <w:sz w:val="28"/>
          <w:szCs w:val="28"/>
        </w:rPr>
        <w:t>（五）在突发事件实际应对和应急演练中发现问题，需要对环境应急预案作出重大调整的；</w:t>
      </w:r>
    </w:p>
    <w:p w14:paraId="0C0C3C53">
      <w:pPr>
        <w:spacing w:line="360" w:lineRule="auto"/>
        <w:ind w:firstLine="560" w:firstLineChars="200"/>
        <w:rPr>
          <w:rFonts w:eastAsia="仿宋"/>
          <w:sz w:val="28"/>
          <w:szCs w:val="28"/>
        </w:rPr>
      </w:pPr>
      <w:r>
        <w:rPr>
          <w:rFonts w:eastAsia="仿宋"/>
          <w:sz w:val="28"/>
          <w:szCs w:val="28"/>
        </w:rPr>
        <w:t>（六）其他需要修订的情况。</w:t>
      </w:r>
    </w:p>
    <w:p w14:paraId="23C70B96">
      <w:pPr>
        <w:spacing w:line="360" w:lineRule="auto"/>
        <w:ind w:firstLine="560" w:firstLineChars="200"/>
        <w:rPr>
          <w:rFonts w:eastAsia="仿宋"/>
          <w:sz w:val="28"/>
          <w:szCs w:val="28"/>
        </w:rPr>
      </w:pPr>
      <w:r>
        <w:rPr>
          <w:rFonts w:eastAsia="仿宋"/>
          <w:sz w:val="28"/>
          <w:szCs w:val="28"/>
        </w:rPr>
        <w:t>对环境应急预案进行重大修订的，修订工作参照环境应急预案制定步骤进行。对环境应急预案个别内容进行调整的，修订工作可适当简化。</w:t>
      </w:r>
    </w:p>
    <w:p w14:paraId="1A911746">
      <w:pPr>
        <w:spacing w:line="360" w:lineRule="auto"/>
        <w:ind w:firstLine="560" w:firstLineChars="200"/>
        <w:rPr>
          <w:rFonts w:eastAsia="仿宋"/>
          <w:sz w:val="28"/>
          <w:szCs w:val="28"/>
        </w:rPr>
      </w:pPr>
      <w:r>
        <w:rPr>
          <w:rFonts w:eastAsia="仿宋"/>
          <w:sz w:val="28"/>
          <w:szCs w:val="28"/>
        </w:rPr>
        <w:t>企业应当在环境事故应急预案修订</w:t>
      </w:r>
      <w:r>
        <w:rPr>
          <w:rFonts w:hint="eastAsia" w:eastAsia="仿宋"/>
          <w:sz w:val="28"/>
          <w:szCs w:val="28"/>
        </w:rPr>
        <w:t>并发布</w:t>
      </w:r>
      <w:r>
        <w:rPr>
          <w:rFonts w:eastAsia="仿宋"/>
          <w:sz w:val="28"/>
          <w:szCs w:val="28"/>
        </w:rPr>
        <w:t>后20个工作日内报</w:t>
      </w:r>
      <w:r>
        <w:rPr>
          <w:rFonts w:hint="eastAsia" w:eastAsia="仿宋"/>
          <w:sz w:val="28"/>
          <w:szCs w:val="28"/>
        </w:rPr>
        <w:t>环保管理部门</w:t>
      </w:r>
      <w:r>
        <w:rPr>
          <w:rFonts w:eastAsia="仿宋"/>
          <w:sz w:val="28"/>
          <w:szCs w:val="28"/>
        </w:rPr>
        <w:t>备案。</w:t>
      </w:r>
    </w:p>
    <w:p w14:paraId="6291E790">
      <w:pPr>
        <w:spacing w:line="360" w:lineRule="auto"/>
        <w:outlineLvl w:val="1"/>
        <w:rPr>
          <w:rFonts w:eastAsia="黑体"/>
          <w:bCs/>
          <w:sz w:val="28"/>
          <w:szCs w:val="32"/>
        </w:rPr>
      </w:pPr>
      <w:bookmarkStart w:id="77" w:name="_Toc165395100"/>
      <w:r>
        <w:rPr>
          <w:rFonts w:eastAsia="黑体"/>
          <w:bCs/>
          <w:sz w:val="28"/>
          <w:szCs w:val="32"/>
        </w:rPr>
        <w:t>12.3预案实施和生效日期</w:t>
      </w:r>
      <w:bookmarkEnd w:id="77"/>
    </w:p>
    <w:p w14:paraId="7DD66135">
      <w:pPr>
        <w:spacing w:line="360" w:lineRule="auto"/>
        <w:ind w:firstLine="560" w:firstLineChars="200"/>
        <w:rPr>
          <w:rFonts w:eastAsia="仿宋"/>
          <w:sz w:val="28"/>
          <w:szCs w:val="28"/>
        </w:rPr>
      </w:pPr>
      <w:r>
        <w:rPr>
          <w:rFonts w:eastAsia="仿宋"/>
          <w:sz w:val="28"/>
          <w:szCs w:val="28"/>
        </w:rPr>
        <w:t>本预案自印发之日起实施生效。</w:t>
      </w:r>
    </w:p>
    <w:p w14:paraId="3D392ACC">
      <w:pPr>
        <w:pStyle w:val="22"/>
        <w:rPr>
          <w:rFonts w:hint="eastAsia"/>
        </w:rPr>
      </w:pPr>
    </w:p>
    <w:p w14:paraId="0245B001">
      <w:pPr>
        <w:pStyle w:val="22"/>
        <w:rPr>
          <w:rFonts w:hint="eastAsia"/>
        </w:rPr>
      </w:pPr>
    </w:p>
    <w:p w14:paraId="5433B52B">
      <w:pPr>
        <w:pStyle w:val="22"/>
        <w:rPr>
          <w:rFonts w:hint="eastAsia"/>
        </w:rPr>
      </w:pPr>
    </w:p>
    <w:p w14:paraId="4D6F56AB">
      <w:pPr>
        <w:pStyle w:val="22"/>
        <w:rPr>
          <w:rFonts w:hint="eastAsia"/>
        </w:rPr>
        <w:sectPr>
          <w:pgSz w:w="11907" w:h="16839"/>
          <w:pgMar w:top="1440" w:right="1800" w:bottom="1440" w:left="1800" w:header="907" w:footer="720" w:gutter="0"/>
          <w:cols w:space="720" w:num="1"/>
          <w:docGrid w:linePitch="286" w:charSpace="0"/>
        </w:sectPr>
      </w:pPr>
    </w:p>
    <w:p w14:paraId="4F585976">
      <w:pPr>
        <w:pStyle w:val="2"/>
      </w:pPr>
      <w:bookmarkStart w:id="78" w:name="_Toc165395101"/>
      <w:r>
        <w:t>13</w:t>
      </w:r>
      <w:r>
        <w:rPr>
          <w:rFonts w:hint="eastAsia"/>
        </w:rPr>
        <w:t>附图附件</w:t>
      </w:r>
      <w:bookmarkEnd w:id="78"/>
    </w:p>
    <w:bookmarkEnd w:id="3"/>
    <w:bookmarkEnd w:id="4"/>
    <w:bookmarkEnd w:id="34"/>
    <w:bookmarkEnd w:id="35"/>
    <w:bookmarkEnd w:id="36"/>
    <w:p w14:paraId="45838BE6">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附图：</w:t>
      </w:r>
    </w:p>
    <w:p w14:paraId="330286D3">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附图1 地理位置图</w:t>
      </w:r>
    </w:p>
    <w:p w14:paraId="651C67EC">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附图2 周边环境图</w:t>
      </w:r>
    </w:p>
    <w:p w14:paraId="075ED432">
      <w:pPr>
        <w:pStyle w:val="40"/>
        <w:spacing w:line="360" w:lineRule="auto"/>
        <w:ind w:firstLine="560"/>
        <w:rPr>
          <w:rFonts w:hint="eastAsia" w:ascii="仿宋" w:hAnsi="仿宋" w:eastAsia="仿宋"/>
          <w:sz w:val="28"/>
          <w:szCs w:val="28"/>
        </w:rPr>
      </w:pPr>
      <w:r>
        <w:rPr>
          <w:rFonts w:hint="eastAsia" w:ascii="仿宋" w:hAnsi="仿宋" w:eastAsia="仿宋"/>
          <w:sz w:val="28"/>
          <w:szCs w:val="28"/>
        </w:rPr>
        <w:t>附图3 平面布置及应急疏散图</w:t>
      </w:r>
    </w:p>
    <w:p w14:paraId="116DB0F6">
      <w:pPr>
        <w:pStyle w:val="40"/>
        <w:spacing w:line="360" w:lineRule="auto"/>
        <w:ind w:firstLine="560"/>
        <w:rPr>
          <w:rFonts w:hint="eastAsia" w:ascii="仿宋" w:hAnsi="仿宋" w:eastAsia="仿宋"/>
          <w:sz w:val="28"/>
          <w:szCs w:val="28"/>
        </w:rPr>
      </w:pPr>
      <w:r>
        <w:rPr>
          <w:rFonts w:hint="eastAsia" w:ascii="仿宋" w:hAnsi="仿宋" w:eastAsia="仿宋"/>
          <w:sz w:val="28"/>
          <w:szCs w:val="28"/>
        </w:rPr>
        <w:t>附图</w:t>
      </w:r>
      <w:r>
        <w:rPr>
          <w:rFonts w:hint="eastAsia" w:ascii="仿宋" w:hAnsi="仿宋" w:eastAsia="仿宋"/>
          <w:sz w:val="28"/>
          <w:szCs w:val="28"/>
          <w:lang w:val="en-US" w:eastAsia="zh-CN"/>
        </w:rPr>
        <w:t>4</w:t>
      </w:r>
      <w:r>
        <w:rPr>
          <w:rFonts w:hint="eastAsia" w:ascii="仿宋" w:hAnsi="仿宋" w:eastAsia="仿宋"/>
          <w:sz w:val="28"/>
          <w:szCs w:val="28"/>
        </w:rPr>
        <w:t xml:space="preserve"> 风险源分布及应急物资示意图</w:t>
      </w:r>
    </w:p>
    <w:p w14:paraId="25F63D8D">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附图</w:t>
      </w:r>
      <w:r>
        <w:rPr>
          <w:rFonts w:hint="eastAsia" w:ascii="仿宋" w:hAnsi="仿宋" w:eastAsia="仿宋"/>
          <w:sz w:val="28"/>
          <w:szCs w:val="28"/>
          <w:lang w:val="en-US" w:eastAsia="zh-CN"/>
        </w:rPr>
        <w:t>5</w:t>
      </w:r>
      <w:r>
        <w:rPr>
          <w:rFonts w:hint="eastAsia" w:ascii="仿宋" w:hAnsi="仿宋" w:eastAsia="仿宋"/>
          <w:sz w:val="28"/>
          <w:szCs w:val="28"/>
        </w:rPr>
        <w:t xml:space="preserve"> 500m范围大气环境风险受体图</w:t>
      </w:r>
    </w:p>
    <w:p w14:paraId="1E0E3DE7">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附图</w:t>
      </w:r>
      <w:r>
        <w:rPr>
          <w:rFonts w:hint="eastAsia" w:ascii="仿宋" w:hAnsi="仿宋" w:eastAsia="仿宋"/>
          <w:sz w:val="28"/>
          <w:szCs w:val="28"/>
          <w:lang w:val="en-US" w:eastAsia="zh-CN"/>
        </w:rPr>
        <w:t>6</w:t>
      </w:r>
      <w:r>
        <w:rPr>
          <w:rFonts w:hint="eastAsia" w:ascii="仿宋" w:hAnsi="仿宋" w:eastAsia="仿宋"/>
          <w:sz w:val="28"/>
          <w:szCs w:val="28"/>
        </w:rPr>
        <w:t xml:space="preserve"> 5km范围大气环境风险受体图</w:t>
      </w:r>
    </w:p>
    <w:p w14:paraId="24C26958">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lang w:val="en-US" w:eastAsia="zh-CN"/>
        </w:rPr>
        <w:t>附图7 津南水利加油站</w:t>
      </w:r>
    </w:p>
    <w:p w14:paraId="71622270">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附图</w:t>
      </w:r>
      <w:r>
        <w:rPr>
          <w:rFonts w:hint="eastAsia" w:ascii="仿宋" w:hAnsi="仿宋" w:eastAsia="仿宋"/>
          <w:sz w:val="28"/>
          <w:szCs w:val="28"/>
          <w:lang w:val="en-US" w:eastAsia="zh-CN"/>
        </w:rPr>
        <w:t xml:space="preserve">8 </w:t>
      </w:r>
      <w:r>
        <w:rPr>
          <w:rFonts w:hint="eastAsia" w:ascii="仿宋" w:hAnsi="仿宋" w:eastAsia="仿宋"/>
          <w:sz w:val="28"/>
          <w:szCs w:val="28"/>
        </w:rPr>
        <w:t>下游10km范围水环境风险受体图</w:t>
      </w:r>
    </w:p>
    <w:p w14:paraId="7FC88A5E">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附件：</w:t>
      </w:r>
    </w:p>
    <w:p w14:paraId="2A07C78B">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附件1 营业执照</w:t>
      </w:r>
    </w:p>
    <w:p w14:paraId="0FC18652">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rPr>
        <w:t>附件2 危化品经营许可</w:t>
      </w:r>
      <w:r>
        <w:rPr>
          <w:rFonts w:hint="eastAsia" w:ascii="仿宋" w:hAnsi="仿宋" w:eastAsia="仿宋"/>
          <w:sz w:val="28"/>
          <w:szCs w:val="28"/>
          <w:lang w:val="en-US" w:eastAsia="zh-CN"/>
        </w:rPr>
        <w:t>证</w:t>
      </w:r>
    </w:p>
    <w:p w14:paraId="60537A91">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附件3成品油零售经营批准证书</w:t>
      </w:r>
    </w:p>
    <w:p w14:paraId="290FDBD7">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rPr>
        <w:t>附件4</w:t>
      </w:r>
      <w:r>
        <w:rPr>
          <w:rFonts w:hint="eastAsia" w:ascii="仿宋" w:hAnsi="仿宋" w:eastAsia="仿宋"/>
          <w:sz w:val="28"/>
          <w:szCs w:val="28"/>
          <w:lang w:val="en-US" w:eastAsia="zh-CN"/>
        </w:rPr>
        <w:t>固定污染源</w:t>
      </w:r>
      <w:r>
        <w:rPr>
          <w:rFonts w:hint="eastAsia" w:ascii="仿宋" w:hAnsi="仿宋" w:eastAsia="仿宋"/>
          <w:sz w:val="28"/>
          <w:szCs w:val="28"/>
        </w:rPr>
        <w:t>排污</w:t>
      </w:r>
      <w:r>
        <w:rPr>
          <w:rFonts w:hint="eastAsia" w:ascii="仿宋" w:hAnsi="仿宋" w:eastAsia="仿宋"/>
          <w:sz w:val="28"/>
          <w:szCs w:val="28"/>
          <w:lang w:val="en-US" w:eastAsia="zh-CN"/>
        </w:rPr>
        <w:t>登记表</w:t>
      </w:r>
    </w:p>
    <w:p w14:paraId="251247F1">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 xml:space="preserve">附件5 </w:t>
      </w:r>
      <w:bookmarkStart w:id="79" w:name="OLE_LINK1"/>
      <w:r>
        <w:rPr>
          <w:rFonts w:hint="eastAsia" w:ascii="仿宋" w:hAnsi="仿宋" w:eastAsia="仿宋"/>
          <w:sz w:val="28"/>
          <w:szCs w:val="28"/>
        </w:rPr>
        <w:t>应急岗位联系表</w:t>
      </w:r>
      <w:bookmarkEnd w:id="79"/>
    </w:p>
    <w:p w14:paraId="55E69EF0">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附件6</w:t>
      </w:r>
      <w:r>
        <w:rPr>
          <w:rFonts w:ascii="仿宋" w:hAnsi="仿宋" w:eastAsia="仿宋"/>
          <w:sz w:val="28"/>
          <w:szCs w:val="28"/>
        </w:rPr>
        <w:t xml:space="preserve"> </w:t>
      </w:r>
      <w:r>
        <w:rPr>
          <w:rFonts w:hint="eastAsia" w:ascii="仿宋" w:hAnsi="仿宋" w:eastAsia="仿宋"/>
          <w:sz w:val="28"/>
          <w:szCs w:val="28"/>
        </w:rPr>
        <w:t>上一版备案表</w:t>
      </w:r>
    </w:p>
    <w:p w14:paraId="29585713">
      <w:pPr>
        <w:spacing w:line="360" w:lineRule="auto"/>
        <w:ind w:firstLine="560" w:firstLineChars="200"/>
        <w:rPr>
          <w:rFonts w:hint="eastAsia" w:ascii="仿宋" w:hAnsi="仿宋" w:eastAsia="仿宋"/>
          <w:sz w:val="28"/>
          <w:szCs w:val="28"/>
          <w:lang w:val="en-US" w:eastAsia="zh-CN"/>
        </w:rPr>
      </w:pPr>
      <w:r>
        <w:rPr>
          <w:rFonts w:hint="eastAsia" w:ascii="仿宋" w:hAnsi="仿宋" w:eastAsia="仿宋"/>
          <w:sz w:val="28"/>
          <w:szCs w:val="28"/>
        </w:rPr>
        <w:t xml:space="preserve">附件7 </w:t>
      </w:r>
      <w:r>
        <w:rPr>
          <w:rFonts w:hint="eastAsia" w:ascii="仿宋" w:hAnsi="仿宋" w:eastAsia="仿宋"/>
          <w:sz w:val="28"/>
          <w:szCs w:val="28"/>
          <w:lang w:val="en-US" w:eastAsia="zh-CN"/>
        </w:rPr>
        <w:t>水利批复</w:t>
      </w:r>
    </w:p>
    <w:p w14:paraId="154BC013">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附件8征求意见表</w:t>
      </w:r>
      <w:r>
        <w:rPr>
          <w:rFonts w:hint="eastAsia" w:ascii="仿宋" w:hAnsi="仿宋" w:eastAsia="仿宋"/>
          <w:sz w:val="28"/>
          <w:szCs w:val="28"/>
          <w:lang w:val="en-US" w:eastAsia="zh-CN"/>
        </w:rPr>
        <w:t>及</w:t>
      </w:r>
      <w:r>
        <w:rPr>
          <w:rFonts w:hint="eastAsia" w:ascii="仿宋" w:hAnsi="仿宋" w:eastAsia="仿宋"/>
          <w:sz w:val="28"/>
          <w:szCs w:val="28"/>
        </w:rPr>
        <w:t>应急演练记录</w:t>
      </w:r>
    </w:p>
    <w:p w14:paraId="32E7984C">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附件9 危废合同</w:t>
      </w:r>
    </w:p>
    <w:p w14:paraId="5A9D82B5">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附件10 应急监测协议</w:t>
      </w:r>
    </w:p>
    <w:sectPr>
      <w:footerReference r:id="rId10" w:type="default"/>
      <w:pgSz w:w="11907" w:h="16839"/>
      <w:pgMar w:top="1418" w:right="1418" w:bottom="1418" w:left="1418" w:header="907" w:footer="56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7F" w:usb3="00000000" w:csb0="003F01FF" w:csb1="0000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2A912">
    <w:pPr>
      <w:pStyle w:val="26"/>
      <w:jc w:val="center"/>
    </w:pPr>
    <w:r>
      <w:fldChar w:fldCharType="begin"/>
    </w:r>
    <w:r>
      <w:instrText xml:space="preserve">PAGE   \* MERGEFORMAT</w:instrText>
    </w:r>
    <w:r>
      <w:fldChar w:fldCharType="separate"/>
    </w:r>
    <w:r>
      <w:rPr>
        <w:lang w:val="zh-CN"/>
      </w:rPr>
      <w:t>II</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4469A">
    <w:pPr>
      <w:pStyle w:val="2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11615">
    <w:pPr>
      <w:pStyle w:val="26"/>
      <w:jc w:val="center"/>
    </w:pPr>
    <w:r>
      <w:fldChar w:fldCharType="begin"/>
    </w:r>
    <w:r>
      <w:instrText xml:space="preserve">PAGE   \* MERGEFORMAT</w:instrText>
    </w:r>
    <w:r>
      <w:fldChar w:fldCharType="separate"/>
    </w:r>
    <w:r>
      <w:rPr>
        <w:lang w:val="zh-CN"/>
      </w:rPr>
      <w:t>52</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C5F93">
    <w:pPr>
      <w:pStyle w:val="26"/>
      <w:jc w:val="center"/>
    </w:pPr>
    <w:r>
      <w:fldChar w:fldCharType="begin"/>
    </w:r>
    <w:r>
      <w:instrText xml:space="preserve">PAGE   \* MERGEFORMAT</w:instrText>
    </w:r>
    <w:r>
      <w:fldChar w:fldCharType="separate"/>
    </w:r>
    <w:r>
      <w:rPr>
        <w:lang w:val="zh-CN"/>
      </w:rPr>
      <w:t>53</w:t>
    </w:r>
    <w:r>
      <w:rPr>
        <w:lang w:val="zh-CN"/>
      </w:rPr>
      <w:fldChar w:fldCharType="end"/>
    </w:r>
  </w:p>
  <w:p w14:paraId="557D97A0">
    <w:pPr>
      <w:pStyle w:val="26"/>
      <w:ind w:firstLine="4230" w:firstLineChars="235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B1C77">
    <w:pPr>
      <w:pStyle w:val="106"/>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AE04B">
    <w:pPr>
      <w:pStyle w:val="106"/>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85046">
    <w:pPr>
      <w:pStyle w:val="27"/>
      <w:jc w:val="right"/>
      <w:rPr>
        <w:rFonts w:hint="eastAsia" w:ascii="仿宋" w:hAnsi="仿宋" w:eastAsia="仿宋"/>
      </w:rPr>
    </w:pPr>
    <w:r>
      <w:rPr>
        <w:rFonts w:hint="eastAsia" w:ascii="仿宋" w:hAnsi="仿宋" w:eastAsia="仿宋"/>
      </w:rPr>
      <w:t>中国石化销售股份有限公司天津石油分公司津南</w:t>
    </w:r>
    <w:r>
      <w:rPr>
        <w:rFonts w:hint="eastAsia" w:ascii="仿宋" w:hAnsi="仿宋" w:eastAsia="仿宋"/>
        <w:lang w:eastAsia="zh-CN"/>
      </w:rPr>
      <w:t>水利</w:t>
    </w:r>
    <w:r>
      <w:rPr>
        <w:rFonts w:hint="eastAsia" w:ascii="仿宋" w:hAnsi="仿宋" w:eastAsia="仿宋"/>
      </w:rPr>
      <w:t>加油站突发环境事件应急预案</w:t>
    </w:r>
    <w:r>
      <w:rPr>
        <w:rFonts w:eastAsia="仿宋"/>
      </w:rPr>
      <w:t>（2024</w:t>
    </w:r>
    <w:r>
      <w:rPr>
        <w:rFonts w:hint="eastAsia" w:ascii="仿宋" w:hAnsi="仿宋" w:eastAsia="仿宋"/>
      </w:rPr>
      <w:t>年修订）</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F99B9">
    <w:pPr>
      <w:pStyle w:val="27"/>
      <w:ind w:right="180"/>
      <w:jc w:val="right"/>
      <w:rPr>
        <w:rFonts w:hint="eastAsia" w:ascii="仿宋" w:hAnsi="仿宋" w:eastAsia="仿宋"/>
      </w:rPr>
    </w:pPr>
    <w:r>
      <w:rPr>
        <w:rFonts w:hint="eastAsia" w:ascii="仿宋" w:hAnsi="仿宋" w:eastAsia="仿宋"/>
      </w:rPr>
      <w:t>中国石化销售股份有限公司天津石油分公司津南李七庄加油站突发环境事</w:t>
    </w:r>
    <w:r>
      <w:rPr>
        <w:rFonts w:eastAsia="仿宋"/>
      </w:rPr>
      <w:t>件应急预案（2024年修订）</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92AFCE"/>
    <w:multiLevelType w:val="singleLevel"/>
    <w:tmpl w:val="4492AFCE"/>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5"/>
  <w:drawingGridHorizontalSpacing w:val="105"/>
  <w:drawingGridVerticalSpacing w:val="233"/>
  <w:noPunctuationKerning w:val="1"/>
  <w:characterSpacingControl w:val="compressPunctuation"/>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kYTRiNTQ5MjM4YWE1MWUxNmQ1ZTM2N2UzYWIxZDEifQ=="/>
  </w:docVars>
  <w:rsids>
    <w:rsidRoot w:val="00F804A3"/>
    <w:rsid w:val="000000B7"/>
    <w:rsid w:val="00000119"/>
    <w:rsid w:val="000001AC"/>
    <w:rsid w:val="00000226"/>
    <w:rsid w:val="00000312"/>
    <w:rsid w:val="0000111E"/>
    <w:rsid w:val="00001339"/>
    <w:rsid w:val="000013C0"/>
    <w:rsid w:val="0000142F"/>
    <w:rsid w:val="00001865"/>
    <w:rsid w:val="00001AA4"/>
    <w:rsid w:val="00001CFF"/>
    <w:rsid w:val="00001D10"/>
    <w:rsid w:val="00001D4E"/>
    <w:rsid w:val="0000245C"/>
    <w:rsid w:val="000026E3"/>
    <w:rsid w:val="00002823"/>
    <w:rsid w:val="0000283D"/>
    <w:rsid w:val="00002AB4"/>
    <w:rsid w:val="00002CC3"/>
    <w:rsid w:val="00003220"/>
    <w:rsid w:val="0000328F"/>
    <w:rsid w:val="00003A89"/>
    <w:rsid w:val="00003ECA"/>
    <w:rsid w:val="00004103"/>
    <w:rsid w:val="000046DE"/>
    <w:rsid w:val="0000477D"/>
    <w:rsid w:val="000047F4"/>
    <w:rsid w:val="00004B12"/>
    <w:rsid w:val="00004BA0"/>
    <w:rsid w:val="0000501A"/>
    <w:rsid w:val="00005037"/>
    <w:rsid w:val="00005A20"/>
    <w:rsid w:val="00005A2A"/>
    <w:rsid w:val="00006667"/>
    <w:rsid w:val="000066A1"/>
    <w:rsid w:val="00006A7F"/>
    <w:rsid w:val="00006A80"/>
    <w:rsid w:val="00006B2C"/>
    <w:rsid w:val="00006BCF"/>
    <w:rsid w:val="00006E2B"/>
    <w:rsid w:val="000072C6"/>
    <w:rsid w:val="00007347"/>
    <w:rsid w:val="000073C0"/>
    <w:rsid w:val="00007C0C"/>
    <w:rsid w:val="00007E80"/>
    <w:rsid w:val="000100E8"/>
    <w:rsid w:val="000101CC"/>
    <w:rsid w:val="00010674"/>
    <w:rsid w:val="000108F1"/>
    <w:rsid w:val="000109E3"/>
    <w:rsid w:val="00010E42"/>
    <w:rsid w:val="00010EDC"/>
    <w:rsid w:val="00010FD4"/>
    <w:rsid w:val="000114F3"/>
    <w:rsid w:val="000116C6"/>
    <w:rsid w:val="00011C24"/>
    <w:rsid w:val="00011D55"/>
    <w:rsid w:val="0001244F"/>
    <w:rsid w:val="00012480"/>
    <w:rsid w:val="00012879"/>
    <w:rsid w:val="000128B7"/>
    <w:rsid w:val="00012B27"/>
    <w:rsid w:val="00012FBA"/>
    <w:rsid w:val="00012FD7"/>
    <w:rsid w:val="0001337E"/>
    <w:rsid w:val="0001342B"/>
    <w:rsid w:val="0001350D"/>
    <w:rsid w:val="000135C0"/>
    <w:rsid w:val="0001360D"/>
    <w:rsid w:val="000137B8"/>
    <w:rsid w:val="000137D0"/>
    <w:rsid w:val="00013A85"/>
    <w:rsid w:val="00013B15"/>
    <w:rsid w:val="00013EC3"/>
    <w:rsid w:val="00014B86"/>
    <w:rsid w:val="00014DE2"/>
    <w:rsid w:val="0001513E"/>
    <w:rsid w:val="000151DE"/>
    <w:rsid w:val="000152D1"/>
    <w:rsid w:val="00015465"/>
    <w:rsid w:val="0001559F"/>
    <w:rsid w:val="00015821"/>
    <w:rsid w:val="00015D5B"/>
    <w:rsid w:val="000166A4"/>
    <w:rsid w:val="000168C5"/>
    <w:rsid w:val="00016A16"/>
    <w:rsid w:val="00016ABC"/>
    <w:rsid w:val="00017163"/>
    <w:rsid w:val="0001731B"/>
    <w:rsid w:val="00017364"/>
    <w:rsid w:val="0001746B"/>
    <w:rsid w:val="00017690"/>
    <w:rsid w:val="00017CF5"/>
    <w:rsid w:val="00017F01"/>
    <w:rsid w:val="00017F7C"/>
    <w:rsid w:val="000202AD"/>
    <w:rsid w:val="000203D6"/>
    <w:rsid w:val="000204A7"/>
    <w:rsid w:val="0002069E"/>
    <w:rsid w:val="00020991"/>
    <w:rsid w:val="00020CBB"/>
    <w:rsid w:val="00020DC6"/>
    <w:rsid w:val="000212A1"/>
    <w:rsid w:val="0002175B"/>
    <w:rsid w:val="000219F0"/>
    <w:rsid w:val="00021EA9"/>
    <w:rsid w:val="00021FBF"/>
    <w:rsid w:val="00022244"/>
    <w:rsid w:val="00022585"/>
    <w:rsid w:val="00022978"/>
    <w:rsid w:val="00023240"/>
    <w:rsid w:val="00023252"/>
    <w:rsid w:val="000233A4"/>
    <w:rsid w:val="0002343A"/>
    <w:rsid w:val="00023B7A"/>
    <w:rsid w:val="00023D66"/>
    <w:rsid w:val="00023FAA"/>
    <w:rsid w:val="000243C4"/>
    <w:rsid w:val="00024A19"/>
    <w:rsid w:val="00024D6D"/>
    <w:rsid w:val="00024E27"/>
    <w:rsid w:val="00024E72"/>
    <w:rsid w:val="00024F5E"/>
    <w:rsid w:val="00025134"/>
    <w:rsid w:val="00025224"/>
    <w:rsid w:val="000253C3"/>
    <w:rsid w:val="0002569F"/>
    <w:rsid w:val="00025DA0"/>
    <w:rsid w:val="00025F95"/>
    <w:rsid w:val="00025F96"/>
    <w:rsid w:val="000263E5"/>
    <w:rsid w:val="00026520"/>
    <w:rsid w:val="00026891"/>
    <w:rsid w:val="0002699A"/>
    <w:rsid w:val="000269D8"/>
    <w:rsid w:val="00026C69"/>
    <w:rsid w:val="00027354"/>
    <w:rsid w:val="00027487"/>
    <w:rsid w:val="000274FB"/>
    <w:rsid w:val="000275A9"/>
    <w:rsid w:val="000276A6"/>
    <w:rsid w:val="00027973"/>
    <w:rsid w:val="00027995"/>
    <w:rsid w:val="00027A3A"/>
    <w:rsid w:val="0003011D"/>
    <w:rsid w:val="00030250"/>
    <w:rsid w:val="00030EF8"/>
    <w:rsid w:val="00031153"/>
    <w:rsid w:val="0003118B"/>
    <w:rsid w:val="000311B3"/>
    <w:rsid w:val="0003133E"/>
    <w:rsid w:val="00031A3F"/>
    <w:rsid w:val="00031C5E"/>
    <w:rsid w:val="00031FCB"/>
    <w:rsid w:val="00032015"/>
    <w:rsid w:val="000320EF"/>
    <w:rsid w:val="000329CB"/>
    <w:rsid w:val="0003349C"/>
    <w:rsid w:val="00033658"/>
    <w:rsid w:val="0003387C"/>
    <w:rsid w:val="00033AB9"/>
    <w:rsid w:val="000340CA"/>
    <w:rsid w:val="00034321"/>
    <w:rsid w:val="0003435B"/>
    <w:rsid w:val="000343E9"/>
    <w:rsid w:val="00034975"/>
    <w:rsid w:val="00034D5D"/>
    <w:rsid w:val="00035134"/>
    <w:rsid w:val="0003560E"/>
    <w:rsid w:val="00035751"/>
    <w:rsid w:val="00035E08"/>
    <w:rsid w:val="00035F64"/>
    <w:rsid w:val="00035FA4"/>
    <w:rsid w:val="00036003"/>
    <w:rsid w:val="00036179"/>
    <w:rsid w:val="000365D0"/>
    <w:rsid w:val="000368F2"/>
    <w:rsid w:val="000368FA"/>
    <w:rsid w:val="00036948"/>
    <w:rsid w:val="00036D58"/>
    <w:rsid w:val="00036D78"/>
    <w:rsid w:val="00036EBA"/>
    <w:rsid w:val="000370FC"/>
    <w:rsid w:val="0003743D"/>
    <w:rsid w:val="00037608"/>
    <w:rsid w:val="00037656"/>
    <w:rsid w:val="00037906"/>
    <w:rsid w:val="00037DBA"/>
    <w:rsid w:val="00037FF1"/>
    <w:rsid w:val="00040077"/>
    <w:rsid w:val="000400A2"/>
    <w:rsid w:val="00040119"/>
    <w:rsid w:val="00040462"/>
    <w:rsid w:val="00040543"/>
    <w:rsid w:val="0004073A"/>
    <w:rsid w:val="00040C56"/>
    <w:rsid w:val="00041325"/>
    <w:rsid w:val="000418F9"/>
    <w:rsid w:val="00041AC8"/>
    <w:rsid w:val="00041AF4"/>
    <w:rsid w:val="00041C8A"/>
    <w:rsid w:val="00041EE3"/>
    <w:rsid w:val="00042284"/>
    <w:rsid w:val="00043602"/>
    <w:rsid w:val="00043D4A"/>
    <w:rsid w:val="00043DF5"/>
    <w:rsid w:val="00044086"/>
    <w:rsid w:val="00044163"/>
    <w:rsid w:val="000442A6"/>
    <w:rsid w:val="000445F3"/>
    <w:rsid w:val="0004466A"/>
    <w:rsid w:val="00044914"/>
    <w:rsid w:val="00044B93"/>
    <w:rsid w:val="00044E27"/>
    <w:rsid w:val="00044EE8"/>
    <w:rsid w:val="00045197"/>
    <w:rsid w:val="000452F9"/>
    <w:rsid w:val="0004543A"/>
    <w:rsid w:val="0004567F"/>
    <w:rsid w:val="000457A5"/>
    <w:rsid w:val="00045800"/>
    <w:rsid w:val="00045A4A"/>
    <w:rsid w:val="000460FD"/>
    <w:rsid w:val="00046238"/>
    <w:rsid w:val="00046A17"/>
    <w:rsid w:val="00046A2D"/>
    <w:rsid w:val="00046BD9"/>
    <w:rsid w:val="00046C2D"/>
    <w:rsid w:val="00046D58"/>
    <w:rsid w:val="00046E1E"/>
    <w:rsid w:val="00047009"/>
    <w:rsid w:val="00047050"/>
    <w:rsid w:val="000473F1"/>
    <w:rsid w:val="00047572"/>
    <w:rsid w:val="000477C9"/>
    <w:rsid w:val="00047AB6"/>
    <w:rsid w:val="00047C07"/>
    <w:rsid w:val="00047C34"/>
    <w:rsid w:val="00047E50"/>
    <w:rsid w:val="00050472"/>
    <w:rsid w:val="00050663"/>
    <w:rsid w:val="00050949"/>
    <w:rsid w:val="00050FB3"/>
    <w:rsid w:val="00051426"/>
    <w:rsid w:val="000517ED"/>
    <w:rsid w:val="0005183B"/>
    <w:rsid w:val="00051B27"/>
    <w:rsid w:val="00051BEA"/>
    <w:rsid w:val="00051ED7"/>
    <w:rsid w:val="0005219F"/>
    <w:rsid w:val="0005230A"/>
    <w:rsid w:val="0005235D"/>
    <w:rsid w:val="00053653"/>
    <w:rsid w:val="000537A0"/>
    <w:rsid w:val="00053D65"/>
    <w:rsid w:val="00053D78"/>
    <w:rsid w:val="00053E04"/>
    <w:rsid w:val="00054170"/>
    <w:rsid w:val="0005435F"/>
    <w:rsid w:val="00054763"/>
    <w:rsid w:val="00054827"/>
    <w:rsid w:val="00054955"/>
    <w:rsid w:val="00054CB8"/>
    <w:rsid w:val="00055524"/>
    <w:rsid w:val="00055852"/>
    <w:rsid w:val="00055BBB"/>
    <w:rsid w:val="00055C6A"/>
    <w:rsid w:val="0005607C"/>
    <w:rsid w:val="00056210"/>
    <w:rsid w:val="0005661F"/>
    <w:rsid w:val="00056A2A"/>
    <w:rsid w:val="00056E7C"/>
    <w:rsid w:val="00057274"/>
    <w:rsid w:val="00057534"/>
    <w:rsid w:val="000579D2"/>
    <w:rsid w:val="000579F5"/>
    <w:rsid w:val="00057A5B"/>
    <w:rsid w:val="00060560"/>
    <w:rsid w:val="000606DE"/>
    <w:rsid w:val="000607FD"/>
    <w:rsid w:val="00060A7E"/>
    <w:rsid w:val="00060C98"/>
    <w:rsid w:val="00060CC9"/>
    <w:rsid w:val="00060F15"/>
    <w:rsid w:val="00061493"/>
    <w:rsid w:val="00061552"/>
    <w:rsid w:val="000615CB"/>
    <w:rsid w:val="00061989"/>
    <w:rsid w:val="00061A3A"/>
    <w:rsid w:val="00061D26"/>
    <w:rsid w:val="00061E18"/>
    <w:rsid w:val="00061F4A"/>
    <w:rsid w:val="0006204B"/>
    <w:rsid w:val="000620E2"/>
    <w:rsid w:val="000626B8"/>
    <w:rsid w:val="0006302C"/>
    <w:rsid w:val="00063632"/>
    <w:rsid w:val="00063844"/>
    <w:rsid w:val="00064279"/>
    <w:rsid w:val="000647A8"/>
    <w:rsid w:val="00064A79"/>
    <w:rsid w:val="00064BCF"/>
    <w:rsid w:val="00064D5B"/>
    <w:rsid w:val="0006517C"/>
    <w:rsid w:val="000657F4"/>
    <w:rsid w:val="00065824"/>
    <w:rsid w:val="0006582A"/>
    <w:rsid w:val="00065D72"/>
    <w:rsid w:val="0006616C"/>
    <w:rsid w:val="00066447"/>
    <w:rsid w:val="000665E4"/>
    <w:rsid w:val="000667C4"/>
    <w:rsid w:val="00066A0A"/>
    <w:rsid w:val="00066C15"/>
    <w:rsid w:val="00066ECC"/>
    <w:rsid w:val="00066F2E"/>
    <w:rsid w:val="00066FE9"/>
    <w:rsid w:val="000672F0"/>
    <w:rsid w:val="0006794A"/>
    <w:rsid w:val="00067C82"/>
    <w:rsid w:val="00067EA5"/>
    <w:rsid w:val="000711FA"/>
    <w:rsid w:val="00071650"/>
    <w:rsid w:val="00071A5F"/>
    <w:rsid w:val="00071B07"/>
    <w:rsid w:val="00071D0A"/>
    <w:rsid w:val="00071D4C"/>
    <w:rsid w:val="00071D74"/>
    <w:rsid w:val="000721BE"/>
    <w:rsid w:val="00072463"/>
    <w:rsid w:val="00072B7E"/>
    <w:rsid w:val="00072E80"/>
    <w:rsid w:val="0007329B"/>
    <w:rsid w:val="000734A8"/>
    <w:rsid w:val="0007366C"/>
    <w:rsid w:val="00074186"/>
    <w:rsid w:val="00074235"/>
    <w:rsid w:val="00074453"/>
    <w:rsid w:val="000746AD"/>
    <w:rsid w:val="000748AC"/>
    <w:rsid w:val="00074AF1"/>
    <w:rsid w:val="00074E18"/>
    <w:rsid w:val="0007516D"/>
    <w:rsid w:val="00075220"/>
    <w:rsid w:val="000754D4"/>
    <w:rsid w:val="00075505"/>
    <w:rsid w:val="00075746"/>
    <w:rsid w:val="00075B60"/>
    <w:rsid w:val="00075B93"/>
    <w:rsid w:val="00075D44"/>
    <w:rsid w:val="0007623C"/>
    <w:rsid w:val="000762E5"/>
    <w:rsid w:val="00076447"/>
    <w:rsid w:val="00076449"/>
    <w:rsid w:val="0007651C"/>
    <w:rsid w:val="00076AC9"/>
    <w:rsid w:val="00076B91"/>
    <w:rsid w:val="00076BFD"/>
    <w:rsid w:val="00076F1C"/>
    <w:rsid w:val="000770E8"/>
    <w:rsid w:val="00077628"/>
    <w:rsid w:val="0007772F"/>
    <w:rsid w:val="000779C9"/>
    <w:rsid w:val="00077C99"/>
    <w:rsid w:val="00077D44"/>
    <w:rsid w:val="00077F48"/>
    <w:rsid w:val="000805CA"/>
    <w:rsid w:val="000808C3"/>
    <w:rsid w:val="0008097A"/>
    <w:rsid w:val="00080AB8"/>
    <w:rsid w:val="00080F73"/>
    <w:rsid w:val="00081276"/>
    <w:rsid w:val="000813A6"/>
    <w:rsid w:val="000813CC"/>
    <w:rsid w:val="000815EA"/>
    <w:rsid w:val="00081CDD"/>
    <w:rsid w:val="00081DE3"/>
    <w:rsid w:val="00081E12"/>
    <w:rsid w:val="000820CF"/>
    <w:rsid w:val="00082162"/>
    <w:rsid w:val="000822AA"/>
    <w:rsid w:val="000823E9"/>
    <w:rsid w:val="00082525"/>
    <w:rsid w:val="00082ABD"/>
    <w:rsid w:val="00082D44"/>
    <w:rsid w:val="00083219"/>
    <w:rsid w:val="0008367B"/>
    <w:rsid w:val="00083D76"/>
    <w:rsid w:val="000842BB"/>
    <w:rsid w:val="00084546"/>
    <w:rsid w:val="00084633"/>
    <w:rsid w:val="000846D9"/>
    <w:rsid w:val="0008497B"/>
    <w:rsid w:val="00084AC5"/>
    <w:rsid w:val="00084DB6"/>
    <w:rsid w:val="00084DFF"/>
    <w:rsid w:val="00085029"/>
    <w:rsid w:val="00085148"/>
    <w:rsid w:val="000852F6"/>
    <w:rsid w:val="0008558B"/>
    <w:rsid w:val="00085B5C"/>
    <w:rsid w:val="00085B5E"/>
    <w:rsid w:val="00085F57"/>
    <w:rsid w:val="00085F58"/>
    <w:rsid w:val="00086278"/>
    <w:rsid w:val="00086351"/>
    <w:rsid w:val="000866F7"/>
    <w:rsid w:val="000870A1"/>
    <w:rsid w:val="0008721E"/>
    <w:rsid w:val="000875B9"/>
    <w:rsid w:val="000876D9"/>
    <w:rsid w:val="000879CF"/>
    <w:rsid w:val="000879DC"/>
    <w:rsid w:val="00087E48"/>
    <w:rsid w:val="000902E5"/>
    <w:rsid w:val="00090646"/>
    <w:rsid w:val="000907E3"/>
    <w:rsid w:val="00090820"/>
    <w:rsid w:val="0009089C"/>
    <w:rsid w:val="00090F2F"/>
    <w:rsid w:val="00090F52"/>
    <w:rsid w:val="00090FF1"/>
    <w:rsid w:val="00091371"/>
    <w:rsid w:val="00091439"/>
    <w:rsid w:val="00091681"/>
    <w:rsid w:val="00091730"/>
    <w:rsid w:val="0009182C"/>
    <w:rsid w:val="00091D96"/>
    <w:rsid w:val="00092D98"/>
    <w:rsid w:val="00092E64"/>
    <w:rsid w:val="000931F4"/>
    <w:rsid w:val="00093513"/>
    <w:rsid w:val="00093701"/>
    <w:rsid w:val="00093707"/>
    <w:rsid w:val="00093873"/>
    <w:rsid w:val="00093B70"/>
    <w:rsid w:val="00093D8A"/>
    <w:rsid w:val="00093F11"/>
    <w:rsid w:val="0009401E"/>
    <w:rsid w:val="00094064"/>
    <w:rsid w:val="00094415"/>
    <w:rsid w:val="0009446B"/>
    <w:rsid w:val="0009447D"/>
    <w:rsid w:val="000945DE"/>
    <w:rsid w:val="00094A10"/>
    <w:rsid w:val="00094CCC"/>
    <w:rsid w:val="00094F69"/>
    <w:rsid w:val="000952B7"/>
    <w:rsid w:val="00095302"/>
    <w:rsid w:val="00095452"/>
    <w:rsid w:val="00095D84"/>
    <w:rsid w:val="00095DBE"/>
    <w:rsid w:val="0009609D"/>
    <w:rsid w:val="000962AB"/>
    <w:rsid w:val="00096706"/>
    <w:rsid w:val="00096727"/>
    <w:rsid w:val="000968DC"/>
    <w:rsid w:val="00096ADA"/>
    <w:rsid w:val="00096B9B"/>
    <w:rsid w:val="00097351"/>
    <w:rsid w:val="00097443"/>
    <w:rsid w:val="00097786"/>
    <w:rsid w:val="00097BF9"/>
    <w:rsid w:val="00097F57"/>
    <w:rsid w:val="000A0007"/>
    <w:rsid w:val="000A0233"/>
    <w:rsid w:val="000A0398"/>
    <w:rsid w:val="000A0443"/>
    <w:rsid w:val="000A07E9"/>
    <w:rsid w:val="000A0CCD"/>
    <w:rsid w:val="000A0CD4"/>
    <w:rsid w:val="000A0F73"/>
    <w:rsid w:val="000A1089"/>
    <w:rsid w:val="000A12BF"/>
    <w:rsid w:val="000A1324"/>
    <w:rsid w:val="000A15FF"/>
    <w:rsid w:val="000A1B9E"/>
    <w:rsid w:val="000A1CF5"/>
    <w:rsid w:val="000A21F9"/>
    <w:rsid w:val="000A2A1C"/>
    <w:rsid w:val="000A2B4C"/>
    <w:rsid w:val="000A2CCD"/>
    <w:rsid w:val="000A2E93"/>
    <w:rsid w:val="000A31B4"/>
    <w:rsid w:val="000A36A6"/>
    <w:rsid w:val="000A3A6E"/>
    <w:rsid w:val="000A3AF9"/>
    <w:rsid w:val="000A4443"/>
    <w:rsid w:val="000A44CD"/>
    <w:rsid w:val="000A46FB"/>
    <w:rsid w:val="000A4F05"/>
    <w:rsid w:val="000A4FE8"/>
    <w:rsid w:val="000A6649"/>
    <w:rsid w:val="000A6762"/>
    <w:rsid w:val="000A69E5"/>
    <w:rsid w:val="000A69F5"/>
    <w:rsid w:val="000A7028"/>
    <w:rsid w:val="000A7297"/>
    <w:rsid w:val="000A7480"/>
    <w:rsid w:val="000A77D4"/>
    <w:rsid w:val="000A792D"/>
    <w:rsid w:val="000A79F9"/>
    <w:rsid w:val="000B0283"/>
    <w:rsid w:val="000B02E5"/>
    <w:rsid w:val="000B0782"/>
    <w:rsid w:val="000B07FC"/>
    <w:rsid w:val="000B0D87"/>
    <w:rsid w:val="000B0ED5"/>
    <w:rsid w:val="000B1333"/>
    <w:rsid w:val="000B179F"/>
    <w:rsid w:val="000B1D4E"/>
    <w:rsid w:val="000B2165"/>
    <w:rsid w:val="000B2181"/>
    <w:rsid w:val="000B2341"/>
    <w:rsid w:val="000B248F"/>
    <w:rsid w:val="000B2490"/>
    <w:rsid w:val="000B2530"/>
    <w:rsid w:val="000B264F"/>
    <w:rsid w:val="000B2C5B"/>
    <w:rsid w:val="000B2D23"/>
    <w:rsid w:val="000B2D67"/>
    <w:rsid w:val="000B3123"/>
    <w:rsid w:val="000B35F5"/>
    <w:rsid w:val="000B3711"/>
    <w:rsid w:val="000B3DD0"/>
    <w:rsid w:val="000B3F03"/>
    <w:rsid w:val="000B4705"/>
    <w:rsid w:val="000B4861"/>
    <w:rsid w:val="000B49A7"/>
    <w:rsid w:val="000B4C05"/>
    <w:rsid w:val="000B52F9"/>
    <w:rsid w:val="000B53A7"/>
    <w:rsid w:val="000B549E"/>
    <w:rsid w:val="000B567F"/>
    <w:rsid w:val="000B5A2E"/>
    <w:rsid w:val="000B6076"/>
    <w:rsid w:val="000B613C"/>
    <w:rsid w:val="000B62B7"/>
    <w:rsid w:val="000B62BC"/>
    <w:rsid w:val="000B6769"/>
    <w:rsid w:val="000B67DC"/>
    <w:rsid w:val="000B6DB7"/>
    <w:rsid w:val="000B6ED8"/>
    <w:rsid w:val="000B6EF2"/>
    <w:rsid w:val="000B71CE"/>
    <w:rsid w:val="000B759F"/>
    <w:rsid w:val="000B7B4B"/>
    <w:rsid w:val="000C097C"/>
    <w:rsid w:val="000C0D8F"/>
    <w:rsid w:val="000C0F44"/>
    <w:rsid w:val="000C1454"/>
    <w:rsid w:val="000C14B0"/>
    <w:rsid w:val="000C1875"/>
    <w:rsid w:val="000C2295"/>
    <w:rsid w:val="000C29DC"/>
    <w:rsid w:val="000C2A4C"/>
    <w:rsid w:val="000C2A58"/>
    <w:rsid w:val="000C2B3D"/>
    <w:rsid w:val="000C3145"/>
    <w:rsid w:val="000C319A"/>
    <w:rsid w:val="000C3264"/>
    <w:rsid w:val="000C32C1"/>
    <w:rsid w:val="000C37EE"/>
    <w:rsid w:val="000C3AFF"/>
    <w:rsid w:val="000C3ED4"/>
    <w:rsid w:val="000C3F90"/>
    <w:rsid w:val="000C409E"/>
    <w:rsid w:val="000C42D1"/>
    <w:rsid w:val="000C4447"/>
    <w:rsid w:val="000C4483"/>
    <w:rsid w:val="000C4576"/>
    <w:rsid w:val="000C4598"/>
    <w:rsid w:val="000C4672"/>
    <w:rsid w:val="000C47EA"/>
    <w:rsid w:val="000C492A"/>
    <w:rsid w:val="000C4C64"/>
    <w:rsid w:val="000C4C69"/>
    <w:rsid w:val="000C4FEC"/>
    <w:rsid w:val="000C56B4"/>
    <w:rsid w:val="000C580D"/>
    <w:rsid w:val="000C5C08"/>
    <w:rsid w:val="000C5FFC"/>
    <w:rsid w:val="000C62CA"/>
    <w:rsid w:val="000C672F"/>
    <w:rsid w:val="000C6747"/>
    <w:rsid w:val="000C67F1"/>
    <w:rsid w:val="000C690A"/>
    <w:rsid w:val="000C6B51"/>
    <w:rsid w:val="000C6F00"/>
    <w:rsid w:val="000C786F"/>
    <w:rsid w:val="000C7F74"/>
    <w:rsid w:val="000D0171"/>
    <w:rsid w:val="000D0245"/>
    <w:rsid w:val="000D0271"/>
    <w:rsid w:val="000D0587"/>
    <w:rsid w:val="000D05AC"/>
    <w:rsid w:val="000D08C0"/>
    <w:rsid w:val="000D0B47"/>
    <w:rsid w:val="000D0D61"/>
    <w:rsid w:val="000D1491"/>
    <w:rsid w:val="000D1808"/>
    <w:rsid w:val="000D1827"/>
    <w:rsid w:val="000D1D15"/>
    <w:rsid w:val="000D2046"/>
    <w:rsid w:val="000D207B"/>
    <w:rsid w:val="000D239D"/>
    <w:rsid w:val="000D24C6"/>
    <w:rsid w:val="000D251E"/>
    <w:rsid w:val="000D2756"/>
    <w:rsid w:val="000D2878"/>
    <w:rsid w:val="000D2E18"/>
    <w:rsid w:val="000D313F"/>
    <w:rsid w:val="000D32BB"/>
    <w:rsid w:val="000D32CC"/>
    <w:rsid w:val="000D3797"/>
    <w:rsid w:val="000D3CBD"/>
    <w:rsid w:val="000D3F1A"/>
    <w:rsid w:val="000D4246"/>
    <w:rsid w:val="000D452E"/>
    <w:rsid w:val="000D47A9"/>
    <w:rsid w:val="000D4A3C"/>
    <w:rsid w:val="000D4A86"/>
    <w:rsid w:val="000D4E14"/>
    <w:rsid w:val="000D5037"/>
    <w:rsid w:val="000D5267"/>
    <w:rsid w:val="000D53F6"/>
    <w:rsid w:val="000D5BAD"/>
    <w:rsid w:val="000D5DB5"/>
    <w:rsid w:val="000D614F"/>
    <w:rsid w:val="000D66F3"/>
    <w:rsid w:val="000D66F5"/>
    <w:rsid w:val="000D6A52"/>
    <w:rsid w:val="000D6ABF"/>
    <w:rsid w:val="000D6D4B"/>
    <w:rsid w:val="000D6DBF"/>
    <w:rsid w:val="000D6F38"/>
    <w:rsid w:val="000D7A6D"/>
    <w:rsid w:val="000E003C"/>
    <w:rsid w:val="000E0165"/>
    <w:rsid w:val="000E0208"/>
    <w:rsid w:val="000E0ABD"/>
    <w:rsid w:val="000E0CD5"/>
    <w:rsid w:val="000E11A7"/>
    <w:rsid w:val="000E1220"/>
    <w:rsid w:val="000E1233"/>
    <w:rsid w:val="000E12A9"/>
    <w:rsid w:val="000E12FE"/>
    <w:rsid w:val="000E153F"/>
    <w:rsid w:val="000E209C"/>
    <w:rsid w:val="000E2211"/>
    <w:rsid w:val="000E24E9"/>
    <w:rsid w:val="000E250A"/>
    <w:rsid w:val="000E263C"/>
    <w:rsid w:val="000E263D"/>
    <w:rsid w:val="000E29EB"/>
    <w:rsid w:val="000E2C22"/>
    <w:rsid w:val="000E30BB"/>
    <w:rsid w:val="000E3136"/>
    <w:rsid w:val="000E3198"/>
    <w:rsid w:val="000E35DF"/>
    <w:rsid w:val="000E3A87"/>
    <w:rsid w:val="000E3BDE"/>
    <w:rsid w:val="000E3BF8"/>
    <w:rsid w:val="000E3E56"/>
    <w:rsid w:val="000E460D"/>
    <w:rsid w:val="000E4898"/>
    <w:rsid w:val="000E49C3"/>
    <w:rsid w:val="000E4BB0"/>
    <w:rsid w:val="000E4C36"/>
    <w:rsid w:val="000E4FA1"/>
    <w:rsid w:val="000E53C4"/>
    <w:rsid w:val="000E5436"/>
    <w:rsid w:val="000E5586"/>
    <w:rsid w:val="000E59F8"/>
    <w:rsid w:val="000E5C9E"/>
    <w:rsid w:val="000E5D71"/>
    <w:rsid w:val="000E5F17"/>
    <w:rsid w:val="000E6CC6"/>
    <w:rsid w:val="000E6F03"/>
    <w:rsid w:val="000E6FB4"/>
    <w:rsid w:val="000E7285"/>
    <w:rsid w:val="000E7442"/>
    <w:rsid w:val="000E749D"/>
    <w:rsid w:val="000E7BDE"/>
    <w:rsid w:val="000E7FE0"/>
    <w:rsid w:val="000F02FA"/>
    <w:rsid w:val="000F04A2"/>
    <w:rsid w:val="000F067F"/>
    <w:rsid w:val="000F0818"/>
    <w:rsid w:val="000F10DF"/>
    <w:rsid w:val="000F11F0"/>
    <w:rsid w:val="000F12AE"/>
    <w:rsid w:val="000F19ED"/>
    <w:rsid w:val="000F1A63"/>
    <w:rsid w:val="000F1E47"/>
    <w:rsid w:val="000F2983"/>
    <w:rsid w:val="000F29E3"/>
    <w:rsid w:val="000F2CB9"/>
    <w:rsid w:val="000F3184"/>
    <w:rsid w:val="000F38A7"/>
    <w:rsid w:val="000F3925"/>
    <w:rsid w:val="000F3FB5"/>
    <w:rsid w:val="000F44ED"/>
    <w:rsid w:val="000F458C"/>
    <w:rsid w:val="000F47F5"/>
    <w:rsid w:val="000F4876"/>
    <w:rsid w:val="000F4D0A"/>
    <w:rsid w:val="000F527B"/>
    <w:rsid w:val="000F5B23"/>
    <w:rsid w:val="000F6219"/>
    <w:rsid w:val="000F63D5"/>
    <w:rsid w:val="000F7170"/>
    <w:rsid w:val="000F7234"/>
    <w:rsid w:val="000F7820"/>
    <w:rsid w:val="000F7D02"/>
    <w:rsid w:val="000F7F09"/>
    <w:rsid w:val="001003C9"/>
    <w:rsid w:val="001007A7"/>
    <w:rsid w:val="00100977"/>
    <w:rsid w:val="00100D72"/>
    <w:rsid w:val="001012D9"/>
    <w:rsid w:val="001012E8"/>
    <w:rsid w:val="00101981"/>
    <w:rsid w:val="00101AB0"/>
    <w:rsid w:val="0010245E"/>
    <w:rsid w:val="00102549"/>
    <w:rsid w:val="00102742"/>
    <w:rsid w:val="001027BA"/>
    <w:rsid w:val="00102CC5"/>
    <w:rsid w:val="00103AEA"/>
    <w:rsid w:val="00103D14"/>
    <w:rsid w:val="00103DF8"/>
    <w:rsid w:val="001040DA"/>
    <w:rsid w:val="0010440E"/>
    <w:rsid w:val="001044E1"/>
    <w:rsid w:val="0010451A"/>
    <w:rsid w:val="001046FB"/>
    <w:rsid w:val="00104B78"/>
    <w:rsid w:val="001050F6"/>
    <w:rsid w:val="00105290"/>
    <w:rsid w:val="00105760"/>
    <w:rsid w:val="00105AE6"/>
    <w:rsid w:val="001063AC"/>
    <w:rsid w:val="00106579"/>
    <w:rsid w:val="001065B4"/>
    <w:rsid w:val="001066D3"/>
    <w:rsid w:val="00106961"/>
    <w:rsid w:val="00106A33"/>
    <w:rsid w:val="00106D39"/>
    <w:rsid w:val="00107138"/>
    <w:rsid w:val="00107238"/>
    <w:rsid w:val="00107449"/>
    <w:rsid w:val="001075DB"/>
    <w:rsid w:val="0010763B"/>
    <w:rsid w:val="00107986"/>
    <w:rsid w:val="00107991"/>
    <w:rsid w:val="00107BCA"/>
    <w:rsid w:val="00107EE9"/>
    <w:rsid w:val="00107FEB"/>
    <w:rsid w:val="001101ED"/>
    <w:rsid w:val="001101F8"/>
    <w:rsid w:val="001102B7"/>
    <w:rsid w:val="0011093C"/>
    <w:rsid w:val="0011094A"/>
    <w:rsid w:val="00110B7F"/>
    <w:rsid w:val="001112B9"/>
    <w:rsid w:val="00111398"/>
    <w:rsid w:val="001113CB"/>
    <w:rsid w:val="00111B97"/>
    <w:rsid w:val="00111BBA"/>
    <w:rsid w:val="00111C35"/>
    <w:rsid w:val="00111F48"/>
    <w:rsid w:val="00111F8F"/>
    <w:rsid w:val="0011248D"/>
    <w:rsid w:val="001126FB"/>
    <w:rsid w:val="00112827"/>
    <w:rsid w:val="00112B1F"/>
    <w:rsid w:val="00112DBF"/>
    <w:rsid w:val="00112F4B"/>
    <w:rsid w:val="00113239"/>
    <w:rsid w:val="0011333B"/>
    <w:rsid w:val="00113639"/>
    <w:rsid w:val="001136A4"/>
    <w:rsid w:val="0011376C"/>
    <w:rsid w:val="001138FB"/>
    <w:rsid w:val="00113983"/>
    <w:rsid w:val="0011399E"/>
    <w:rsid w:val="00113A6B"/>
    <w:rsid w:val="00114016"/>
    <w:rsid w:val="00114231"/>
    <w:rsid w:val="00114691"/>
    <w:rsid w:val="0011485F"/>
    <w:rsid w:val="001148A4"/>
    <w:rsid w:val="00114CC2"/>
    <w:rsid w:val="00114DC5"/>
    <w:rsid w:val="00114E10"/>
    <w:rsid w:val="00115013"/>
    <w:rsid w:val="00115154"/>
    <w:rsid w:val="00115331"/>
    <w:rsid w:val="0011551E"/>
    <w:rsid w:val="00115877"/>
    <w:rsid w:val="00115F18"/>
    <w:rsid w:val="0011604B"/>
    <w:rsid w:val="0011617D"/>
    <w:rsid w:val="0011644B"/>
    <w:rsid w:val="001164D3"/>
    <w:rsid w:val="0011676A"/>
    <w:rsid w:val="001171C0"/>
    <w:rsid w:val="0011734C"/>
    <w:rsid w:val="00117781"/>
    <w:rsid w:val="00117805"/>
    <w:rsid w:val="00117F03"/>
    <w:rsid w:val="00117FBC"/>
    <w:rsid w:val="0012037B"/>
    <w:rsid w:val="001204DC"/>
    <w:rsid w:val="0012095E"/>
    <w:rsid w:val="00120E36"/>
    <w:rsid w:val="001216BF"/>
    <w:rsid w:val="00121AC4"/>
    <w:rsid w:val="00121E8A"/>
    <w:rsid w:val="00121FB9"/>
    <w:rsid w:val="001220AD"/>
    <w:rsid w:val="0012226F"/>
    <w:rsid w:val="0012242C"/>
    <w:rsid w:val="001225BD"/>
    <w:rsid w:val="001226DD"/>
    <w:rsid w:val="0012283B"/>
    <w:rsid w:val="0012286D"/>
    <w:rsid w:val="00122A90"/>
    <w:rsid w:val="00122B12"/>
    <w:rsid w:val="00123509"/>
    <w:rsid w:val="00123632"/>
    <w:rsid w:val="001237BD"/>
    <w:rsid w:val="00123886"/>
    <w:rsid w:val="001238C2"/>
    <w:rsid w:val="00123961"/>
    <w:rsid w:val="001239F7"/>
    <w:rsid w:val="00123A76"/>
    <w:rsid w:val="00123C36"/>
    <w:rsid w:val="00124818"/>
    <w:rsid w:val="00124911"/>
    <w:rsid w:val="00124B78"/>
    <w:rsid w:val="00125221"/>
    <w:rsid w:val="00125A43"/>
    <w:rsid w:val="00125EEC"/>
    <w:rsid w:val="00126157"/>
    <w:rsid w:val="00126201"/>
    <w:rsid w:val="0012627D"/>
    <w:rsid w:val="001266B9"/>
    <w:rsid w:val="00126A2B"/>
    <w:rsid w:val="00126FF1"/>
    <w:rsid w:val="00127608"/>
    <w:rsid w:val="00127958"/>
    <w:rsid w:val="00127B09"/>
    <w:rsid w:val="00127BD3"/>
    <w:rsid w:val="00127C18"/>
    <w:rsid w:val="00127CC2"/>
    <w:rsid w:val="00127D2A"/>
    <w:rsid w:val="0013017F"/>
    <w:rsid w:val="00130252"/>
    <w:rsid w:val="001302F1"/>
    <w:rsid w:val="00130492"/>
    <w:rsid w:val="00130526"/>
    <w:rsid w:val="00130682"/>
    <w:rsid w:val="00130AF0"/>
    <w:rsid w:val="0013100A"/>
    <w:rsid w:val="00131021"/>
    <w:rsid w:val="0013131B"/>
    <w:rsid w:val="00131B14"/>
    <w:rsid w:val="00131B21"/>
    <w:rsid w:val="00131B22"/>
    <w:rsid w:val="00132044"/>
    <w:rsid w:val="0013234D"/>
    <w:rsid w:val="001325F9"/>
    <w:rsid w:val="00132719"/>
    <w:rsid w:val="00132B2B"/>
    <w:rsid w:val="00132D23"/>
    <w:rsid w:val="00132DFB"/>
    <w:rsid w:val="00132FEF"/>
    <w:rsid w:val="00133022"/>
    <w:rsid w:val="001331A9"/>
    <w:rsid w:val="0013357D"/>
    <w:rsid w:val="00133A55"/>
    <w:rsid w:val="00134778"/>
    <w:rsid w:val="00134A63"/>
    <w:rsid w:val="00134ACA"/>
    <w:rsid w:val="00134C39"/>
    <w:rsid w:val="001353B1"/>
    <w:rsid w:val="0013589A"/>
    <w:rsid w:val="00135C93"/>
    <w:rsid w:val="0013608A"/>
    <w:rsid w:val="001361E0"/>
    <w:rsid w:val="00136521"/>
    <w:rsid w:val="00136C65"/>
    <w:rsid w:val="0013715A"/>
    <w:rsid w:val="0013776C"/>
    <w:rsid w:val="0013797D"/>
    <w:rsid w:val="00137CD2"/>
    <w:rsid w:val="00137F7A"/>
    <w:rsid w:val="00140052"/>
    <w:rsid w:val="00140057"/>
    <w:rsid w:val="0014015C"/>
    <w:rsid w:val="00140208"/>
    <w:rsid w:val="00140234"/>
    <w:rsid w:val="00140320"/>
    <w:rsid w:val="00140683"/>
    <w:rsid w:val="001407CE"/>
    <w:rsid w:val="00140E7B"/>
    <w:rsid w:val="00140F05"/>
    <w:rsid w:val="00141094"/>
    <w:rsid w:val="001415BB"/>
    <w:rsid w:val="001417DA"/>
    <w:rsid w:val="00141A8C"/>
    <w:rsid w:val="00141FB8"/>
    <w:rsid w:val="00141FBF"/>
    <w:rsid w:val="0014201F"/>
    <w:rsid w:val="001424CD"/>
    <w:rsid w:val="0014322D"/>
    <w:rsid w:val="00143249"/>
    <w:rsid w:val="0014398F"/>
    <w:rsid w:val="00143FD3"/>
    <w:rsid w:val="0014412E"/>
    <w:rsid w:val="00144333"/>
    <w:rsid w:val="00144AB4"/>
    <w:rsid w:val="00144C9B"/>
    <w:rsid w:val="00145476"/>
    <w:rsid w:val="00145561"/>
    <w:rsid w:val="001455D1"/>
    <w:rsid w:val="001455D7"/>
    <w:rsid w:val="00145895"/>
    <w:rsid w:val="00145CDF"/>
    <w:rsid w:val="00146112"/>
    <w:rsid w:val="001466C4"/>
    <w:rsid w:val="00146A59"/>
    <w:rsid w:val="00146C95"/>
    <w:rsid w:val="00146C9A"/>
    <w:rsid w:val="00147430"/>
    <w:rsid w:val="001477CF"/>
    <w:rsid w:val="0014799F"/>
    <w:rsid w:val="00147B34"/>
    <w:rsid w:val="00147C17"/>
    <w:rsid w:val="0015006C"/>
    <w:rsid w:val="001503A3"/>
    <w:rsid w:val="00150554"/>
    <w:rsid w:val="00150836"/>
    <w:rsid w:val="00150DDD"/>
    <w:rsid w:val="0015161C"/>
    <w:rsid w:val="00151665"/>
    <w:rsid w:val="001516A7"/>
    <w:rsid w:val="00151939"/>
    <w:rsid w:val="00151D70"/>
    <w:rsid w:val="00151F4C"/>
    <w:rsid w:val="001528DA"/>
    <w:rsid w:val="001528E5"/>
    <w:rsid w:val="00153458"/>
    <w:rsid w:val="001539E6"/>
    <w:rsid w:val="00153F6B"/>
    <w:rsid w:val="0015471D"/>
    <w:rsid w:val="00154A2C"/>
    <w:rsid w:val="00154AFF"/>
    <w:rsid w:val="00154BD4"/>
    <w:rsid w:val="001550E4"/>
    <w:rsid w:val="00155218"/>
    <w:rsid w:val="00155365"/>
    <w:rsid w:val="00155578"/>
    <w:rsid w:val="0015565E"/>
    <w:rsid w:val="001559A6"/>
    <w:rsid w:val="00155DB7"/>
    <w:rsid w:val="00155F8F"/>
    <w:rsid w:val="00156103"/>
    <w:rsid w:val="00156642"/>
    <w:rsid w:val="001566CB"/>
    <w:rsid w:val="00156C3F"/>
    <w:rsid w:val="00156C5F"/>
    <w:rsid w:val="00156F07"/>
    <w:rsid w:val="00157268"/>
    <w:rsid w:val="001572B6"/>
    <w:rsid w:val="00157641"/>
    <w:rsid w:val="001579A4"/>
    <w:rsid w:val="00157C35"/>
    <w:rsid w:val="001602A2"/>
    <w:rsid w:val="00160530"/>
    <w:rsid w:val="001608B7"/>
    <w:rsid w:val="00160DA2"/>
    <w:rsid w:val="00160FA2"/>
    <w:rsid w:val="0016148A"/>
    <w:rsid w:val="0016198A"/>
    <w:rsid w:val="00161D52"/>
    <w:rsid w:val="00162106"/>
    <w:rsid w:val="00162868"/>
    <w:rsid w:val="00162905"/>
    <w:rsid w:val="001629FF"/>
    <w:rsid w:val="00162D86"/>
    <w:rsid w:val="001630FF"/>
    <w:rsid w:val="00163CD9"/>
    <w:rsid w:val="0016402B"/>
    <w:rsid w:val="00164081"/>
    <w:rsid w:val="00164217"/>
    <w:rsid w:val="001645AA"/>
    <w:rsid w:val="001648C3"/>
    <w:rsid w:val="0016495B"/>
    <w:rsid w:val="00164ABC"/>
    <w:rsid w:val="00164AD0"/>
    <w:rsid w:val="00164AF5"/>
    <w:rsid w:val="00164B3B"/>
    <w:rsid w:val="00164C39"/>
    <w:rsid w:val="00165046"/>
    <w:rsid w:val="00165084"/>
    <w:rsid w:val="001651B3"/>
    <w:rsid w:val="00165883"/>
    <w:rsid w:val="0016603B"/>
    <w:rsid w:val="001660D7"/>
    <w:rsid w:val="00166D23"/>
    <w:rsid w:val="00166F29"/>
    <w:rsid w:val="00166F7E"/>
    <w:rsid w:val="001671C6"/>
    <w:rsid w:val="001673B7"/>
    <w:rsid w:val="00167B8D"/>
    <w:rsid w:val="00170786"/>
    <w:rsid w:val="00170913"/>
    <w:rsid w:val="001710D5"/>
    <w:rsid w:val="00171211"/>
    <w:rsid w:val="00171408"/>
    <w:rsid w:val="001718FC"/>
    <w:rsid w:val="00171A29"/>
    <w:rsid w:val="001721F3"/>
    <w:rsid w:val="0017220D"/>
    <w:rsid w:val="001724A8"/>
    <w:rsid w:val="001728CA"/>
    <w:rsid w:val="001728EF"/>
    <w:rsid w:val="00173273"/>
    <w:rsid w:val="0017374F"/>
    <w:rsid w:val="00173C1D"/>
    <w:rsid w:val="00173C6F"/>
    <w:rsid w:val="00173DCB"/>
    <w:rsid w:val="00173FFA"/>
    <w:rsid w:val="00174017"/>
    <w:rsid w:val="0017407C"/>
    <w:rsid w:val="00174801"/>
    <w:rsid w:val="001748D1"/>
    <w:rsid w:val="00174C1F"/>
    <w:rsid w:val="00174D6D"/>
    <w:rsid w:val="00174F2F"/>
    <w:rsid w:val="00175141"/>
    <w:rsid w:val="0017550A"/>
    <w:rsid w:val="001757CE"/>
    <w:rsid w:val="00175B07"/>
    <w:rsid w:val="00175BC3"/>
    <w:rsid w:val="00175E25"/>
    <w:rsid w:val="0017610C"/>
    <w:rsid w:val="001761D6"/>
    <w:rsid w:val="001775B9"/>
    <w:rsid w:val="001776AF"/>
    <w:rsid w:val="00177795"/>
    <w:rsid w:val="00177B30"/>
    <w:rsid w:val="00177DD7"/>
    <w:rsid w:val="00177DF4"/>
    <w:rsid w:val="00177FF8"/>
    <w:rsid w:val="00180099"/>
    <w:rsid w:val="00180DEE"/>
    <w:rsid w:val="00180E91"/>
    <w:rsid w:val="00181259"/>
    <w:rsid w:val="00181273"/>
    <w:rsid w:val="00181406"/>
    <w:rsid w:val="0018160D"/>
    <w:rsid w:val="00181785"/>
    <w:rsid w:val="001818E6"/>
    <w:rsid w:val="00181C97"/>
    <w:rsid w:val="00181CE3"/>
    <w:rsid w:val="00181DD3"/>
    <w:rsid w:val="00181E03"/>
    <w:rsid w:val="00181F62"/>
    <w:rsid w:val="001822B2"/>
    <w:rsid w:val="001822F2"/>
    <w:rsid w:val="001822FA"/>
    <w:rsid w:val="00182AA5"/>
    <w:rsid w:val="00182FC3"/>
    <w:rsid w:val="001831C9"/>
    <w:rsid w:val="00183258"/>
    <w:rsid w:val="001832AA"/>
    <w:rsid w:val="001832C1"/>
    <w:rsid w:val="0018333E"/>
    <w:rsid w:val="00183356"/>
    <w:rsid w:val="00183375"/>
    <w:rsid w:val="0018359D"/>
    <w:rsid w:val="00183B9B"/>
    <w:rsid w:val="00183BF5"/>
    <w:rsid w:val="00183E8A"/>
    <w:rsid w:val="001841A2"/>
    <w:rsid w:val="00184235"/>
    <w:rsid w:val="0018428A"/>
    <w:rsid w:val="001843F0"/>
    <w:rsid w:val="00184495"/>
    <w:rsid w:val="001847AA"/>
    <w:rsid w:val="0018490E"/>
    <w:rsid w:val="00184BBD"/>
    <w:rsid w:val="00184CFE"/>
    <w:rsid w:val="00184F07"/>
    <w:rsid w:val="00185082"/>
    <w:rsid w:val="001850DD"/>
    <w:rsid w:val="0018536F"/>
    <w:rsid w:val="0018558E"/>
    <w:rsid w:val="00185C99"/>
    <w:rsid w:val="00185CF0"/>
    <w:rsid w:val="00186236"/>
    <w:rsid w:val="001862D4"/>
    <w:rsid w:val="001864CD"/>
    <w:rsid w:val="00186DB0"/>
    <w:rsid w:val="0018711F"/>
    <w:rsid w:val="001871C2"/>
    <w:rsid w:val="0018724A"/>
    <w:rsid w:val="00187432"/>
    <w:rsid w:val="001875BA"/>
    <w:rsid w:val="0018776F"/>
    <w:rsid w:val="00187B5D"/>
    <w:rsid w:val="00187BEE"/>
    <w:rsid w:val="00187DC1"/>
    <w:rsid w:val="00190556"/>
    <w:rsid w:val="00190FC3"/>
    <w:rsid w:val="0019119A"/>
    <w:rsid w:val="0019143E"/>
    <w:rsid w:val="001914F0"/>
    <w:rsid w:val="00191738"/>
    <w:rsid w:val="00191C29"/>
    <w:rsid w:val="00192099"/>
    <w:rsid w:val="001922A1"/>
    <w:rsid w:val="00192366"/>
    <w:rsid w:val="001923A6"/>
    <w:rsid w:val="001923E1"/>
    <w:rsid w:val="0019278B"/>
    <w:rsid w:val="00192D3D"/>
    <w:rsid w:val="00192E32"/>
    <w:rsid w:val="00192EDE"/>
    <w:rsid w:val="00193461"/>
    <w:rsid w:val="001935FA"/>
    <w:rsid w:val="001936A5"/>
    <w:rsid w:val="00194005"/>
    <w:rsid w:val="0019443A"/>
    <w:rsid w:val="0019467C"/>
    <w:rsid w:val="001947F1"/>
    <w:rsid w:val="00194812"/>
    <w:rsid w:val="001948C4"/>
    <w:rsid w:val="00194C16"/>
    <w:rsid w:val="00194D3C"/>
    <w:rsid w:val="00194E44"/>
    <w:rsid w:val="001951D2"/>
    <w:rsid w:val="00195674"/>
    <w:rsid w:val="001956BA"/>
    <w:rsid w:val="00195A63"/>
    <w:rsid w:val="00195D85"/>
    <w:rsid w:val="00195DD3"/>
    <w:rsid w:val="001963CB"/>
    <w:rsid w:val="00197558"/>
    <w:rsid w:val="0019756E"/>
    <w:rsid w:val="00197A71"/>
    <w:rsid w:val="001A01AD"/>
    <w:rsid w:val="001A0738"/>
    <w:rsid w:val="001A0797"/>
    <w:rsid w:val="001A0BB8"/>
    <w:rsid w:val="001A0C26"/>
    <w:rsid w:val="001A12A1"/>
    <w:rsid w:val="001A188B"/>
    <w:rsid w:val="001A18F0"/>
    <w:rsid w:val="001A226F"/>
    <w:rsid w:val="001A2346"/>
    <w:rsid w:val="001A256C"/>
    <w:rsid w:val="001A2598"/>
    <w:rsid w:val="001A29E1"/>
    <w:rsid w:val="001A2CB6"/>
    <w:rsid w:val="001A2DFC"/>
    <w:rsid w:val="001A33F9"/>
    <w:rsid w:val="001A34F8"/>
    <w:rsid w:val="001A360A"/>
    <w:rsid w:val="001A3D05"/>
    <w:rsid w:val="001A4095"/>
    <w:rsid w:val="001A43C7"/>
    <w:rsid w:val="001A482B"/>
    <w:rsid w:val="001A48B3"/>
    <w:rsid w:val="001A4923"/>
    <w:rsid w:val="001A4D02"/>
    <w:rsid w:val="001A4FCC"/>
    <w:rsid w:val="001A500A"/>
    <w:rsid w:val="001A5079"/>
    <w:rsid w:val="001A50CF"/>
    <w:rsid w:val="001A525E"/>
    <w:rsid w:val="001A5271"/>
    <w:rsid w:val="001A5274"/>
    <w:rsid w:val="001A5325"/>
    <w:rsid w:val="001A57AB"/>
    <w:rsid w:val="001A5A19"/>
    <w:rsid w:val="001A5BDB"/>
    <w:rsid w:val="001A5CAC"/>
    <w:rsid w:val="001A5D73"/>
    <w:rsid w:val="001A5F3F"/>
    <w:rsid w:val="001A6632"/>
    <w:rsid w:val="001A6B6C"/>
    <w:rsid w:val="001A6BF5"/>
    <w:rsid w:val="001A6C4A"/>
    <w:rsid w:val="001A6C9B"/>
    <w:rsid w:val="001A75DA"/>
    <w:rsid w:val="001A786B"/>
    <w:rsid w:val="001A7D89"/>
    <w:rsid w:val="001A7F8E"/>
    <w:rsid w:val="001B00E8"/>
    <w:rsid w:val="001B02FB"/>
    <w:rsid w:val="001B041C"/>
    <w:rsid w:val="001B0A1D"/>
    <w:rsid w:val="001B0E9D"/>
    <w:rsid w:val="001B175B"/>
    <w:rsid w:val="001B1936"/>
    <w:rsid w:val="001B1F60"/>
    <w:rsid w:val="001B2112"/>
    <w:rsid w:val="001B2841"/>
    <w:rsid w:val="001B2883"/>
    <w:rsid w:val="001B3223"/>
    <w:rsid w:val="001B38B9"/>
    <w:rsid w:val="001B3929"/>
    <w:rsid w:val="001B3AFC"/>
    <w:rsid w:val="001B3FDB"/>
    <w:rsid w:val="001B4355"/>
    <w:rsid w:val="001B47BF"/>
    <w:rsid w:val="001B4A2E"/>
    <w:rsid w:val="001B4E2A"/>
    <w:rsid w:val="001B5598"/>
    <w:rsid w:val="001B5A1A"/>
    <w:rsid w:val="001B5C77"/>
    <w:rsid w:val="001B6687"/>
    <w:rsid w:val="001B6B00"/>
    <w:rsid w:val="001B6CBD"/>
    <w:rsid w:val="001B7296"/>
    <w:rsid w:val="001B766C"/>
    <w:rsid w:val="001B7949"/>
    <w:rsid w:val="001B7A23"/>
    <w:rsid w:val="001B7AB5"/>
    <w:rsid w:val="001C0075"/>
    <w:rsid w:val="001C01B5"/>
    <w:rsid w:val="001C0310"/>
    <w:rsid w:val="001C054D"/>
    <w:rsid w:val="001C064A"/>
    <w:rsid w:val="001C089F"/>
    <w:rsid w:val="001C08CE"/>
    <w:rsid w:val="001C0924"/>
    <w:rsid w:val="001C1081"/>
    <w:rsid w:val="001C11D6"/>
    <w:rsid w:val="001C1785"/>
    <w:rsid w:val="001C1AC3"/>
    <w:rsid w:val="001C1AF0"/>
    <w:rsid w:val="001C20EE"/>
    <w:rsid w:val="001C2299"/>
    <w:rsid w:val="001C2A70"/>
    <w:rsid w:val="001C2BDB"/>
    <w:rsid w:val="001C2E3A"/>
    <w:rsid w:val="001C2F00"/>
    <w:rsid w:val="001C3037"/>
    <w:rsid w:val="001C32A5"/>
    <w:rsid w:val="001C3332"/>
    <w:rsid w:val="001C3421"/>
    <w:rsid w:val="001C3AAF"/>
    <w:rsid w:val="001C3BB0"/>
    <w:rsid w:val="001C410A"/>
    <w:rsid w:val="001C41ED"/>
    <w:rsid w:val="001C427D"/>
    <w:rsid w:val="001C4924"/>
    <w:rsid w:val="001C4A8E"/>
    <w:rsid w:val="001C4C2F"/>
    <w:rsid w:val="001C4E37"/>
    <w:rsid w:val="001C4E55"/>
    <w:rsid w:val="001C54A5"/>
    <w:rsid w:val="001C6456"/>
    <w:rsid w:val="001C6856"/>
    <w:rsid w:val="001C6C75"/>
    <w:rsid w:val="001C7759"/>
    <w:rsid w:val="001C7DCD"/>
    <w:rsid w:val="001D055C"/>
    <w:rsid w:val="001D0BC5"/>
    <w:rsid w:val="001D10C2"/>
    <w:rsid w:val="001D14A5"/>
    <w:rsid w:val="001D1696"/>
    <w:rsid w:val="001D18CC"/>
    <w:rsid w:val="001D1F5C"/>
    <w:rsid w:val="001D2280"/>
    <w:rsid w:val="001D2303"/>
    <w:rsid w:val="001D2A24"/>
    <w:rsid w:val="001D2C4D"/>
    <w:rsid w:val="001D31C2"/>
    <w:rsid w:val="001D356A"/>
    <w:rsid w:val="001D3639"/>
    <w:rsid w:val="001D390B"/>
    <w:rsid w:val="001D398A"/>
    <w:rsid w:val="001D40F3"/>
    <w:rsid w:val="001D4198"/>
    <w:rsid w:val="001D42A2"/>
    <w:rsid w:val="001D4802"/>
    <w:rsid w:val="001D4825"/>
    <w:rsid w:val="001D4A93"/>
    <w:rsid w:val="001D4CBA"/>
    <w:rsid w:val="001D4D7B"/>
    <w:rsid w:val="001D4E4B"/>
    <w:rsid w:val="001D51E6"/>
    <w:rsid w:val="001D593C"/>
    <w:rsid w:val="001D6036"/>
    <w:rsid w:val="001D66C2"/>
    <w:rsid w:val="001D6799"/>
    <w:rsid w:val="001D692B"/>
    <w:rsid w:val="001D6A3B"/>
    <w:rsid w:val="001D737C"/>
    <w:rsid w:val="001D759C"/>
    <w:rsid w:val="001D759E"/>
    <w:rsid w:val="001D764E"/>
    <w:rsid w:val="001D79D2"/>
    <w:rsid w:val="001D7E05"/>
    <w:rsid w:val="001D7E44"/>
    <w:rsid w:val="001D7EDF"/>
    <w:rsid w:val="001E037D"/>
    <w:rsid w:val="001E06DD"/>
    <w:rsid w:val="001E0B25"/>
    <w:rsid w:val="001E0BAB"/>
    <w:rsid w:val="001E0BE6"/>
    <w:rsid w:val="001E0C94"/>
    <w:rsid w:val="001E10FC"/>
    <w:rsid w:val="001E1A7A"/>
    <w:rsid w:val="001E1D75"/>
    <w:rsid w:val="001E1FC3"/>
    <w:rsid w:val="001E210F"/>
    <w:rsid w:val="001E2A6E"/>
    <w:rsid w:val="001E2A8F"/>
    <w:rsid w:val="001E2E29"/>
    <w:rsid w:val="001E3180"/>
    <w:rsid w:val="001E368F"/>
    <w:rsid w:val="001E381C"/>
    <w:rsid w:val="001E38D7"/>
    <w:rsid w:val="001E39CB"/>
    <w:rsid w:val="001E3A67"/>
    <w:rsid w:val="001E3A9C"/>
    <w:rsid w:val="001E3E7D"/>
    <w:rsid w:val="001E430D"/>
    <w:rsid w:val="001E45C6"/>
    <w:rsid w:val="001E4730"/>
    <w:rsid w:val="001E4945"/>
    <w:rsid w:val="001E4B20"/>
    <w:rsid w:val="001E4C07"/>
    <w:rsid w:val="001E4C8F"/>
    <w:rsid w:val="001E4F4A"/>
    <w:rsid w:val="001E517C"/>
    <w:rsid w:val="001E5412"/>
    <w:rsid w:val="001E5E67"/>
    <w:rsid w:val="001E5FC5"/>
    <w:rsid w:val="001E60BF"/>
    <w:rsid w:val="001E65AA"/>
    <w:rsid w:val="001E6B64"/>
    <w:rsid w:val="001E6C29"/>
    <w:rsid w:val="001E6CBF"/>
    <w:rsid w:val="001E7003"/>
    <w:rsid w:val="001E764A"/>
    <w:rsid w:val="001E785D"/>
    <w:rsid w:val="001E78FB"/>
    <w:rsid w:val="001E7BAD"/>
    <w:rsid w:val="001F0008"/>
    <w:rsid w:val="001F0074"/>
    <w:rsid w:val="001F00AE"/>
    <w:rsid w:val="001F01B4"/>
    <w:rsid w:val="001F0386"/>
    <w:rsid w:val="001F0778"/>
    <w:rsid w:val="001F0790"/>
    <w:rsid w:val="001F07BF"/>
    <w:rsid w:val="001F0E4A"/>
    <w:rsid w:val="001F1152"/>
    <w:rsid w:val="001F11B8"/>
    <w:rsid w:val="001F146D"/>
    <w:rsid w:val="001F172C"/>
    <w:rsid w:val="001F1868"/>
    <w:rsid w:val="001F19C8"/>
    <w:rsid w:val="001F1DEE"/>
    <w:rsid w:val="001F2048"/>
    <w:rsid w:val="001F230F"/>
    <w:rsid w:val="001F23C0"/>
    <w:rsid w:val="001F2B4F"/>
    <w:rsid w:val="001F2C35"/>
    <w:rsid w:val="001F2E26"/>
    <w:rsid w:val="001F34E8"/>
    <w:rsid w:val="001F3861"/>
    <w:rsid w:val="001F3A4D"/>
    <w:rsid w:val="001F3B1B"/>
    <w:rsid w:val="001F3B8F"/>
    <w:rsid w:val="001F42E9"/>
    <w:rsid w:val="001F4478"/>
    <w:rsid w:val="001F4586"/>
    <w:rsid w:val="001F4882"/>
    <w:rsid w:val="001F4E77"/>
    <w:rsid w:val="001F4F48"/>
    <w:rsid w:val="001F5664"/>
    <w:rsid w:val="001F57A9"/>
    <w:rsid w:val="001F58A5"/>
    <w:rsid w:val="001F5AB4"/>
    <w:rsid w:val="001F5DDD"/>
    <w:rsid w:val="001F64AF"/>
    <w:rsid w:val="001F6AB9"/>
    <w:rsid w:val="001F6E5F"/>
    <w:rsid w:val="001F71B8"/>
    <w:rsid w:val="001F75D4"/>
    <w:rsid w:val="001F76E4"/>
    <w:rsid w:val="001F7D74"/>
    <w:rsid w:val="001F7E1B"/>
    <w:rsid w:val="001F7E6C"/>
    <w:rsid w:val="00200084"/>
    <w:rsid w:val="00200508"/>
    <w:rsid w:val="00200893"/>
    <w:rsid w:val="00201283"/>
    <w:rsid w:val="0020134A"/>
    <w:rsid w:val="002014C7"/>
    <w:rsid w:val="00201D95"/>
    <w:rsid w:val="00202052"/>
    <w:rsid w:val="002023A7"/>
    <w:rsid w:val="00202432"/>
    <w:rsid w:val="002024F5"/>
    <w:rsid w:val="00202880"/>
    <w:rsid w:val="00202C76"/>
    <w:rsid w:val="00202CB9"/>
    <w:rsid w:val="002030FC"/>
    <w:rsid w:val="00203182"/>
    <w:rsid w:val="002032A6"/>
    <w:rsid w:val="00203AF3"/>
    <w:rsid w:val="00203D5B"/>
    <w:rsid w:val="00203FF1"/>
    <w:rsid w:val="002041CB"/>
    <w:rsid w:val="002046BF"/>
    <w:rsid w:val="002047D9"/>
    <w:rsid w:val="00204AEB"/>
    <w:rsid w:val="00204B77"/>
    <w:rsid w:val="00204C99"/>
    <w:rsid w:val="00204CBB"/>
    <w:rsid w:val="002053F7"/>
    <w:rsid w:val="002054A5"/>
    <w:rsid w:val="00205B88"/>
    <w:rsid w:val="00205BCF"/>
    <w:rsid w:val="00205E80"/>
    <w:rsid w:val="002060E7"/>
    <w:rsid w:val="0020617F"/>
    <w:rsid w:val="0020638F"/>
    <w:rsid w:val="002066E0"/>
    <w:rsid w:val="00206BDF"/>
    <w:rsid w:val="00206C60"/>
    <w:rsid w:val="0020705B"/>
    <w:rsid w:val="00207154"/>
    <w:rsid w:val="00207345"/>
    <w:rsid w:val="00207A52"/>
    <w:rsid w:val="002101C9"/>
    <w:rsid w:val="00210437"/>
    <w:rsid w:val="00210637"/>
    <w:rsid w:val="002108CC"/>
    <w:rsid w:val="00210D87"/>
    <w:rsid w:val="00210DCA"/>
    <w:rsid w:val="00210DF9"/>
    <w:rsid w:val="002115DF"/>
    <w:rsid w:val="00211780"/>
    <w:rsid w:val="00211928"/>
    <w:rsid w:val="00211C8A"/>
    <w:rsid w:val="00211D88"/>
    <w:rsid w:val="00211E47"/>
    <w:rsid w:val="00211F2E"/>
    <w:rsid w:val="00212524"/>
    <w:rsid w:val="0021257C"/>
    <w:rsid w:val="00212E0B"/>
    <w:rsid w:val="00212F5B"/>
    <w:rsid w:val="0021313E"/>
    <w:rsid w:val="00213B07"/>
    <w:rsid w:val="00213CEA"/>
    <w:rsid w:val="002140F0"/>
    <w:rsid w:val="002146EE"/>
    <w:rsid w:val="002147FB"/>
    <w:rsid w:val="0021501A"/>
    <w:rsid w:val="002151DC"/>
    <w:rsid w:val="002160E1"/>
    <w:rsid w:val="002164F5"/>
    <w:rsid w:val="0021691B"/>
    <w:rsid w:val="00216B57"/>
    <w:rsid w:val="0021718B"/>
    <w:rsid w:val="00217255"/>
    <w:rsid w:val="002172AA"/>
    <w:rsid w:val="00217B3C"/>
    <w:rsid w:val="00217ECA"/>
    <w:rsid w:val="00217F5A"/>
    <w:rsid w:val="00220077"/>
    <w:rsid w:val="002201CC"/>
    <w:rsid w:val="00220237"/>
    <w:rsid w:val="00220277"/>
    <w:rsid w:val="00221776"/>
    <w:rsid w:val="0022180A"/>
    <w:rsid w:val="00221DBA"/>
    <w:rsid w:val="00221DD6"/>
    <w:rsid w:val="00221E30"/>
    <w:rsid w:val="002220D2"/>
    <w:rsid w:val="00222128"/>
    <w:rsid w:val="0022213B"/>
    <w:rsid w:val="002222EA"/>
    <w:rsid w:val="00222313"/>
    <w:rsid w:val="00222471"/>
    <w:rsid w:val="0022251A"/>
    <w:rsid w:val="002226EE"/>
    <w:rsid w:val="00222754"/>
    <w:rsid w:val="0022277D"/>
    <w:rsid w:val="0022282B"/>
    <w:rsid w:val="00222857"/>
    <w:rsid w:val="00222A43"/>
    <w:rsid w:val="00222AA2"/>
    <w:rsid w:val="00222D6A"/>
    <w:rsid w:val="0022320F"/>
    <w:rsid w:val="00223256"/>
    <w:rsid w:val="0022337B"/>
    <w:rsid w:val="00223386"/>
    <w:rsid w:val="002233E5"/>
    <w:rsid w:val="0022342A"/>
    <w:rsid w:val="00223603"/>
    <w:rsid w:val="0022379D"/>
    <w:rsid w:val="00223840"/>
    <w:rsid w:val="002239C8"/>
    <w:rsid w:val="00223DFE"/>
    <w:rsid w:val="0022424A"/>
    <w:rsid w:val="0022431D"/>
    <w:rsid w:val="002244D1"/>
    <w:rsid w:val="002244EA"/>
    <w:rsid w:val="002247C5"/>
    <w:rsid w:val="00224B2B"/>
    <w:rsid w:val="00224BB1"/>
    <w:rsid w:val="002250D3"/>
    <w:rsid w:val="00225210"/>
    <w:rsid w:val="00225D2B"/>
    <w:rsid w:val="00225DC1"/>
    <w:rsid w:val="00226188"/>
    <w:rsid w:val="002262B4"/>
    <w:rsid w:val="0022670F"/>
    <w:rsid w:val="00226ED7"/>
    <w:rsid w:val="00226EF8"/>
    <w:rsid w:val="00227031"/>
    <w:rsid w:val="0022705A"/>
    <w:rsid w:val="00227269"/>
    <w:rsid w:val="00227639"/>
    <w:rsid w:val="00230689"/>
    <w:rsid w:val="0023072A"/>
    <w:rsid w:val="0023076D"/>
    <w:rsid w:val="00230E33"/>
    <w:rsid w:val="00230E4C"/>
    <w:rsid w:val="00230F65"/>
    <w:rsid w:val="0023133D"/>
    <w:rsid w:val="00231358"/>
    <w:rsid w:val="002313E8"/>
    <w:rsid w:val="0023173F"/>
    <w:rsid w:val="002319DF"/>
    <w:rsid w:val="00231A87"/>
    <w:rsid w:val="00231B41"/>
    <w:rsid w:val="00231B9B"/>
    <w:rsid w:val="00231E6E"/>
    <w:rsid w:val="00232631"/>
    <w:rsid w:val="002326BE"/>
    <w:rsid w:val="00232B03"/>
    <w:rsid w:val="00232E08"/>
    <w:rsid w:val="00232F15"/>
    <w:rsid w:val="002331DA"/>
    <w:rsid w:val="002331ED"/>
    <w:rsid w:val="002339B3"/>
    <w:rsid w:val="00233A02"/>
    <w:rsid w:val="00233D6B"/>
    <w:rsid w:val="00234B13"/>
    <w:rsid w:val="00234B32"/>
    <w:rsid w:val="00234CE6"/>
    <w:rsid w:val="00234E73"/>
    <w:rsid w:val="00235073"/>
    <w:rsid w:val="0023590E"/>
    <w:rsid w:val="0023614D"/>
    <w:rsid w:val="002361EA"/>
    <w:rsid w:val="002363BB"/>
    <w:rsid w:val="002365D1"/>
    <w:rsid w:val="002369D0"/>
    <w:rsid w:val="00236B6A"/>
    <w:rsid w:val="00236C13"/>
    <w:rsid w:val="00237252"/>
    <w:rsid w:val="002373E3"/>
    <w:rsid w:val="002400A3"/>
    <w:rsid w:val="00240270"/>
    <w:rsid w:val="00240920"/>
    <w:rsid w:val="00241030"/>
    <w:rsid w:val="00241060"/>
    <w:rsid w:val="002411E5"/>
    <w:rsid w:val="00241698"/>
    <w:rsid w:val="002416CB"/>
    <w:rsid w:val="00241723"/>
    <w:rsid w:val="00241726"/>
    <w:rsid w:val="00241E81"/>
    <w:rsid w:val="00241F0B"/>
    <w:rsid w:val="00241F5A"/>
    <w:rsid w:val="00241F99"/>
    <w:rsid w:val="0024224B"/>
    <w:rsid w:val="0024252F"/>
    <w:rsid w:val="00242538"/>
    <w:rsid w:val="0024269A"/>
    <w:rsid w:val="002431CE"/>
    <w:rsid w:val="00243AE2"/>
    <w:rsid w:val="00243C31"/>
    <w:rsid w:val="002441C7"/>
    <w:rsid w:val="002442D4"/>
    <w:rsid w:val="00244720"/>
    <w:rsid w:val="00244EF2"/>
    <w:rsid w:val="00245207"/>
    <w:rsid w:val="00245490"/>
    <w:rsid w:val="0024561A"/>
    <w:rsid w:val="002457BB"/>
    <w:rsid w:val="0024593D"/>
    <w:rsid w:val="00245AC8"/>
    <w:rsid w:val="00245C33"/>
    <w:rsid w:val="00245D06"/>
    <w:rsid w:val="00245D0A"/>
    <w:rsid w:val="00246239"/>
    <w:rsid w:val="002464A9"/>
    <w:rsid w:val="0024669D"/>
    <w:rsid w:val="00246796"/>
    <w:rsid w:val="002468B8"/>
    <w:rsid w:val="002469DB"/>
    <w:rsid w:val="00246B54"/>
    <w:rsid w:val="00246D58"/>
    <w:rsid w:val="00247203"/>
    <w:rsid w:val="00247690"/>
    <w:rsid w:val="00247B51"/>
    <w:rsid w:val="00247CC0"/>
    <w:rsid w:val="00247E9B"/>
    <w:rsid w:val="0025048E"/>
    <w:rsid w:val="00250F0A"/>
    <w:rsid w:val="0025137B"/>
    <w:rsid w:val="002516D7"/>
    <w:rsid w:val="0025180C"/>
    <w:rsid w:val="00251E16"/>
    <w:rsid w:val="002522F8"/>
    <w:rsid w:val="00252313"/>
    <w:rsid w:val="00252388"/>
    <w:rsid w:val="002526B8"/>
    <w:rsid w:val="00252923"/>
    <w:rsid w:val="00252BA7"/>
    <w:rsid w:val="00253239"/>
    <w:rsid w:val="0025387B"/>
    <w:rsid w:val="00253A60"/>
    <w:rsid w:val="00253D4B"/>
    <w:rsid w:val="00254379"/>
    <w:rsid w:val="0025467B"/>
    <w:rsid w:val="0025481C"/>
    <w:rsid w:val="0025506C"/>
    <w:rsid w:val="002550E0"/>
    <w:rsid w:val="0025532E"/>
    <w:rsid w:val="00255435"/>
    <w:rsid w:val="002559D1"/>
    <w:rsid w:val="00255E9F"/>
    <w:rsid w:val="00255FAE"/>
    <w:rsid w:val="0025606A"/>
    <w:rsid w:val="002560F6"/>
    <w:rsid w:val="002562AE"/>
    <w:rsid w:val="002562E1"/>
    <w:rsid w:val="002565C2"/>
    <w:rsid w:val="00256837"/>
    <w:rsid w:val="00256A0D"/>
    <w:rsid w:val="00256BA6"/>
    <w:rsid w:val="00256E25"/>
    <w:rsid w:val="0025709E"/>
    <w:rsid w:val="00257110"/>
    <w:rsid w:val="002573C7"/>
    <w:rsid w:val="00257753"/>
    <w:rsid w:val="00257A55"/>
    <w:rsid w:val="00257CED"/>
    <w:rsid w:val="00257DDC"/>
    <w:rsid w:val="00257EA2"/>
    <w:rsid w:val="00257F2D"/>
    <w:rsid w:val="002600CE"/>
    <w:rsid w:val="00260A33"/>
    <w:rsid w:val="00260BEA"/>
    <w:rsid w:val="00261201"/>
    <w:rsid w:val="002618FC"/>
    <w:rsid w:val="00261C29"/>
    <w:rsid w:val="00261FD7"/>
    <w:rsid w:val="002620FE"/>
    <w:rsid w:val="002621A3"/>
    <w:rsid w:val="002624D3"/>
    <w:rsid w:val="00262841"/>
    <w:rsid w:val="00262C29"/>
    <w:rsid w:val="00262D9C"/>
    <w:rsid w:val="00262EB1"/>
    <w:rsid w:val="00262EFE"/>
    <w:rsid w:val="00262FE0"/>
    <w:rsid w:val="0026350E"/>
    <w:rsid w:val="00263933"/>
    <w:rsid w:val="00263B37"/>
    <w:rsid w:val="002640B1"/>
    <w:rsid w:val="00264799"/>
    <w:rsid w:val="0026486B"/>
    <w:rsid w:val="002648C6"/>
    <w:rsid w:val="00264E3B"/>
    <w:rsid w:val="0026508B"/>
    <w:rsid w:val="00265157"/>
    <w:rsid w:val="00265189"/>
    <w:rsid w:val="00265DAD"/>
    <w:rsid w:val="00266795"/>
    <w:rsid w:val="00266844"/>
    <w:rsid w:val="00266ADD"/>
    <w:rsid w:val="00266E62"/>
    <w:rsid w:val="00266FDE"/>
    <w:rsid w:val="00267486"/>
    <w:rsid w:val="00267668"/>
    <w:rsid w:val="00267877"/>
    <w:rsid w:val="00267AF6"/>
    <w:rsid w:val="00267DDE"/>
    <w:rsid w:val="00267F3F"/>
    <w:rsid w:val="00270351"/>
    <w:rsid w:val="00270470"/>
    <w:rsid w:val="00270D88"/>
    <w:rsid w:val="00270F77"/>
    <w:rsid w:val="00270FCE"/>
    <w:rsid w:val="002715A5"/>
    <w:rsid w:val="00271981"/>
    <w:rsid w:val="00271A82"/>
    <w:rsid w:val="00271B1F"/>
    <w:rsid w:val="002725AB"/>
    <w:rsid w:val="00272F9D"/>
    <w:rsid w:val="00273536"/>
    <w:rsid w:val="002742FB"/>
    <w:rsid w:val="00274788"/>
    <w:rsid w:val="00274B78"/>
    <w:rsid w:val="00274E98"/>
    <w:rsid w:val="002752F2"/>
    <w:rsid w:val="00275335"/>
    <w:rsid w:val="002757CF"/>
    <w:rsid w:val="00275CD3"/>
    <w:rsid w:val="00275D4F"/>
    <w:rsid w:val="00275D63"/>
    <w:rsid w:val="00276225"/>
    <w:rsid w:val="00276266"/>
    <w:rsid w:val="0027686A"/>
    <w:rsid w:val="00276A6F"/>
    <w:rsid w:val="00276EA9"/>
    <w:rsid w:val="00277A5E"/>
    <w:rsid w:val="00277BEE"/>
    <w:rsid w:val="00277E52"/>
    <w:rsid w:val="00280126"/>
    <w:rsid w:val="00280519"/>
    <w:rsid w:val="00280738"/>
    <w:rsid w:val="00280797"/>
    <w:rsid w:val="0028094B"/>
    <w:rsid w:val="00280AD8"/>
    <w:rsid w:val="00280BBF"/>
    <w:rsid w:val="00280CFD"/>
    <w:rsid w:val="00280D48"/>
    <w:rsid w:val="00281173"/>
    <w:rsid w:val="002811FF"/>
    <w:rsid w:val="00281AC3"/>
    <w:rsid w:val="00282006"/>
    <w:rsid w:val="0028237D"/>
    <w:rsid w:val="00282431"/>
    <w:rsid w:val="00282520"/>
    <w:rsid w:val="00282BBC"/>
    <w:rsid w:val="00282C0D"/>
    <w:rsid w:val="00282E8C"/>
    <w:rsid w:val="002833A1"/>
    <w:rsid w:val="00283739"/>
    <w:rsid w:val="00283BCF"/>
    <w:rsid w:val="00283C76"/>
    <w:rsid w:val="00283D47"/>
    <w:rsid w:val="00283D48"/>
    <w:rsid w:val="002846AC"/>
    <w:rsid w:val="00284829"/>
    <w:rsid w:val="002848AF"/>
    <w:rsid w:val="002850E3"/>
    <w:rsid w:val="00285953"/>
    <w:rsid w:val="00286253"/>
    <w:rsid w:val="002866FF"/>
    <w:rsid w:val="00286CA8"/>
    <w:rsid w:val="00286CC8"/>
    <w:rsid w:val="00286D41"/>
    <w:rsid w:val="002877F2"/>
    <w:rsid w:val="00287AF6"/>
    <w:rsid w:val="00287D0A"/>
    <w:rsid w:val="00287E76"/>
    <w:rsid w:val="00290986"/>
    <w:rsid w:val="00290E2C"/>
    <w:rsid w:val="0029116F"/>
    <w:rsid w:val="00291270"/>
    <w:rsid w:val="0029149C"/>
    <w:rsid w:val="0029162F"/>
    <w:rsid w:val="00291BF5"/>
    <w:rsid w:val="00292083"/>
    <w:rsid w:val="00292210"/>
    <w:rsid w:val="002922EF"/>
    <w:rsid w:val="002926E2"/>
    <w:rsid w:val="00292B52"/>
    <w:rsid w:val="00292B93"/>
    <w:rsid w:val="00292C2A"/>
    <w:rsid w:val="00292DE1"/>
    <w:rsid w:val="00292FC7"/>
    <w:rsid w:val="00293101"/>
    <w:rsid w:val="00293697"/>
    <w:rsid w:val="002936AC"/>
    <w:rsid w:val="002936F1"/>
    <w:rsid w:val="00293876"/>
    <w:rsid w:val="0029389B"/>
    <w:rsid w:val="00293C24"/>
    <w:rsid w:val="00293EE9"/>
    <w:rsid w:val="0029460E"/>
    <w:rsid w:val="00294854"/>
    <w:rsid w:val="00294B75"/>
    <w:rsid w:val="00294E23"/>
    <w:rsid w:val="002956F5"/>
    <w:rsid w:val="00295C98"/>
    <w:rsid w:val="00295D79"/>
    <w:rsid w:val="0029603C"/>
    <w:rsid w:val="00296231"/>
    <w:rsid w:val="00296443"/>
    <w:rsid w:val="00296623"/>
    <w:rsid w:val="00296866"/>
    <w:rsid w:val="00296B55"/>
    <w:rsid w:val="00296DA7"/>
    <w:rsid w:val="00297104"/>
    <w:rsid w:val="002971F9"/>
    <w:rsid w:val="00297570"/>
    <w:rsid w:val="00297A7F"/>
    <w:rsid w:val="00297BB0"/>
    <w:rsid w:val="00297D0A"/>
    <w:rsid w:val="00297D3B"/>
    <w:rsid w:val="00297FA4"/>
    <w:rsid w:val="002A02CA"/>
    <w:rsid w:val="002A0377"/>
    <w:rsid w:val="002A06CF"/>
    <w:rsid w:val="002A06E7"/>
    <w:rsid w:val="002A08F5"/>
    <w:rsid w:val="002A0913"/>
    <w:rsid w:val="002A0A51"/>
    <w:rsid w:val="002A0AF6"/>
    <w:rsid w:val="002A0E03"/>
    <w:rsid w:val="002A116E"/>
    <w:rsid w:val="002A17A7"/>
    <w:rsid w:val="002A1C74"/>
    <w:rsid w:val="002A1EB7"/>
    <w:rsid w:val="002A2196"/>
    <w:rsid w:val="002A2406"/>
    <w:rsid w:val="002A24B6"/>
    <w:rsid w:val="002A2673"/>
    <w:rsid w:val="002A26F3"/>
    <w:rsid w:val="002A28A8"/>
    <w:rsid w:val="002A2A3E"/>
    <w:rsid w:val="002A2E02"/>
    <w:rsid w:val="002A2FE3"/>
    <w:rsid w:val="002A3409"/>
    <w:rsid w:val="002A3467"/>
    <w:rsid w:val="002A377C"/>
    <w:rsid w:val="002A381C"/>
    <w:rsid w:val="002A4231"/>
    <w:rsid w:val="002A4341"/>
    <w:rsid w:val="002A436C"/>
    <w:rsid w:val="002A4AE0"/>
    <w:rsid w:val="002A4B9E"/>
    <w:rsid w:val="002A5360"/>
    <w:rsid w:val="002A5569"/>
    <w:rsid w:val="002A5663"/>
    <w:rsid w:val="002A5674"/>
    <w:rsid w:val="002A5701"/>
    <w:rsid w:val="002A5BA6"/>
    <w:rsid w:val="002A601E"/>
    <w:rsid w:val="002A6738"/>
    <w:rsid w:val="002A6AD5"/>
    <w:rsid w:val="002A6E7A"/>
    <w:rsid w:val="002A6E86"/>
    <w:rsid w:val="002A7309"/>
    <w:rsid w:val="002A7C57"/>
    <w:rsid w:val="002A7CF6"/>
    <w:rsid w:val="002A7FCD"/>
    <w:rsid w:val="002B0055"/>
    <w:rsid w:val="002B039E"/>
    <w:rsid w:val="002B09AE"/>
    <w:rsid w:val="002B0E33"/>
    <w:rsid w:val="002B0FF8"/>
    <w:rsid w:val="002B106B"/>
    <w:rsid w:val="002B1342"/>
    <w:rsid w:val="002B14F9"/>
    <w:rsid w:val="002B1724"/>
    <w:rsid w:val="002B1896"/>
    <w:rsid w:val="002B1D21"/>
    <w:rsid w:val="002B258E"/>
    <w:rsid w:val="002B26EC"/>
    <w:rsid w:val="002B2710"/>
    <w:rsid w:val="002B2B08"/>
    <w:rsid w:val="002B2C13"/>
    <w:rsid w:val="002B31A3"/>
    <w:rsid w:val="002B3304"/>
    <w:rsid w:val="002B3425"/>
    <w:rsid w:val="002B3668"/>
    <w:rsid w:val="002B4107"/>
    <w:rsid w:val="002B43A4"/>
    <w:rsid w:val="002B44B6"/>
    <w:rsid w:val="002B45B0"/>
    <w:rsid w:val="002B4662"/>
    <w:rsid w:val="002B46A4"/>
    <w:rsid w:val="002B46AA"/>
    <w:rsid w:val="002B470C"/>
    <w:rsid w:val="002B5015"/>
    <w:rsid w:val="002B5430"/>
    <w:rsid w:val="002B58A3"/>
    <w:rsid w:val="002B5C2B"/>
    <w:rsid w:val="002B5CC9"/>
    <w:rsid w:val="002B5CE2"/>
    <w:rsid w:val="002B5F3B"/>
    <w:rsid w:val="002B6012"/>
    <w:rsid w:val="002B6292"/>
    <w:rsid w:val="002B6356"/>
    <w:rsid w:val="002B6365"/>
    <w:rsid w:val="002B647B"/>
    <w:rsid w:val="002B64E4"/>
    <w:rsid w:val="002B6C19"/>
    <w:rsid w:val="002B6CC3"/>
    <w:rsid w:val="002B7779"/>
    <w:rsid w:val="002B78B3"/>
    <w:rsid w:val="002B7BF6"/>
    <w:rsid w:val="002B7EDF"/>
    <w:rsid w:val="002C0121"/>
    <w:rsid w:val="002C0152"/>
    <w:rsid w:val="002C01D5"/>
    <w:rsid w:val="002C0402"/>
    <w:rsid w:val="002C0467"/>
    <w:rsid w:val="002C0B8F"/>
    <w:rsid w:val="002C1C79"/>
    <w:rsid w:val="002C219C"/>
    <w:rsid w:val="002C2C5E"/>
    <w:rsid w:val="002C2C98"/>
    <w:rsid w:val="002C2E0F"/>
    <w:rsid w:val="002C2F75"/>
    <w:rsid w:val="002C3405"/>
    <w:rsid w:val="002C3FB5"/>
    <w:rsid w:val="002C4276"/>
    <w:rsid w:val="002C4308"/>
    <w:rsid w:val="002C4774"/>
    <w:rsid w:val="002C4897"/>
    <w:rsid w:val="002C48F3"/>
    <w:rsid w:val="002C4BFE"/>
    <w:rsid w:val="002C5238"/>
    <w:rsid w:val="002C52CF"/>
    <w:rsid w:val="002C533A"/>
    <w:rsid w:val="002C53AD"/>
    <w:rsid w:val="002C5436"/>
    <w:rsid w:val="002C5595"/>
    <w:rsid w:val="002C55C2"/>
    <w:rsid w:val="002C5676"/>
    <w:rsid w:val="002C585B"/>
    <w:rsid w:val="002C58E7"/>
    <w:rsid w:val="002C5991"/>
    <w:rsid w:val="002C5C5D"/>
    <w:rsid w:val="002C5EE8"/>
    <w:rsid w:val="002C62E9"/>
    <w:rsid w:val="002C63FA"/>
    <w:rsid w:val="002C6774"/>
    <w:rsid w:val="002C6B2A"/>
    <w:rsid w:val="002C6D00"/>
    <w:rsid w:val="002C6F66"/>
    <w:rsid w:val="002C775F"/>
    <w:rsid w:val="002C77F1"/>
    <w:rsid w:val="002C79C5"/>
    <w:rsid w:val="002C79FA"/>
    <w:rsid w:val="002C7A0E"/>
    <w:rsid w:val="002D003D"/>
    <w:rsid w:val="002D0591"/>
    <w:rsid w:val="002D062F"/>
    <w:rsid w:val="002D06A2"/>
    <w:rsid w:val="002D0E27"/>
    <w:rsid w:val="002D12F6"/>
    <w:rsid w:val="002D16A6"/>
    <w:rsid w:val="002D1966"/>
    <w:rsid w:val="002D1EDF"/>
    <w:rsid w:val="002D2470"/>
    <w:rsid w:val="002D2BEA"/>
    <w:rsid w:val="002D2D74"/>
    <w:rsid w:val="002D2DEF"/>
    <w:rsid w:val="002D2EDA"/>
    <w:rsid w:val="002D3313"/>
    <w:rsid w:val="002D3324"/>
    <w:rsid w:val="002D33CD"/>
    <w:rsid w:val="002D3437"/>
    <w:rsid w:val="002D37D6"/>
    <w:rsid w:val="002D3801"/>
    <w:rsid w:val="002D38AB"/>
    <w:rsid w:val="002D38F8"/>
    <w:rsid w:val="002D3943"/>
    <w:rsid w:val="002D3C83"/>
    <w:rsid w:val="002D3CDB"/>
    <w:rsid w:val="002D435D"/>
    <w:rsid w:val="002D477D"/>
    <w:rsid w:val="002D4B47"/>
    <w:rsid w:val="002D4EEC"/>
    <w:rsid w:val="002D544E"/>
    <w:rsid w:val="002D55E2"/>
    <w:rsid w:val="002D574D"/>
    <w:rsid w:val="002D5B1C"/>
    <w:rsid w:val="002D5C33"/>
    <w:rsid w:val="002D5E88"/>
    <w:rsid w:val="002D5F06"/>
    <w:rsid w:val="002D5F73"/>
    <w:rsid w:val="002D5FA7"/>
    <w:rsid w:val="002D5FA8"/>
    <w:rsid w:val="002D6272"/>
    <w:rsid w:val="002D6366"/>
    <w:rsid w:val="002D644B"/>
    <w:rsid w:val="002D6820"/>
    <w:rsid w:val="002D6BFC"/>
    <w:rsid w:val="002D6FD2"/>
    <w:rsid w:val="002D737E"/>
    <w:rsid w:val="002D7473"/>
    <w:rsid w:val="002D7747"/>
    <w:rsid w:val="002D7877"/>
    <w:rsid w:val="002D7E48"/>
    <w:rsid w:val="002E0152"/>
    <w:rsid w:val="002E024D"/>
    <w:rsid w:val="002E0277"/>
    <w:rsid w:val="002E03F7"/>
    <w:rsid w:val="002E0633"/>
    <w:rsid w:val="002E0883"/>
    <w:rsid w:val="002E09BF"/>
    <w:rsid w:val="002E0B47"/>
    <w:rsid w:val="002E0CD0"/>
    <w:rsid w:val="002E145E"/>
    <w:rsid w:val="002E16C5"/>
    <w:rsid w:val="002E2054"/>
    <w:rsid w:val="002E23DF"/>
    <w:rsid w:val="002E2492"/>
    <w:rsid w:val="002E27EC"/>
    <w:rsid w:val="002E2831"/>
    <w:rsid w:val="002E29FF"/>
    <w:rsid w:val="002E3351"/>
    <w:rsid w:val="002E388C"/>
    <w:rsid w:val="002E3CF3"/>
    <w:rsid w:val="002E4747"/>
    <w:rsid w:val="002E4A8A"/>
    <w:rsid w:val="002E4D47"/>
    <w:rsid w:val="002E4DF1"/>
    <w:rsid w:val="002E50FB"/>
    <w:rsid w:val="002E545C"/>
    <w:rsid w:val="002E5571"/>
    <w:rsid w:val="002E5A5A"/>
    <w:rsid w:val="002E5B9F"/>
    <w:rsid w:val="002E5C35"/>
    <w:rsid w:val="002E6173"/>
    <w:rsid w:val="002E6263"/>
    <w:rsid w:val="002E6745"/>
    <w:rsid w:val="002E6D90"/>
    <w:rsid w:val="002E747C"/>
    <w:rsid w:val="002E74C8"/>
    <w:rsid w:val="002E76A9"/>
    <w:rsid w:val="002E7782"/>
    <w:rsid w:val="002E787B"/>
    <w:rsid w:val="002E7B5C"/>
    <w:rsid w:val="002E7BD3"/>
    <w:rsid w:val="002E7D46"/>
    <w:rsid w:val="002E7DB5"/>
    <w:rsid w:val="002F0CCD"/>
    <w:rsid w:val="002F0EF8"/>
    <w:rsid w:val="002F11B1"/>
    <w:rsid w:val="002F127E"/>
    <w:rsid w:val="002F12F8"/>
    <w:rsid w:val="002F17C5"/>
    <w:rsid w:val="002F1B03"/>
    <w:rsid w:val="002F1C87"/>
    <w:rsid w:val="002F1F49"/>
    <w:rsid w:val="002F243D"/>
    <w:rsid w:val="002F267B"/>
    <w:rsid w:val="002F2907"/>
    <w:rsid w:val="002F2FCC"/>
    <w:rsid w:val="002F3157"/>
    <w:rsid w:val="002F3167"/>
    <w:rsid w:val="002F3457"/>
    <w:rsid w:val="002F351E"/>
    <w:rsid w:val="002F38E6"/>
    <w:rsid w:val="002F3B3C"/>
    <w:rsid w:val="002F3DBC"/>
    <w:rsid w:val="002F3F82"/>
    <w:rsid w:val="002F4319"/>
    <w:rsid w:val="002F4406"/>
    <w:rsid w:val="002F46C3"/>
    <w:rsid w:val="002F4B61"/>
    <w:rsid w:val="002F4D20"/>
    <w:rsid w:val="002F4E68"/>
    <w:rsid w:val="002F4ECB"/>
    <w:rsid w:val="002F4EF0"/>
    <w:rsid w:val="002F527A"/>
    <w:rsid w:val="002F5572"/>
    <w:rsid w:val="002F55E2"/>
    <w:rsid w:val="002F5805"/>
    <w:rsid w:val="002F594A"/>
    <w:rsid w:val="002F6293"/>
    <w:rsid w:val="002F6922"/>
    <w:rsid w:val="002F6937"/>
    <w:rsid w:val="002F6988"/>
    <w:rsid w:val="002F6A73"/>
    <w:rsid w:val="002F6A75"/>
    <w:rsid w:val="002F6BA1"/>
    <w:rsid w:val="002F6CA3"/>
    <w:rsid w:val="002F6D0C"/>
    <w:rsid w:val="002F6DB5"/>
    <w:rsid w:val="002F7507"/>
    <w:rsid w:val="002F767E"/>
    <w:rsid w:val="002F7C4C"/>
    <w:rsid w:val="002F7CE5"/>
    <w:rsid w:val="002F7DBE"/>
    <w:rsid w:val="002F7FEE"/>
    <w:rsid w:val="0030002C"/>
    <w:rsid w:val="00300320"/>
    <w:rsid w:val="00300462"/>
    <w:rsid w:val="003008DE"/>
    <w:rsid w:val="00300926"/>
    <w:rsid w:val="00300D35"/>
    <w:rsid w:val="003010CD"/>
    <w:rsid w:val="003010EA"/>
    <w:rsid w:val="003011F2"/>
    <w:rsid w:val="00301300"/>
    <w:rsid w:val="0030134A"/>
    <w:rsid w:val="0030147C"/>
    <w:rsid w:val="00301590"/>
    <w:rsid w:val="003016B8"/>
    <w:rsid w:val="00301BCD"/>
    <w:rsid w:val="00301C06"/>
    <w:rsid w:val="00301E08"/>
    <w:rsid w:val="0030205B"/>
    <w:rsid w:val="00302088"/>
    <w:rsid w:val="0030209E"/>
    <w:rsid w:val="003020B2"/>
    <w:rsid w:val="003023D4"/>
    <w:rsid w:val="00302509"/>
    <w:rsid w:val="00302C1A"/>
    <w:rsid w:val="00302C9E"/>
    <w:rsid w:val="00302F9C"/>
    <w:rsid w:val="003034EB"/>
    <w:rsid w:val="003035E0"/>
    <w:rsid w:val="00303A68"/>
    <w:rsid w:val="00303BB6"/>
    <w:rsid w:val="0030415F"/>
    <w:rsid w:val="003041A1"/>
    <w:rsid w:val="003044A0"/>
    <w:rsid w:val="003045A0"/>
    <w:rsid w:val="00304857"/>
    <w:rsid w:val="003052B9"/>
    <w:rsid w:val="003052C8"/>
    <w:rsid w:val="003054D7"/>
    <w:rsid w:val="00305CDB"/>
    <w:rsid w:val="00305DC6"/>
    <w:rsid w:val="0030606B"/>
    <w:rsid w:val="003061AF"/>
    <w:rsid w:val="003064C6"/>
    <w:rsid w:val="00306677"/>
    <w:rsid w:val="003071B6"/>
    <w:rsid w:val="00307259"/>
    <w:rsid w:val="00307476"/>
    <w:rsid w:val="00307AF3"/>
    <w:rsid w:val="00307E94"/>
    <w:rsid w:val="0031005B"/>
    <w:rsid w:val="003100DA"/>
    <w:rsid w:val="00310344"/>
    <w:rsid w:val="003103EC"/>
    <w:rsid w:val="00310582"/>
    <w:rsid w:val="003108C0"/>
    <w:rsid w:val="003108EA"/>
    <w:rsid w:val="00311012"/>
    <w:rsid w:val="00311182"/>
    <w:rsid w:val="0031144C"/>
    <w:rsid w:val="003116F2"/>
    <w:rsid w:val="00311755"/>
    <w:rsid w:val="00311799"/>
    <w:rsid w:val="00311950"/>
    <w:rsid w:val="003119B2"/>
    <w:rsid w:val="00311AC1"/>
    <w:rsid w:val="00311CB2"/>
    <w:rsid w:val="00311CE6"/>
    <w:rsid w:val="00311FF2"/>
    <w:rsid w:val="00312005"/>
    <w:rsid w:val="00312167"/>
    <w:rsid w:val="00312457"/>
    <w:rsid w:val="0031265E"/>
    <w:rsid w:val="00312767"/>
    <w:rsid w:val="00312810"/>
    <w:rsid w:val="0031291C"/>
    <w:rsid w:val="00312BC7"/>
    <w:rsid w:val="00312FBA"/>
    <w:rsid w:val="00313248"/>
    <w:rsid w:val="0031375E"/>
    <w:rsid w:val="00313944"/>
    <w:rsid w:val="00313DD5"/>
    <w:rsid w:val="00313F48"/>
    <w:rsid w:val="003141EC"/>
    <w:rsid w:val="00314F36"/>
    <w:rsid w:val="00314FA4"/>
    <w:rsid w:val="00315130"/>
    <w:rsid w:val="00315371"/>
    <w:rsid w:val="0031598F"/>
    <w:rsid w:val="00315C37"/>
    <w:rsid w:val="00315D93"/>
    <w:rsid w:val="00315E9E"/>
    <w:rsid w:val="00316147"/>
    <w:rsid w:val="003164D0"/>
    <w:rsid w:val="003165A7"/>
    <w:rsid w:val="0031671E"/>
    <w:rsid w:val="00316A42"/>
    <w:rsid w:val="003171B4"/>
    <w:rsid w:val="00317236"/>
    <w:rsid w:val="0031771E"/>
    <w:rsid w:val="0031780F"/>
    <w:rsid w:val="00320028"/>
    <w:rsid w:val="00320093"/>
    <w:rsid w:val="003200DF"/>
    <w:rsid w:val="003201B0"/>
    <w:rsid w:val="00320370"/>
    <w:rsid w:val="0032067E"/>
    <w:rsid w:val="00320732"/>
    <w:rsid w:val="003207E8"/>
    <w:rsid w:val="00320A9C"/>
    <w:rsid w:val="00320F0B"/>
    <w:rsid w:val="00321068"/>
    <w:rsid w:val="00321122"/>
    <w:rsid w:val="0032119F"/>
    <w:rsid w:val="00321C21"/>
    <w:rsid w:val="00321C38"/>
    <w:rsid w:val="00322576"/>
    <w:rsid w:val="0032257A"/>
    <w:rsid w:val="0032269B"/>
    <w:rsid w:val="003226AD"/>
    <w:rsid w:val="0032290C"/>
    <w:rsid w:val="00322E91"/>
    <w:rsid w:val="00322ED2"/>
    <w:rsid w:val="003234D1"/>
    <w:rsid w:val="003235F6"/>
    <w:rsid w:val="003236B5"/>
    <w:rsid w:val="00323979"/>
    <w:rsid w:val="00323EA0"/>
    <w:rsid w:val="00323FAF"/>
    <w:rsid w:val="00324C2A"/>
    <w:rsid w:val="003250A3"/>
    <w:rsid w:val="003252DA"/>
    <w:rsid w:val="003255A5"/>
    <w:rsid w:val="00325608"/>
    <w:rsid w:val="00325694"/>
    <w:rsid w:val="00325BE1"/>
    <w:rsid w:val="0032637C"/>
    <w:rsid w:val="0032640C"/>
    <w:rsid w:val="00326AE2"/>
    <w:rsid w:val="00326C7B"/>
    <w:rsid w:val="00326E0F"/>
    <w:rsid w:val="00327202"/>
    <w:rsid w:val="00327220"/>
    <w:rsid w:val="00327675"/>
    <w:rsid w:val="00327742"/>
    <w:rsid w:val="00327757"/>
    <w:rsid w:val="00327B39"/>
    <w:rsid w:val="0033030B"/>
    <w:rsid w:val="003303F1"/>
    <w:rsid w:val="00330743"/>
    <w:rsid w:val="00330995"/>
    <w:rsid w:val="00330F6B"/>
    <w:rsid w:val="00330FA4"/>
    <w:rsid w:val="00331117"/>
    <w:rsid w:val="00331731"/>
    <w:rsid w:val="00331C7E"/>
    <w:rsid w:val="0033212E"/>
    <w:rsid w:val="00332BBB"/>
    <w:rsid w:val="00332C98"/>
    <w:rsid w:val="00332F7B"/>
    <w:rsid w:val="003330F3"/>
    <w:rsid w:val="003331CE"/>
    <w:rsid w:val="00333270"/>
    <w:rsid w:val="0033369D"/>
    <w:rsid w:val="00333BB6"/>
    <w:rsid w:val="0033438C"/>
    <w:rsid w:val="00334A18"/>
    <w:rsid w:val="00334A47"/>
    <w:rsid w:val="00334F91"/>
    <w:rsid w:val="00334FAD"/>
    <w:rsid w:val="00335139"/>
    <w:rsid w:val="00335693"/>
    <w:rsid w:val="003356DD"/>
    <w:rsid w:val="00335C80"/>
    <w:rsid w:val="0033607A"/>
    <w:rsid w:val="00336185"/>
    <w:rsid w:val="0033621B"/>
    <w:rsid w:val="0033637C"/>
    <w:rsid w:val="00336493"/>
    <w:rsid w:val="00336A1D"/>
    <w:rsid w:val="00336EBB"/>
    <w:rsid w:val="003374C5"/>
    <w:rsid w:val="003375A6"/>
    <w:rsid w:val="003376DA"/>
    <w:rsid w:val="00337A42"/>
    <w:rsid w:val="00340038"/>
    <w:rsid w:val="00340215"/>
    <w:rsid w:val="003402C6"/>
    <w:rsid w:val="003409BB"/>
    <w:rsid w:val="00340BBE"/>
    <w:rsid w:val="003412CC"/>
    <w:rsid w:val="0034131F"/>
    <w:rsid w:val="00341437"/>
    <w:rsid w:val="003419A0"/>
    <w:rsid w:val="003419D4"/>
    <w:rsid w:val="00341E08"/>
    <w:rsid w:val="00341E34"/>
    <w:rsid w:val="00341E59"/>
    <w:rsid w:val="00342422"/>
    <w:rsid w:val="0034288B"/>
    <w:rsid w:val="00342B1B"/>
    <w:rsid w:val="00342B25"/>
    <w:rsid w:val="00342D83"/>
    <w:rsid w:val="003431E1"/>
    <w:rsid w:val="00343207"/>
    <w:rsid w:val="003433A4"/>
    <w:rsid w:val="003439D2"/>
    <w:rsid w:val="00343EDD"/>
    <w:rsid w:val="0034403D"/>
    <w:rsid w:val="00344064"/>
    <w:rsid w:val="003440D0"/>
    <w:rsid w:val="003441A4"/>
    <w:rsid w:val="00344520"/>
    <w:rsid w:val="003448C3"/>
    <w:rsid w:val="00344E2E"/>
    <w:rsid w:val="00344FA3"/>
    <w:rsid w:val="003451AD"/>
    <w:rsid w:val="00345391"/>
    <w:rsid w:val="003453E0"/>
    <w:rsid w:val="00345625"/>
    <w:rsid w:val="003457C1"/>
    <w:rsid w:val="003458D1"/>
    <w:rsid w:val="003459AE"/>
    <w:rsid w:val="00345A70"/>
    <w:rsid w:val="00345ADD"/>
    <w:rsid w:val="0034608B"/>
    <w:rsid w:val="003463E5"/>
    <w:rsid w:val="003464EE"/>
    <w:rsid w:val="003466DD"/>
    <w:rsid w:val="00346A7B"/>
    <w:rsid w:val="00346D65"/>
    <w:rsid w:val="00346E7B"/>
    <w:rsid w:val="00346EAC"/>
    <w:rsid w:val="0034730F"/>
    <w:rsid w:val="00347958"/>
    <w:rsid w:val="00347A4C"/>
    <w:rsid w:val="00347C81"/>
    <w:rsid w:val="00350099"/>
    <w:rsid w:val="00350189"/>
    <w:rsid w:val="00350318"/>
    <w:rsid w:val="003505F9"/>
    <w:rsid w:val="00351518"/>
    <w:rsid w:val="00351BB6"/>
    <w:rsid w:val="003520C6"/>
    <w:rsid w:val="0035211C"/>
    <w:rsid w:val="00352284"/>
    <w:rsid w:val="00352416"/>
    <w:rsid w:val="00352479"/>
    <w:rsid w:val="00352ADF"/>
    <w:rsid w:val="00352C43"/>
    <w:rsid w:val="00352DEC"/>
    <w:rsid w:val="0035407B"/>
    <w:rsid w:val="00354669"/>
    <w:rsid w:val="00354722"/>
    <w:rsid w:val="00354A4C"/>
    <w:rsid w:val="00354B79"/>
    <w:rsid w:val="00354E0A"/>
    <w:rsid w:val="00355104"/>
    <w:rsid w:val="00355204"/>
    <w:rsid w:val="00355282"/>
    <w:rsid w:val="003552F6"/>
    <w:rsid w:val="00355741"/>
    <w:rsid w:val="00355A9F"/>
    <w:rsid w:val="00355ABD"/>
    <w:rsid w:val="00355C66"/>
    <w:rsid w:val="00355D75"/>
    <w:rsid w:val="003563C9"/>
    <w:rsid w:val="003566C0"/>
    <w:rsid w:val="00356AA9"/>
    <w:rsid w:val="00356B37"/>
    <w:rsid w:val="00356DCB"/>
    <w:rsid w:val="00357326"/>
    <w:rsid w:val="0035797C"/>
    <w:rsid w:val="0036006A"/>
    <w:rsid w:val="00360665"/>
    <w:rsid w:val="00360759"/>
    <w:rsid w:val="00360773"/>
    <w:rsid w:val="00360802"/>
    <w:rsid w:val="00360B5F"/>
    <w:rsid w:val="00360DF8"/>
    <w:rsid w:val="00360E78"/>
    <w:rsid w:val="00360EEE"/>
    <w:rsid w:val="00360FB5"/>
    <w:rsid w:val="0036105C"/>
    <w:rsid w:val="0036201F"/>
    <w:rsid w:val="0036206D"/>
    <w:rsid w:val="0036245D"/>
    <w:rsid w:val="003626B5"/>
    <w:rsid w:val="00362767"/>
    <w:rsid w:val="00362DC2"/>
    <w:rsid w:val="003630B1"/>
    <w:rsid w:val="00363644"/>
    <w:rsid w:val="00363A70"/>
    <w:rsid w:val="00364024"/>
    <w:rsid w:val="00364062"/>
    <w:rsid w:val="0036455A"/>
    <w:rsid w:val="00364A98"/>
    <w:rsid w:val="003650B3"/>
    <w:rsid w:val="00365B76"/>
    <w:rsid w:val="00365E8E"/>
    <w:rsid w:val="00366187"/>
    <w:rsid w:val="003665BE"/>
    <w:rsid w:val="003666EF"/>
    <w:rsid w:val="003667A8"/>
    <w:rsid w:val="00366AC9"/>
    <w:rsid w:val="00367267"/>
    <w:rsid w:val="00367A5B"/>
    <w:rsid w:val="00367B3D"/>
    <w:rsid w:val="00367B64"/>
    <w:rsid w:val="00367C42"/>
    <w:rsid w:val="00370800"/>
    <w:rsid w:val="00371066"/>
    <w:rsid w:val="00371676"/>
    <w:rsid w:val="00371688"/>
    <w:rsid w:val="003718BC"/>
    <w:rsid w:val="00371A04"/>
    <w:rsid w:val="00371CFF"/>
    <w:rsid w:val="00371D86"/>
    <w:rsid w:val="00371DA6"/>
    <w:rsid w:val="00371FD8"/>
    <w:rsid w:val="00372009"/>
    <w:rsid w:val="003721FC"/>
    <w:rsid w:val="00372530"/>
    <w:rsid w:val="003727A8"/>
    <w:rsid w:val="00372A1D"/>
    <w:rsid w:val="00372F22"/>
    <w:rsid w:val="00372F68"/>
    <w:rsid w:val="00372FE3"/>
    <w:rsid w:val="00373458"/>
    <w:rsid w:val="00373581"/>
    <w:rsid w:val="00373B93"/>
    <w:rsid w:val="00373BD6"/>
    <w:rsid w:val="00373CA6"/>
    <w:rsid w:val="00373D76"/>
    <w:rsid w:val="0037436B"/>
    <w:rsid w:val="003749AD"/>
    <w:rsid w:val="00374BA3"/>
    <w:rsid w:val="003750C5"/>
    <w:rsid w:val="00375325"/>
    <w:rsid w:val="003759CF"/>
    <w:rsid w:val="00375A3E"/>
    <w:rsid w:val="00375A81"/>
    <w:rsid w:val="00375C51"/>
    <w:rsid w:val="00376045"/>
    <w:rsid w:val="00376114"/>
    <w:rsid w:val="003764CD"/>
    <w:rsid w:val="003768D8"/>
    <w:rsid w:val="003769CA"/>
    <w:rsid w:val="00376DA8"/>
    <w:rsid w:val="0037709C"/>
    <w:rsid w:val="00377598"/>
    <w:rsid w:val="003776D8"/>
    <w:rsid w:val="0037783D"/>
    <w:rsid w:val="003778D3"/>
    <w:rsid w:val="0037792C"/>
    <w:rsid w:val="00377C4B"/>
    <w:rsid w:val="00380F75"/>
    <w:rsid w:val="00381091"/>
    <w:rsid w:val="003815D5"/>
    <w:rsid w:val="00381D3D"/>
    <w:rsid w:val="00382105"/>
    <w:rsid w:val="00382106"/>
    <w:rsid w:val="003824DF"/>
    <w:rsid w:val="0038267D"/>
    <w:rsid w:val="003828DC"/>
    <w:rsid w:val="00382AC4"/>
    <w:rsid w:val="00382DAE"/>
    <w:rsid w:val="00383882"/>
    <w:rsid w:val="00383C58"/>
    <w:rsid w:val="00383DC7"/>
    <w:rsid w:val="00383DC9"/>
    <w:rsid w:val="0038423D"/>
    <w:rsid w:val="003843A2"/>
    <w:rsid w:val="003845A0"/>
    <w:rsid w:val="00384636"/>
    <w:rsid w:val="00384731"/>
    <w:rsid w:val="00384CD4"/>
    <w:rsid w:val="00385192"/>
    <w:rsid w:val="0038522A"/>
    <w:rsid w:val="0038543A"/>
    <w:rsid w:val="00385449"/>
    <w:rsid w:val="00385D57"/>
    <w:rsid w:val="00385EA3"/>
    <w:rsid w:val="00386016"/>
    <w:rsid w:val="003865CE"/>
    <w:rsid w:val="003868E5"/>
    <w:rsid w:val="00386A2D"/>
    <w:rsid w:val="00386E88"/>
    <w:rsid w:val="0038716B"/>
    <w:rsid w:val="00387211"/>
    <w:rsid w:val="0038760A"/>
    <w:rsid w:val="0038788E"/>
    <w:rsid w:val="00387A3F"/>
    <w:rsid w:val="00387C01"/>
    <w:rsid w:val="00390151"/>
    <w:rsid w:val="0039074A"/>
    <w:rsid w:val="00390755"/>
    <w:rsid w:val="00390B60"/>
    <w:rsid w:val="00390FAF"/>
    <w:rsid w:val="00391360"/>
    <w:rsid w:val="00391533"/>
    <w:rsid w:val="00391B31"/>
    <w:rsid w:val="00391DF6"/>
    <w:rsid w:val="003921FB"/>
    <w:rsid w:val="00392358"/>
    <w:rsid w:val="00392413"/>
    <w:rsid w:val="00392AAC"/>
    <w:rsid w:val="00392B95"/>
    <w:rsid w:val="00392E89"/>
    <w:rsid w:val="00392FD8"/>
    <w:rsid w:val="003933DD"/>
    <w:rsid w:val="00393E03"/>
    <w:rsid w:val="00393E24"/>
    <w:rsid w:val="00394005"/>
    <w:rsid w:val="003940EF"/>
    <w:rsid w:val="00394402"/>
    <w:rsid w:val="003945E8"/>
    <w:rsid w:val="00394653"/>
    <w:rsid w:val="00394714"/>
    <w:rsid w:val="003948F1"/>
    <w:rsid w:val="00395210"/>
    <w:rsid w:val="003952B0"/>
    <w:rsid w:val="00395304"/>
    <w:rsid w:val="0039567B"/>
    <w:rsid w:val="003957C5"/>
    <w:rsid w:val="00395B09"/>
    <w:rsid w:val="00395B22"/>
    <w:rsid w:val="003961DB"/>
    <w:rsid w:val="003965C0"/>
    <w:rsid w:val="003965C2"/>
    <w:rsid w:val="00396B4F"/>
    <w:rsid w:val="00396F3B"/>
    <w:rsid w:val="00397260"/>
    <w:rsid w:val="00397527"/>
    <w:rsid w:val="003975B3"/>
    <w:rsid w:val="00397DC0"/>
    <w:rsid w:val="003A0006"/>
    <w:rsid w:val="003A0064"/>
    <w:rsid w:val="003A0163"/>
    <w:rsid w:val="003A018F"/>
    <w:rsid w:val="003A072F"/>
    <w:rsid w:val="003A0B00"/>
    <w:rsid w:val="003A195F"/>
    <w:rsid w:val="003A1A33"/>
    <w:rsid w:val="003A1FB9"/>
    <w:rsid w:val="003A201E"/>
    <w:rsid w:val="003A20CB"/>
    <w:rsid w:val="003A2586"/>
    <w:rsid w:val="003A2AE6"/>
    <w:rsid w:val="003A2CCE"/>
    <w:rsid w:val="003A2FA4"/>
    <w:rsid w:val="003A31F0"/>
    <w:rsid w:val="003A37CC"/>
    <w:rsid w:val="003A4091"/>
    <w:rsid w:val="003A4092"/>
    <w:rsid w:val="003A4114"/>
    <w:rsid w:val="003A41AF"/>
    <w:rsid w:val="003A41FA"/>
    <w:rsid w:val="003A437E"/>
    <w:rsid w:val="003A482E"/>
    <w:rsid w:val="003A4A50"/>
    <w:rsid w:val="003A4F91"/>
    <w:rsid w:val="003A5431"/>
    <w:rsid w:val="003A583C"/>
    <w:rsid w:val="003A59EE"/>
    <w:rsid w:val="003A5C25"/>
    <w:rsid w:val="003A5D01"/>
    <w:rsid w:val="003A5D47"/>
    <w:rsid w:val="003A5EE0"/>
    <w:rsid w:val="003A5FDF"/>
    <w:rsid w:val="003A60EA"/>
    <w:rsid w:val="003A652A"/>
    <w:rsid w:val="003A66CA"/>
    <w:rsid w:val="003A690F"/>
    <w:rsid w:val="003A6AD8"/>
    <w:rsid w:val="003A6B1A"/>
    <w:rsid w:val="003A7165"/>
    <w:rsid w:val="003A7887"/>
    <w:rsid w:val="003A7F27"/>
    <w:rsid w:val="003A7F6B"/>
    <w:rsid w:val="003B020F"/>
    <w:rsid w:val="003B0519"/>
    <w:rsid w:val="003B0B0C"/>
    <w:rsid w:val="003B0E9D"/>
    <w:rsid w:val="003B1464"/>
    <w:rsid w:val="003B16AC"/>
    <w:rsid w:val="003B177D"/>
    <w:rsid w:val="003B195F"/>
    <w:rsid w:val="003B1A48"/>
    <w:rsid w:val="003B1A98"/>
    <w:rsid w:val="003B1B86"/>
    <w:rsid w:val="003B1BBD"/>
    <w:rsid w:val="003B1EC8"/>
    <w:rsid w:val="003B20BF"/>
    <w:rsid w:val="003B22D7"/>
    <w:rsid w:val="003B24A6"/>
    <w:rsid w:val="003B2803"/>
    <w:rsid w:val="003B2A37"/>
    <w:rsid w:val="003B3059"/>
    <w:rsid w:val="003B30E4"/>
    <w:rsid w:val="003B3246"/>
    <w:rsid w:val="003B35B4"/>
    <w:rsid w:val="003B3997"/>
    <w:rsid w:val="003B3B17"/>
    <w:rsid w:val="003B3CC4"/>
    <w:rsid w:val="003B3EBE"/>
    <w:rsid w:val="003B41DF"/>
    <w:rsid w:val="003B45D5"/>
    <w:rsid w:val="003B482B"/>
    <w:rsid w:val="003B498D"/>
    <w:rsid w:val="003B4DBF"/>
    <w:rsid w:val="003B4E86"/>
    <w:rsid w:val="003B56AF"/>
    <w:rsid w:val="003B5908"/>
    <w:rsid w:val="003B6055"/>
    <w:rsid w:val="003B66FB"/>
    <w:rsid w:val="003B6813"/>
    <w:rsid w:val="003B6BA4"/>
    <w:rsid w:val="003B6E3A"/>
    <w:rsid w:val="003B6FE8"/>
    <w:rsid w:val="003B7035"/>
    <w:rsid w:val="003B7047"/>
    <w:rsid w:val="003B776E"/>
    <w:rsid w:val="003B79CE"/>
    <w:rsid w:val="003B7AE7"/>
    <w:rsid w:val="003B7C7F"/>
    <w:rsid w:val="003C0964"/>
    <w:rsid w:val="003C09C6"/>
    <w:rsid w:val="003C0A3A"/>
    <w:rsid w:val="003C0ACE"/>
    <w:rsid w:val="003C1043"/>
    <w:rsid w:val="003C10AF"/>
    <w:rsid w:val="003C15F6"/>
    <w:rsid w:val="003C1B5D"/>
    <w:rsid w:val="003C2A5B"/>
    <w:rsid w:val="003C2E4A"/>
    <w:rsid w:val="003C2FE2"/>
    <w:rsid w:val="003C306B"/>
    <w:rsid w:val="003C30CF"/>
    <w:rsid w:val="003C3221"/>
    <w:rsid w:val="003C32E5"/>
    <w:rsid w:val="003C32E6"/>
    <w:rsid w:val="003C348D"/>
    <w:rsid w:val="003C3526"/>
    <w:rsid w:val="003C37AF"/>
    <w:rsid w:val="003C3A6E"/>
    <w:rsid w:val="003C3AC5"/>
    <w:rsid w:val="003C406B"/>
    <w:rsid w:val="003C4101"/>
    <w:rsid w:val="003C4460"/>
    <w:rsid w:val="003C4466"/>
    <w:rsid w:val="003C4469"/>
    <w:rsid w:val="003C4A0A"/>
    <w:rsid w:val="003C4B6A"/>
    <w:rsid w:val="003C4F77"/>
    <w:rsid w:val="003C5ACD"/>
    <w:rsid w:val="003C5CB4"/>
    <w:rsid w:val="003C5D5B"/>
    <w:rsid w:val="003C6104"/>
    <w:rsid w:val="003C6145"/>
    <w:rsid w:val="003C631B"/>
    <w:rsid w:val="003C66A4"/>
    <w:rsid w:val="003C6860"/>
    <w:rsid w:val="003C695F"/>
    <w:rsid w:val="003C77CE"/>
    <w:rsid w:val="003C7859"/>
    <w:rsid w:val="003C78A2"/>
    <w:rsid w:val="003C7963"/>
    <w:rsid w:val="003C7A77"/>
    <w:rsid w:val="003C7D37"/>
    <w:rsid w:val="003D0178"/>
    <w:rsid w:val="003D052F"/>
    <w:rsid w:val="003D0F52"/>
    <w:rsid w:val="003D10D3"/>
    <w:rsid w:val="003D117E"/>
    <w:rsid w:val="003D14D5"/>
    <w:rsid w:val="003D1582"/>
    <w:rsid w:val="003D1748"/>
    <w:rsid w:val="003D18B9"/>
    <w:rsid w:val="003D19AD"/>
    <w:rsid w:val="003D1E58"/>
    <w:rsid w:val="003D1EA1"/>
    <w:rsid w:val="003D216B"/>
    <w:rsid w:val="003D21EB"/>
    <w:rsid w:val="003D2422"/>
    <w:rsid w:val="003D24A4"/>
    <w:rsid w:val="003D26A8"/>
    <w:rsid w:val="003D2A22"/>
    <w:rsid w:val="003D2FE4"/>
    <w:rsid w:val="003D3039"/>
    <w:rsid w:val="003D3653"/>
    <w:rsid w:val="003D37A2"/>
    <w:rsid w:val="003D3ED3"/>
    <w:rsid w:val="003D4797"/>
    <w:rsid w:val="003D4AD2"/>
    <w:rsid w:val="003D4D8E"/>
    <w:rsid w:val="003D4DA3"/>
    <w:rsid w:val="003D50BE"/>
    <w:rsid w:val="003D58E3"/>
    <w:rsid w:val="003D5A83"/>
    <w:rsid w:val="003D5A97"/>
    <w:rsid w:val="003D5BB9"/>
    <w:rsid w:val="003D5ED3"/>
    <w:rsid w:val="003D6319"/>
    <w:rsid w:val="003D66DF"/>
    <w:rsid w:val="003D703B"/>
    <w:rsid w:val="003D7410"/>
    <w:rsid w:val="003D74FC"/>
    <w:rsid w:val="003D76F3"/>
    <w:rsid w:val="003D783E"/>
    <w:rsid w:val="003D7844"/>
    <w:rsid w:val="003D7B78"/>
    <w:rsid w:val="003D7CA1"/>
    <w:rsid w:val="003D7D25"/>
    <w:rsid w:val="003E0094"/>
    <w:rsid w:val="003E02E9"/>
    <w:rsid w:val="003E0AD5"/>
    <w:rsid w:val="003E0BE8"/>
    <w:rsid w:val="003E0D03"/>
    <w:rsid w:val="003E0DB7"/>
    <w:rsid w:val="003E0DC6"/>
    <w:rsid w:val="003E126D"/>
    <w:rsid w:val="003E162B"/>
    <w:rsid w:val="003E16EC"/>
    <w:rsid w:val="003E1AC3"/>
    <w:rsid w:val="003E1C14"/>
    <w:rsid w:val="003E1F0E"/>
    <w:rsid w:val="003E1F4B"/>
    <w:rsid w:val="003E2299"/>
    <w:rsid w:val="003E2432"/>
    <w:rsid w:val="003E255B"/>
    <w:rsid w:val="003E26B6"/>
    <w:rsid w:val="003E2746"/>
    <w:rsid w:val="003E2955"/>
    <w:rsid w:val="003E3153"/>
    <w:rsid w:val="003E3292"/>
    <w:rsid w:val="003E34E3"/>
    <w:rsid w:val="003E36FB"/>
    <w:rsid w:val="003E4601"/>
    <w:rsid w:val="003E4802"/>
    <w:rsid w:val="003E5142"/>
    <w:rsid w:val="003E51FD"/>
    <w:rsid w:val="003E5763"/>
    <w:rsid w:val="003E5D33"/>
    <w:rsid w:val="003E5FB3"/>
    <w:rsid w:val="003E6148"/>
    <w:rsid w:val="003E62E8"/>
    <w:rsid w:val="003E6495"/>
    <w:rsid w:val="003E6E15"/>
    <w:rsid w:val="003E751F"/>
    <w:rsid w:val="003E7698"/>
    <w:rsid w:val="003E7D87"/>
    <w:rsid w:val="003F003C"/>
    <w:rsid w:val="003F0206"/>
    <w:rsid w:val="003F03B6"/>
    <w:rsid w:val="003F03E8"/>
    <w:rsid w:val="003F062A"/>
    <w:rsid w:val="003F09A9"/>
    <w:rsid w:val="003F0A0C"/>
    <w:rsid w:val="003F0EA1"/>
    <w:rsid w:val="003F0EE3"/>
    <w:rsid w:val="003F1509"/>
    <w:rsid w:val="003F17BC"/>
    <w:rsid w:val="003F2205"/>
    <w:rsid w:val="003F2785"/>
    <w:rsid w:val="003F39B5"/>
    <w:rsid w:val="003F3C83"/>
    <w:rsid w:val="003F3CC9"/>
    <w:rsid w:val="003F4227"/>
    <w:rsid w:val="003F43A8"/>
    <w:rsid w:val="003F4400"/>
    <w:rsid w:val="003F45F1"/>
    <w:rsid w:val="003F4AED"/>
    <w:rsid w:val="003F4B9D"/>
    <w:rsid w:val="003F4C4E"/>
    <w:rsid w:val="003F4EC3"/>
    <w:rsid w:val="003F4F11"/>
    <w:rsid w:val="003F508C"/>
    <w:rsid w:val="003F510E"/>
    <w:rsid w:val="003F5D51"/>
    <w:rsid w:val="003F5DD1"/>
    <w:rsid w:val="003F63F1"/>
    <w:rsid w:val="003F64EF"/>
    <w:rsid w:val="003F701F"/>
    <w:rsid w:val="003F766C"/>
    <w:rsid w:val="003F7BEA"/>
    <w:rsid w:val="003F7D44"/>
    <w:rsid w:val="003F7DEF"/>
    <w:rsid w:val="00400198"/>
    <w:rsid w:val="00400427"/>
    <w:rsid w:val="004008D9"/>
    <w:rsid w:val="00400903"/>
    <w:rsid w:val="00400D6B"/>
    <w:rsid w:val="00400EC3"/>
    <w:rsid w:val="00401661"/>
    <w:rsid w:val="0040193F"/>
    <w:rsid w:val="0040196A"/>
    <w:rsid w:val="004019AA"/>
    <w:rsid w:val="00401C58"/>
    <w:rsid w:val="00401E42"/>
    <w:rsid w:val="00402017"/>
    <w:rsid w:val="00402155"/>
    <w:rsid w:val="0040222A"/>
    <w:rsid w:val="00402259"/>
    <w:rsid w:val="0040261E"/>
    <w:rsid w:val="00402660"/>
    <w:rsid w:val="004026B4"/>
    <w:rsid w:val="0040326B"/>
    <w:rsid w:val="00403513"/>
    <w:rsid w:val="004036B5"/>
    <w:rsid w:val="00403D42"/>
    <w:rsid w:val="00404590"/>
    <w:rsid w:val="00404B36"/>
    <w:rsid w:val="00404BC7"/>
    <w:rsid w:val="00404C52"/>
    <w:rsid w:val="00404E36"/>
    <w:rsid w:val="004055C8"/>
    <w:rsid w:val="00405718"/>
    <w:rsid w:val="00405F06"/>
    <w:rsid w:val="0040600F"/>
    <w:rsid w:val="00406048"/>
    <w:rsid w:val="004061A3"/>
    <w:rsid w:val="00406482"/>
    <w:rsid w:val="00406844"/>
    <w:rsid w:val="00406B94"/>
    <w:rsid w:val="00406C8C"/>
    <w:rsid w:val="00406ED8"/>
    <w:rsid w:val="00406F45"/>
    <w:rsid w:val="00407121"/>
    <w:rsid w:val="00407652"/>
    <w:rsid w:val="004077C9"/>
    <w:rsid w:val="00407A30"/>
    <w:rsid w:val="00407B88"/>
    <w:rsid w:val="00407C51"/>
    <w:rsid w:val="00407CE3"/>
    <w:rsid w:val="00407F4A"/>
    <w:rsid w:val="00410751"/>
    <w:rsid w:val="00410C7B"/>
    <w:rsid w:val="00411527"/>
    <w:rsid w:val="00411762"/>
    <w:rsid w:val="004121D7"/>
    <w:rsid w:val="004125AB"/>
    <w:rsid w:val="004127AB"/>
    <w:rsid w:val="004129B0"/>
    <w:rsid w:val="00412B35"/>
    <w:rsid w:val="00412B87"/>
    <w:rsid w:val="00412BB8"/>
    <w:rsid w:val="004134DD"/>
    <w:rsid w:val="0041377C"/>
    <w:rsid w:val="0041389C"/>
    <w:rsid w:val="0041395E"/>
    <w:rsid w:val="004139C7"/>
    <w:rsid w:val="004141B4"/>
    <w:rsid w:val="0041436D"/>
    <w:rsid w:val="00414A47"/>
    <w:rsid w:val="00414BA6"/>
    <w:rsid w:val="00414BDB"/>
    <w:rsid w:val="004152A0"/>
    <w:rsid w:val="00415394"/>
    <w:rsid w:val="00415406"/>
    <w:rsid w:val="00415559"/>
    <w:rsid w:val="004156B9"/>
    <w:rsid w:val="00415E05"/>
    <w:rsid w:val="0041619A"/>
    <w:rsid w:val="00416213"/>
    <w:rsid w:val="00416277"/>
    <w:rsid w:val="0041663F"/>
    <w:rsid w:val="00416850"/>
    <w:rsid w:val="00416D34"/>
    <w:rsid w:val="00416DF6"/>
    <w:rsid w:val="00417574"/>
    <w:rsid w:val="00417610"/>
    <w:rsid w:val="0041770D"/>
    <w:rsid w:val="00417A51"/>
    <w:rsid w:val="00417D37"/>
    <w:rsid w:val="00417EC9"/>
    <w:rsid w:val="0042017F"/>
    <w:rsid w:val="0042025E"/>
    <w:rsid w:val="004205B2"/>
    <w:rsid w:val="004205E5"/>
    <w:rsid w:val="004206C8"/>
    <w:rsid w:val="00420B8D"/>
    <w:rsid w:val="00420EC8"/>
    <w:rsid w:val="00421214"/>
    <w:rsid w:val="004217F9"/>
    <w:rsid w:val="004220F3"/>
    <w:rsid w:val="00422257"/>
    <w:rsid w:val="0042254B"/>
    <w:rsid w:val="004225E6"/>
    <w:rsid w:val="00422936"/>
    <w:rsid w:val="00422F3D"/>
    <w:rsid w:val="004231C5"/>
    <w:rsid w:val="00423268"/>
    <w:rsid w:val="00423502"/>
    <w:rsid w:val="00423774"/>
    <w:rsid w:val="0042398E"/>
    <w:rsid w:val="00423B53"/>
    <w:rsid w:val="00424234"/>
    <w:rsid w:val="00424586"/>
    <w:rsid w:val="004249B5"/>
    <w:rsid w:val="00424DB4"/>
    <w:rsid w:val="0042534C"/>
    <w:rsid w:val="00425487"/>
    <w:rsid w:val="00425607"/>
    <w:rsid w:val="0042593F"/>
    <w:rsid w:val="00425A70"/>
    <w:rsid w:val="00425BC1"/>
    <w:rsid w:val="00425FAA"/>
    <w:rsid w:val="00426148"/>
    <w:rsid w:val="004266EA"/>
    <w:rsid w:val="00426773"/>
    <w:rsid w:val="00426C29"/>
    <w:rsid w:val="00427032"/>
    <w:rsid w:val="004272C4"/>
    <w:rsid w:val="004272E6"/>
    <w:rsid w:val="0042755D"/>
    <w:rsid w:val="004276D5"/>
    <w:rsid w:val="0042794D"/>
    <w:rsid w:val="0042798C"/>
    <w:rsid w:val="00427CAF"/>
    <w:rsid w:val="00427D23"/>
    <w:rsid w:val="00430816"/>
    <w:rsid w:val="00430817"/>
    <w:rsid w:val="00430EFD"/>
    <w:rsid w:val="0043103B"/>
    <w:rsid w:val="00431043"/>
    <w:rsid w:val="00431113"/>
    <w:rsid w:val="00431185"/>
    <w:rsid w:val="0043124D"/>
    <w:rsid w:val="00431419"/>
    <w:rsid w:val="004315DA"/>
    <w:rsid w:val="0043198A"/>
    <w:rsid w:val="0043243B"/>
    <w:rsid w:val="0043252B"/>
    <w:rsid w:val="004328E0"/>
    <w:rsid w:val="00432CFA"/>
    <w:rsid w:val="00432FA8"/>
    <w:rsid w:val="00432FEE"/>
    <w:rsid w:val="00433099"/>
    <w:rsid w:val="00433539"/>
    <w:rsid w:val="0043385D"/>
    <w:rsid w:val="004339EE"/>
    <w:rsid w:val="00433B1D"/>
    <w:rsid w:val="00433E04"/>
    <w:rsid w:val="00433F1C"/>
    <w:rsid w:val="004340E5"/>
    <w:rsid w:val="00434364"/>
    <w:rsid w:val="0043472A"/>
    <w:rsid w:val="00434A8E"/>
    <w:rsid w:val="00434BCE"/>
    <w:rsid w:val="00434D72"/>
    <w:rsid w:val="00434F1E"/>
    <w:rsid w:val="0043518D"/>
    <w:rsid w:val="00435261"/>
    <w:rsid w:val="004355DD"/>
    <w:rsid w:val="0043562D"/>
    <w:rsid w:val="00435846"/>
    <w:rsid w:val="00435B81"/>
    <w:rsid w:val="00435E46"/>
    <w:rsid w:val="0043640B"/>
    <w:rsid w:val="00436647"/>
    <w:rsid w:val="00436BA0"/>
    <w:rsid w:val="00436EB7"/>
    <w:rsid w:val="00436F20"/>
    <w:rsid w:val="004375EB"/>
    <w:rsid w:val="004379B5"/>
    <w:rsid w:val="00437DC8"/>
    <w:rsid w:val="00437F81"/>
    <w:rsid w:val="004401D6"/>
    <w:rsid w:val="00440404"/>
    <w:rsid w:val="004408EE"/>
    <w:rsid w:val="004409A5"/>
    <w:rsid w:val="004409F8"/>
    <w:rsid w:val="00440B21"/>
    <w:rsid w:val="00440BC4"/>
    <w:rsid w:val="0044127F"/>
    <w:rsid w:val="004418D5"/>
    <w:rsid w:val="004419C8"/>
    <w:rsid w:val="00441D81"/>
    <w:rsid w:val="00441EFA"/>
    <w:rsid w:val="0044244C"/>
    <w:rsid w:val="00442751"/>
    <w:rsid w:val="00442845"/>
    <w:rsid w:val="004428D5"/>
    <w:rsid w:val="004428D9"/>
    <w:rsid w:val="00443131"/>
    <w:rsid w:val="0044343A"/>
    <w:rsid w:val="0044381C"/>
    <w:rsid w:val="004438B7"/>
    <w:rsid w:val="00444965"/>
    <w:rsid w:val="00444A0A"/>
    <w:rsid w:val="00444B49"/>
    <w:rsid w:val="00444C81"/>
    <w:rsid w:val="00444E4B"/>
    <w:rsid w:val="00444E51"/>
    <w:rsid w:val="0044510C"/>
    <w:rsid w:val="0044535C"/>
    <w:rsid w:val="004454EB"/>
    <w:rsid w:val="0044552F"/>
    <w:rsid w:val="00445592"/>
    <w:rsid w:val="00445B04"/>
    <w:rsid w:val="00445B1B"/>
    <w:rsid w:val="00446318"/>
    <w:rsid w:val="00446323"/>
    <w:rsid w:val="004463FA"/>
    <w:rsid w:val="00446AA3"/>
    <w:rsid w:val="00446BDF"/>
    <w:rsid w:val="004500B7"/>
    <w:rsid w:val="004501D0"/>
    <w:rsid w:val="00450595"/>
    <w:rsid w:val="00450A94"/>
    <w:rsid w:val="00450BA3"/>
    <w:rsid w:val="00450C21"/>
    <w:rsid w:val="00450FE7"/>
    <w:rsid w:val="00450FFC"/>
    <w:rsid w:val="00451118"/>
    <w:rsid w:val="00451156"/>
    <w:rsid w:val="00451654"/>
    <w:rsid w:val="004518B5"/>
    <w:rsid w:val="004518EA"/>
    <w:rsid w:val="00451A24"/>
    <w:rsid w:val="00451ABF"/>
    <w:rsid w:val="00451B08"/>
    <w:rsid w:val="00452059"/>
    <w:rsid w:val="0045254B"/>
    <w:rsid w:val="0045261E"/>
    <w:rsid w:val="0045266E"/>
    <w:rsid w:val="0045279D"/>
    <w:rsid w:val="004529B2"/>
    <w:rsid w:val="004530E9"/>
    <w:rsid w:val="004534C3"/>
    <w:rsid w:val="0045370A"/>
    <w:rsid w:val="004537E4"/>
    <w:rsid w:val="00453814"/>
    <w:rsid w:val="0045398B"/>
    <w:rsid w:val="00453BE0"/>
    <w:rsid w:val="00454327"/>
    <w:rsid w:val="00454971"/>
    <w:rsid w:val="004549B1"/>
    <w:rsid w:val="00454B08"/>
    <w:rsid w:val="00454D6B"/>
    <w:rsid w:val="00455A05"/>
    <w:rsid w:val="00455A84"/>
    <w:rsid w:val="00455B11"/>
    <w:rsid w:val="00455C6A"/>
    <w:rsid w:val="00455FA2"/>
    <w:rsid w:val="0045620B"/>
    <w:rsid w:val="00456940"/>
    <w:rsid w:val="004569BD"/>
    <w:rsid w:val="00456BF1"/>
    <w:rsid w:val="00456FA6"/>
    <w:rsid w:val="004570B1"/>
    <w:rsid w:val="00457301"/>
    <w:rsid w:val="004576F1"/>
    <w:rsid w:val="00457FFB"/>
    <w:rsid w:val="004600D6"/>
    <w:rsid w:val="004602BC"/>
    <w:rsid w:val="0046052A"/>
    <w:rsid w:val="00460789"/>
    <w:rsid w:val="004607B6"/>
    <w:rsid w:val="0046085C"/>
    <w:rsid w:val="00460B87"/>
    <w:rsid w:val="00460DD3"/>
    <w:rsid w:val="00460EDA"/>
    <w:rsid w:val="00461053"/>
    <w:rsid w:val="0046115D"/>
    <w:rsid w:val="00461236"/>
    <w:rsid w:val="004614C9"/>
    <w:rsid w:val="004615BB"/>
    <w:rsid w:val="004617F1"/>
    <w:rsid w:val="00461BD4"/>
    <w:rsid w:val="00461C3B"/>
    <w:rsid w:val="00461E73"/>
    <w:rsid w:val="00461EA6"/>
    <w:rsid w:val="00461F5B"/>
    <w:rsid w:val="00462660"/>
    <w:rsid w:val="0046266D"/>
    <w:rsid w:val="0046274D"/>
    <w:rsid w:val="00462755"/>
    <w:rsid w:val="00462B2C"/>
    <w:rsid w:val="00462FFC"/>
    <w:rsid w:val="004630D7"/>
    <w:rsid w:val="0046321B"/>
    <w:rsid w:val="004632AE"/>
    <w:rsid w:val="004632F7"/>
    <w:rsid w:val="00463846"/>
    <w:rsid w:val="0046397D"/>
    <w:rsid w:val="004639DD"/>
    <w:rsid w:val="004640F7"/>
    <w:rsid w:val="0046422D"/>
    <w:rsid w:val="0046492D"/>
    <w:rsid w:val="004649CA"/>
    <w:rsid w:val="00464DB7"/>
    <w:rsid w:val="00464E74"/>
    <w:rsid w:val="00465B0E"/>
    <w:rsid w:val="00465DF2"/>
    <w:rsid w:val="00465F3F"/>
    <w:rsid w:val="00466312"/>
    <w:rsid w:val="00466356"/>
    <w:rsid w:val="004663B3"/>
    <w:rsid w:val="004666A3"/>
    <w:rsid w:val="004667C6"/>
    <w:rsid w:val="004668C6"/>
    <w:rsid w:val="004668D4"/>
    <w:rsid w:val="00466930"/>
    <w:rsid w:val="00466E3C"/>
    <w:rsid w:val="004670B0"/>
    <w:rsid w:val="00467125"/>
    <w:rsid w:val="004671CC"/>
    <w:rsid w:val="00467A83"/>
    <w:rsid w:val="00467B12"/>
    <w:rsid w:val="00467EDA"/>
    <w:rsid w:val="00467F0B"/>
    <w:rsid w:val="00470058"/>
    <w:rsid w:val="004706A8"/>
    <w:rsid w:val="00470A4B"/>
    <w:rsid w:val="004712F5"/>
    <w:rsid w:val="00471341"/>
    <w:rsid w:val="00471369"/>
    <w:rsid w:val="004713E5"/>
    <w:rsid w:val="00471868"/>
    <w:rsid w:val="00471919"/>
    <w:rsid w:val="004723E9"/>
    <w:rsid w:val="00472698"/>
    <w:rsid w:val="004726BF"/>
    <w:rsid w:val="00472874"/>
    <w:rsid w:val="00472895"/>
    <w:rsid w:val="004728A2"/>
    <w:rsid w:val="00472BC2"/>
    <w:rsid w:val="00472BE0"/>
    <w:rsid w:val="00472D0A"/>
    <w:rsid w:val="00472F77"/>
    <w:rsid w:val="0047317B"/>
    <w:rsid w:val="004733C2"/>
    <w:rsid w:val="0047340F"/>
    <w:rsid w:val="004738F3"/>
    <w:rsid w:val="00473DF1"/>
    <w:rsid w:val="0047465E"/>
    <w:rsid w:val="00474B25"/>
    <w:rsid w:val="00474CBA"/>
    <w:rsid w:val="00474DF8"/>
    <w:rsid w:val="00475004"/>
    <w:rsid w:val="0047501B"/>
    <w:rsid w:val="004751A7"/>
    <w:rsid w:val="004751D1"/>
    <w:rsid w:val="0047563B"/>
    <w:rsid w:val="0047589E"/>
    <w:rsid w:val="004759C3"/>
    <w:rsid w:val="00475B7D"/>
    <w:rsid w:val="00476325"/>
    <w:rsid w:val="00476412"/>
    <w:rsid w:val="00476496"/>
    <w:rsid w:val="004764C5"/>
    <w:rsid w:val="00476612"/>
    <w:rsid w:val="00476677"/>
    <w:rsid w:val="0047676A"/>
    <w:rsid w:val="00476CF5"/>
    <w:rsid w:val="00477116"/>
    <w:rsid w:val="004772D9"/>
    <w:rsid w:val="0047733C"/>
    <w:rsid w:val="004774CD"/>
    <w:rsid w:val="00477AB5"/>
    <w:rsid w:val="004801DF"/>
    <w:rsid w:val="00480739"/>
    <w:rsid w:val="00481018"/>
    <w:rsid w:val="00481209"/>
    <w:rsid w:val="004812C9"/>
    <w:rsid w:val="00481B00"/>
    <w:rsid w:val="00481D61"/>
    <w:rsid w:val="00481DFD"/>
    <w:rsid w:val="004825E2"/>
    <w:rsid w:val="00482CC0"/>
    <w:rsid w:val="00483B6E"/>
    <w:rsid w:val="004841EB"/>
    <w:rsid w:val="0048423D"/>
    <w:rsid w:val="0048450F"/>
    <w:rsid w:val="0048453A"/>
    <w:rsid w:val="004847D2"/>
    <w:rsid w:val="004848CA"/>
    <w:rsid w:val="004848DE"/>
    <w:rsid w:val="00484929"/>
    <w:rsid w:val="004849DE"/>
    <w:rsid w:val="00484CB8"/>
    <w:rsid w:val="00484F6E"/>
    <w:rsid w:val="00485094"/>
    <w:rsid w:val="004850A0"/>
    <w:rsid w:val="00485111"/>
    <w:rsid w:val="004851EE"/>
    <w:rsid w:val="00485227"/>
    <w:rsid w:val="00485438"/>
    <w:rsid w:val="00485625"/>
    <w:rsid w:val="00485E8E"/>
    <w:rsid w:val="004860A6"/>
    <w:rsid w:val="00486272"/>
    <w:rsid w:val="00486755"/>
    <w:rsid w:val="004867B4"/>
    <w:rsid w:val="00486907"/>
    <w:rsid w:val="0048690A"/>
    <w:rsid w:val="00486DC7"/>
    <w:rsid w:val="00487160"/>
    <w:rsid w:val="00487565"/>
    <w:rsid w:val="00487609"/>
    <w:rsid w:val="00487BC1"/>
    <w:rsid w:val="00487CA8"/>
    <w:rsid w:val="00487DDC"/>
    <w:rsid w:val="00487EA2"/>
    <w:rsid w:val="004904F3"/>
    <w:rsid w:val="00490552"/>
    <w:rsid w:val="00490A0D"/>
    <w:rsid w:val="00490E24"/>
    <w:rsid w:val="004910A8"/>
    <w:rsid w:val="00491288"/>
    <w:rsid w:val="004912D2"/>
    <w:rsid w:val="0049163E"/>
    <w:rsid w:val="00491C67"/>
    <w:rsid w:val="00492172"/>
    <w:rsid w:val="004921CF"/>
    <w:rsid w:val="004921F8"/>
    <w:rsid w:val="00492696"/>
    <w:rsid w:val="004929C9"/>
    <w:rsid w:val="004929E4"/>
    <w:rsid w:val="00492D1D"/>
    <w:rsid w:val="00492FB4"/>
    <w:rsid w:val="0049394E"/>
    <w:rsid w:val="00493A92"/>
    <w:rsid w:val="00493B4E"/>
    <w:rsid w:val="00493C66"/>
    <w:rsid w:val="00493C6F"/>
    <w:rsid w:val="00493D7D"/>
    <w:rsid w:val="00493E0B"/>
    <w:rsid w:val="004949F4"/>
    <w:rsid w:val="00494AA0"/>
    <w:rsid w:val="004951EA"/>
    <w:rsid w:val="00495509"/>
    <w:rsid w:val="00495AB8"/>
    <w:rsid w:val="00495C05"/>
    <w:rsid w:val="00495D14"/>
    <w:rsid w:val="0049606E"/>
    <w:rsid w:val="004965C8"/>
    <w:rsid w:val="0049686E"/>
    <w:rsid w:val="00496982"/>
    <w:rsid w:val="00496D7B"/>
    <w:rsid w:val="00496E4B"/>
    <w:rsid w:val="00497143"/>
    <w:rsid w:val="004972E1"/>
    <w:rsid w:val="0049771E"/>
    <w:rsid w:val="0049782C"/>
    <w:rsid w:val="0049798A"/>
    <w:rsid w:val="00497A0B"/>
    <w:rsid w:val="00497E55"/>
    <w:rsid w:val="004A00A4"/>
    <w:rsid w:val="004A048A"/>
    <w:rsid w:val="004A0866"/>
    <w:rsid w:val="004A0B8B"/>
    <w:rsid w:val="004A0BE9"/>
    <w:rsid w:val="004A1510"/>
    <w:rsid w:val="004A158B"/>
    <w:rsid w:val="004A1598"/>
    <w:rsid w:val="004A183C"/>
    <w:rsid w:val="004A1CD6"/>
    <w:rsid w:val="004A2049"/>
    <w:rsid w:val="004A223A"/>
    <w:rsid w:val="004A25A9"/>
    <w:rsid w:val="004A297B"/>
    <w:rsid w:val="004A2A1D"/>
    <w:rsid w:val="004A2A73"/>
    <w:rsid w:val="004A2EAA"/>
    <w:rsid w:val="004A3090"/>
    <w:rsid w:val="004A335A"/>
    <w:rsid w:val="004A3973"/>
    <w:rsid w:val="004A3DA7"/>
    <w:rsid w:val="004A3E16"/>
    <w:rsid w:val="004A4E05"/>
    <w:rsid w:val="004A4FEA"/>
    <w:rsid w:val="004A504C"/>
    <w:rsid w:val="004A5078"/>
    <w:rsid w:val="004A5245"/>
    <w:rsid w:val="004A5317"/>
    <w:rsid w:val="004A55F5"/>
    <w:rsid w:val="004A59AB"/>
    <w:rsid w:val="004A5D6A"/>
    <w:rsid w:val="004A6126"/>
    <w:rsid w:val="004A62EA"/>
    <w:rsid w:val="004A664A"/>
    <w:rsid w:val="004A66FD"/>
    <w:rsid w:val="004A6798"/>
    <w:rsid w:val="004A6D5C"/>
    <w:rsid w:val="004A6EED"/>
    <w:rsid w:val="004A789F"/>
    <w:rsid w:val="004A7BD9"/>
    <w:rsid w:val="004A7DE0"/>
    <w:rsid w:val="004B06DE"/>
    <w:rsid w:val="004B14F0"/>
    <w:rsid w:val="004B1E85"/>
    <w:rsid w:val="004B1EE3"/>
    <w:rsid w:val="004B235E"/>
    <w:rsid w:val="004B2596"/>
    <w:rsid w:val="004B259C"/>
    <w:rsid w:val="004B27F0"/>
    <w:rsid w:val="004B2893"/>
    <w:rsid w:val="004B2DE0"/>
    <w:rsid w:val="004B3037"/>
    <w:rsid w:val="004B313F"/>
    <w:rsid w:val="004B33DA"/>
    <w:rsid w:val="004B3546"/>
    <w:rsid w:val="004B3566"/>
    <w:rsid w:val="004B3A89"/>
    <w:rsid w:val="004B3BD4"/>
    <w:rsid w:val="004B3C66"/>
    <w:rsid w:val="004B4019"/>
    <w:rsid w:val="004B4020"/>
    <w:rsid w:val="004B4355"/>
    <w:rsid w:val="004B45C1"/>
    <w:rsid w:val="004B4F2E"/>
    <w:rsid w:val="004B508B"/>
    <w:rsid w:val="004B51D7"/>
    <w:rsid w:val="004B5639"/>
    <w:rsid w:val="004B5D46"/>
    <w:rsid w:val="004B5D91"/>
    <w:rsid w:val="004B62CF"/>
    <w:rsid w:val="004B639B"/>
    <w:rsid w:val="004B63C4"/>
    <w:rsid w:val="004B70AF"/>
    <w:rsid w:val="004B7528"/>
    <w:rsid w:val="004B7627"/>
    <w:rsid w:val="004B7777"/>
    <w:rsid w:val="004B7C6A"/>
    <w:rsid w:val="004B7CBE"/>
    <w:rsid w:val="004C0197"/>
    <w:rsid w:val="004C01EB"/>
    <w:rsid w:val="004C03EA"/>
    <w:rsid w:val="004C057D"/>
    <w:rsid w:val="004C0651"/>
    <w:rsid w:val="004C0654"/>
    <w:rsid w:val="004C06CF"/>
    <w:rsid w:val="004C077C"/>
    <w:rsid w:val="004C0823"/>
    <w:rsid w:val="004C0AE7"/>
    <w:rsid w:val="004C0D93"/>
    <w:rsid w:val="004C1A3B"/>
    <w:rsid w:val="004C1D17"/>
    <w:rsid w:val="004C1EC7"/>
    <w:rsid w:val="004C203D"/>
    <w:rsid w:val="004C21ED"/>
    <w:rsid w:val="004C2484"/>
    <w:rsid w:val="004C2621"/>
    <w:rsid w:val="004C2BCC"/>
    <w:rsid w:val="004C3298"/>
    <w:rsid w:val="004C36D7"/>
    <w:rsid w:val="004C3B05"/>
    <w:rsid w:val="004C3BAF"/>
    <w:rsid w:val="004C3FC2"/>
    <w:rsid w:val="004C43F9"/>
    <w:rsid w:val="004C44D4"/>
    <w:rsid w:val="004C4894"/>
    <w:rsid w:val="004C49A9"/>
    <w:rsid w:val="004C4CF2"/>
    <w:rsid w:val="004C4DE3"/>
    <w:rsid w:val="004C515E"/>
    <w:rsid w:val="004C56A4"/>
    <w:rsid w:val="004C5712"/>
    <w:rsid w:val="004C574A"/>
    <w:rsid w:val="004C59C5"/>
    <w:rsid w:val="004C5D77"/>
    <w:rsid w:val="004C63E6"/>
    <w:rsid w:val="004C667E"/>
    <w:rsid w:val="004C66CF"/>
    <w:rsid w:val="004C6B01"/>
    <w:rsid w:val="004C6B65"/>
    <w:rsid w:val="004C6D8B"/>
    <w:rsid w:val="004C7569"/>
    <w:rsid w:val="004C75EE"/>
    <w:rsid w:val="004C7722"/>
    <w:rsid w:val="004C7845"/>
    <w:rsid w:val="004C787C"/>
    <w:rsid w:val="004C7C13"/>
    <w:rsid w:val="004C7E8F"/>
    <w:rsid w:val="004C7EE2"/>
    <w:rsid w:val="004D0008"/>
    <w:rsid w:val="004D02B8"/>
    <w:rsid w:val="004D04F6"/>
    <w:rsid w:val="004D07D0"/>
    <w:rsid w:val="004D0BCD"/>
    <w:rsid w:val="004D0F49"/>
    <w:rsid w:val="004D1011"/>
    <w:rsid w:val="004D1056"/>
    <w:rsid w:val="004D126F"/>
    <w:rsid w:val="004D148C"/>
    <w:rsid w:val="004D1539"/>
    <w:rsid w:val="004D182E"/>
    <w:rsid w:val="004D1C3A"/>
    <w:rsid w:val="004D1EDC"/>
    <w:rsid w:val="004D201C"/>
    <w:rsid w:val="004D2261"/>
    <w:rsid w:val="004D239C"/>
    <w:rsid w:val="004D2DEF"/>
    <w:rsid w:val="004D3224"/>
    <w:rsid w:val="004D34BA"/>
    <w:rsid w:val="004D370A"/>
    <w:rsid w:val="004D38B7"/>
    <w:rsid w:val="004D38FA"/>
    <w:rsid w:val="004D3AB9"/>
    <w:rsid w:val="004D4192"/>
    <w:rsid w:val="004D4536"/>
    <w:rsid w:val="004D4A54"/>
    <w:rsid w:val="004D4E91"/>
    <w:rsid w:val="004D504E"/>
    <w:rsid w:val="004D548B"/>
    <w:rsid w:val="004D5C6E"/>
    <w:rsid w:val="004D5FCA"/>
    <w:rsid w:val="004D611D"/>
    <w:rsid w:val="004D6B25"/>
    <w:rsid w:val="004D6CAC"/>
    <w:rsid w:val="004D6EAB"/>
    <w:rsid w:val="004D7092"/>
    <w:rsid w:val="004D7285"/>
    <w:rsid w:val="004D7980"/>
    <w:rsid w:val="004D7FB1"/>
    <w:rsid w:val="004E059A"/>
    <w:rsid w:val="004E07F4"/>
    <w:rsid w:val="004E0844"/>
    <w:rsid w:val="004E0DE8"/>
    <w:rsid w:val="004E124C"/>
    <w:rsid w:val="004E12A5"/>
    <w:rsid w:val="004E190E"/>
    <w:rsid w:val="004E1B53"/>
    <w:rsid w:val="004E23F7"/>
    <w:rsid w:val="004E26FC"/>
    <w:rsid w:val="004E277B"/>
    <w:rsid w:val="004E28E9"/>
    <w:rsid w:val="004E28EF"/>
    <w:rsid w:val="004E2ACA"/>
    <w:rsid w:val="004E2BB6"/>
    <w:rsid w:val="004E2DBC"/>
    <w:rsid w:val="004E3148"/>
    <w:rsid w:val="004E3320"/>
    <w:rsid w:val="004E34C1"/>
    <w:rsid w:val="004E34CD"/>
    <w:rsid w:val="004E38FE"/>
    <w:rsid w:val="004E415D"/>
    <w:rsid w:val="004E42DD"/>
    <w:rsid w:val="004E43FA"/>
    <w:rsid w:val="004E4AAD"/>
    <w:rsid w:val="004E4CB6"/>
    <w:rsid w:val="004E4D73"/>
    <w:rsid w:val="004E4F85"/>
    <w:rsid w:val="004E50CF"/>
    <w:rsid w:val="004E5ED9"/>
    <w:rsid w:val="004E6C1F"/>
    <w:rsid w:val="004E71A0"/>
    <w:rsid w:val="004E7E9B"/>
    <w:rsid w:val="004F003C"/>
    <w:rsid w:val="004F026A"/>
    <w:rsid w:val="004F04A9"/>
    <w:rsid w:val="004F0562"/>
    <w:rsid w:val="004F0CEA"/>
    <w:rsid w:val="004F0D64"/>
    <w:rsid w:val="004F0F52"/>
    <w:rsid w:val="004F1150"/>
    <w:rsid w:val="004F15D2"/>
    <w:rsid w:val="004F1CDB"/>
    <w:rsid w:val="004F1E0C"/>
    <w:rsid w:val="004F21AF"/>
    <w:rsid w:val="004F2234"/>
    <w:rsid w:val="004F22FB"/>
    <w:rsid w:val="004F2894"/>
    <w:rsid w:val="004F310E"/>
    <w:rsid w:val="004F3130"/>
    <w:rsid w:val="004F3200"/>
    <w:rsid w:val="004F37DF"/>
    <w:rsid w:val="004F38A5"/>
    <w:rsid w:val="004F38C0"/>
    <w:rsid w:val="004F3B8F"/>
    <w:rsid w:val="004F3FDB"/>
    <w:rsid w:val="004F4276"/>
    <w:rsid w:val="004F493E"/>
    <w:rsid w:val="004F4B41"/>
    <w:rsid w:val="004F4CB4"/>
    <w:rsid w:val="004F50AB"/>
    <w:rsid w:val="004F5192"/>
    <w:rsid w:val="004F52A6"/>
    <w:rsid w:val="004F57BA"/>
    <w:rsid w:val="004F5D6D"/>
    <w:rsid w:val="004F5F6A"/>
    <w:rsid w:val="004F5F99"/>
    <w:rsid w:val="004F6170"/>
    <w:rsid w:val="004F6188"/>
    <w:rsid w:val="004F6376"/>
    <w:rsid w:val="004F66E3"/>
    <w:rsid w:val="004F681B"/>
    <w:rsid w:val="004F6CAA"/>
    <w:rsid w:val="004F6EA0"/>
    <w:rsid w:val="004F70B3"/>
    <w:rsid w:val="004F718C"/>
    <w:rsid w:val="004F72E1"/>
    <w:rsid w:val="004F738C"/>
    <w:rsid w:val="004F7669"/>
    <w:rsid w:val="004F7EB1"/>
    <w:rsid w:val="004F7FF1"/>
    <w:rsid w:val="0050002C"/>
    <w:rsid w:val="00500038"/>
    <w:rsid w:val="00500AEC"/>
    <w:rsid w:val="00500C97"/>
    <w:rsid w:val="00500CC4"/>
    <w:rsid w:val="00500F41"/>
    <w:rsid w:val="00501100"/>
    <w:rsid w:val="0050132D"/>
    <w:rsid w:val="005014A6"/>
    <w:rsid w:val="005016EF"/>
    <w:rsid w:val="005019DD"/>
    <w:rsid w:val="00501E4C"/>
    <w:rsid w:val="0050220E"/>
    <w:rsid w:val="0050278A"/>
    <w:rsid w:val="00502A8A"/>
    <w:rsid w:val="00502DDD"/>
    <w:rsid w:val="00502E93"/>
    <w:rsid w:val="0050306C"/>
    <w:rsid w:val="00503094"/>
    <w:rsid w:val="005035FE"/>
    <w:rsid w:val="005036BC"/>
    <w:rsid w:val="005037DA"/>
    <w:rsid w:val="00503B4C"/>
    <w:rsid w:val="005044B4"/>
    <w:rsid w:val="00504628"/>
    <w:rsid w:val="005047A9"/>
    <w:rsid w:val="00505284"/>
    <w:rsid w:val="005059C1"/>
    <w:rsid w:val="00505BDB"/>
    <w:rsid w:val="00505E7D"/>
    <w:rsid w:val="00506069"/>
    <w:rsid w:val="00506220"/>
    <w:rsid w:val="00506411"/>
    <w:rsid w:val="00506A15"/>
    <w:rsid w:val="005070E5"/>
    <w:rsid w:val="005072BA"/>
    <w:rsid w:val="005074DB"/>
    <w:rsid w:val="00507F76"/>
    <w:rsid w:val="005103AA"/>
    <w:rsid w:val="0051094B"/>
    <w:rsid w:val="00510D23"/>
    <w:rsid w:val="00510D85"/>
    <w:rsid w:val="00511038"/>
    <w:rsid w:val="00511183"/>
    <w:rsid w:val="00511B75"/>
    <w:rsid w:val="00511EB3"/>
    <w:rsid w:val="00512014"/>
    <w:rsid w:val="005121E3"/>
    <w:rsid w:val="00512285"/>
    <w:rsid w:val="0051260E"/>
    <w:rsid w:val="005127A5"/>
    <w:rsid w:val="00512AE0"/>
    <w:rsid w:val="00512D36"/>
    <w:rsid w:val="00512D69"/>
    <w:rsid w:val="00512E47"/>
    <w:rsid w:val="00512E6D"/>
    <w:rsid w:val="00513268"/>
    <w:rsid w:val="005135AA"/>
    <w:rsid w:val="005139D9"/>
    <w:rsid w:val="00513AB0"/>
    <w:rsid w:val="00513C29"/>
    <w:rsid w:val="00513F21"/>
    <w:rsid w:val="00514021"/>
    <w:rsid w:val="0051438F"/>
    <w:rsid w:val="00514602"/>
    <w:rsid w:val="00514909"/>
    <w:rsid w:val="00514E26"/>
    <w:rsid w:val="0051505F"/>
    <w:rsid w:val="00515478"/>
    <w:rsid w:val="005155EF"/>
    <w:rsid w:val="00515722"/>
    <w:rsid w:val="00515CE5"/>
    <w:rsid w:val="00515D3B"/>
    <w:rsid w:val="0051666F"/>
    <w:rsid w:val="00516814"/>
    <w:rsid w:val="00516CB5"/>
    <w:rsid w:val="00517290"/>
    <w:rsid w:val="00517541"/>
    <w:rsid w:val="005176D2"/>
    <w:rsid w:val="00517943"/>
    <w:rsid w:val="00517E01"/>
    <w:rsid w:val="00517E62"/>
    <w:rsid w:val="00517F62"/>
    <w:rsid w:val="0052015B"/>
    <w:rsid w:val="00520296"/>
    <w:rsid w:val="005204C8"/>
    <w:rsid w:val="005205D0"/>
    <w:rsid w:val="005206BE"/>
    <w:rsid w:val="00520C96"/>
    <w:rsid w:val="00520F98"/>
    <w:rsid w:val="00521B75"/>
    <w:rsid w:val="00521F52"/>
    <w:rsid w:val="00521F67"/>
    <w:rsid w:val="005221D3"/>
    <w:rsid w:val="0052293A"/>
    <w:rsid w:val="00522A1A"/>
    <w:rsid w:val="00522D95"/>
    <w:rsid w:val="00522F77"/>
    <w:rsid w:val="00522FFC"/>
    <w:rsid w:val="005231D4"/>
    <w:rsid w:val="00523717"/>
    <w:rsid w:val="00523C24"/>
    <w:rsid w:val="00523CB3"/>
    <w:rsid w:val="0052404E"/>
    <w:rsid w:val="00524353"/>
    <w:rsid w:val="00524370"/>
    <w:rsid w:val="00524457"/>
    <w:rsid w:val="00524732"/>
    <w:rsid w:val="0052490A"/>
    <w:rsid w:val="00524AA1"/>
    <w:rsid w:val="00524BDE"/>
    <w:rsid w:val="00524F64"/>
    <w:rsid w:val="00525077"/>
    <w:rsid w:val="00525838"/>
    <w:rsid w:val="00525846"/>
    <w:rsid w:val="00525A95"/>
    <w:rsid w:val="00525B21"/>
    <w:rsid w:val="00525C02"/>
    <w:rsid w:val="00525D40"/>
    <w:rsid w:val="00526289"/>
    <w:rsid w:val="0052633E"/>
    <w:rsid w:val="0052640E"/>
    <w:rsid w:val="00526528"/>
    <w:rsid w:val="00526BFB"/>
    <w:rsid w:val="005270B6"/>
    <w:rsid w:val="005271C0"/>
    <w:rsid w:val="0052764D"/>
    <w:rsid w:val="0052780C"/>
    <w:rsid w:val="00527A04"/>
    <w:rsid w:val="00527A63"/>
    <w:rsid w:val="00527E3C"/>
    <w:rsid w:val="0053019C"/>
    <w:rsid w:val="005301BF"/>
    <w:rsid w:val="005309BA"/>
    <w:rsid w:val="00530C17"/>
    <w:rsid w:val="005319B1"/>
    <w:rsid w:val="005319BB"/>
    <w:rsid w:val="00531AC4"/>
    <w:rsid w:val="00531CAE"/>
    <w:rsid w:val="00531D1C"/>
    <w:rsid w:val="005322C3"/>
    <w:rsid w:val="00532617"/>
    <w:rsid w:val="005329ED"/>
    <w:rsid w:val="00532BBC"/>
    <w:rsid w:val="00532D7B"/>
    <w:rsid w:val="00532DE6"/>
    <w:rsid w:val="005332F7"/>
    <w:rsid w:val="00534453"/>
    <w:rsid w:val="0053492E"/>
    <w:rsid w:val="00534A18"/>
    <w:rsid w:val="00534BD2"/>
    <w:rsid w:val="00534F7F"/>
    <w:rsid w:val="005352B2"/>
    <w:rsid w:val="005355F3"/>
    <w:rsid w:val="00535FCC"/>
    <w:rsid w:val="00536516"/>
    <w:rsid w:val="00536A04"/>
    <w:rsid w:val="00536ABA"/>
    <w:rsid w:val="00536C5C"/>
    <w:rsid w:val="00536CA8"/>
    <w:rsid w:val="00536E25"/>
    <w:rsid w:val="00537A9C"/>
    <w:rsid w:val="00537C35"/>
    <w:rsid w:val="00537F5B"/>
    <w:rsid w:val="00540147"/>
    <w:rsid w:val="0054020F"/>
    <w:rsid w:val="005403AB"/>
    <w:rsid w:val="00540421"/>
    <w:rsid w:val="00540E6C"/>
    <w:rsid w:val="005410A1"/>
    <w:rsid w:val="00541A97"/>
    <w:rsid w:val="0054200B"/>
    <w:rsid w:val="005420B9"/>
    <w:rsid w:val="00542317"/>
    <w:rsid w:val="00542AC6"/>
    <w:rsid w:val="00542F4C"/>
    <w:rsid w:val="005430EE"/>
    <w:rsid w:val="00543446"/>
    <w:rsid w:val="00543577"/>
    <w:rsid w:val="0054358D"/>
    <w:rsid w:val="005435E4"/>
    <w:rsid w:val="0054364E"/>
    <w:rsid w:val="0054377D"/>
    <w:rsid w:val="005439B7"/>
    <w:rsid w:val="00543B8B"/>
    <w:rsid w:val="005443A8"/>
    <w:rsid w:val="00544576"/>
    <w:rsid w:val="00544757"/>
    <w:rsid w:val="00544C75"/>
    <w:rsid w:val="00544CDC"/>
    <w:rsid w:val="00545213"/>
    <w:rsid w:val="00545400"/>
    <w:rsid w:val="0054565C"/>
    <w:rsid w:val="00545DF9"/>
    <w:rsid w:val="0054631C"/>
    <w:rsid w:val="00546360"/>
    <w:rsid w:val="005464D1"/>
    <w:rsid w:val="005474AA"/>
    <w:rsid w:val="0054794E"/>
    <w:rsid w:val="00550068"/>
    <w:rsid w:val="00550234"/>
    <w:rsid w:val="00550271"/>
    <w:rsid w:val="005503CE"/>
    <w:rsid w:val="00550B7D"/>
    <w:rsid w:val="00551068"/>
    <w:rsid w:val="00551185"/>
    <w:rsid w:val="00551330"/>
    <w:rsid w:val="0055138B"/>
    <w:rsid w:val="005516CE"/>
    <w:rsid w:val="005519EC"/>
    <w:rsid w:val="00551AAE"/>
    <w:rsid w:val="00551CF2"/>
    <w:rsid w:val="00551E49"/>
    <w:rsid w:val="00551FCE"/>
    <w:rsid w:val="00552051"/>
    <w:rsid w:val="005520BA"/>
    <w:rsid w:val="0055212D"/>
    <w:rsid w:val="0055214E"/>
    <w:rsid w:val="0055245C"/>
    <w:rsid w:val="005528BA"/>
    <w:rsid w:val="00552BA5"/>
    <w:rsid w:val="00552CF5"/>
    <w:rsid w:val="00553142"/>
    <w:rsid w:val="005531EB"/>
    <w:rsid w:val="0055411D"/>
    <w:rsid w:val="00554126"/>
    <w:rsid w:val="0055437A"/>
    <w:rsid w:val="0055457C"/>
    <w:rsid w:val="0055474E"/>
    <w:rsid w:val="0055498D"/>
    <w:rsid w:val="00554A7D"/>
    <w:rsid w:val="00554BB5"/>
    <w:rsid w:val="00554E4F"/>
    <w:rsid w:val="00555538"/>
    <w:rsid w:val="00556325"/>
    <w:rsid w:val="005564D3"/>
    <w:rsid w:val="00556538"/>
    <w:rsid w:val="00556BD7"/>
    <w:rsid w:val="00556F79"/>
    <w:rsid w:val="005570F9"/>
    <w:rsid w:val="00557384"/>
    <w:rsid w:val="00557803"/>
    <w:rsid w:val="005578F3"/>
    <w:rsid w:val="00557A3B"/>
    <w:rsid w:val="00557F54"/>
    <w:rsid w:val="005601A8"/>
    <w:rsid w:val="005601D7"/>
    <w:rsid w:val="005605FE"/>
    <w:rsid w:val="0056088C"/>
    <w:rsid w:val="005608E8"/>
    <w:rsid w:val="00560D00"/>
    <w:rsid w:val="00560E31"/>
    <w:rsid w:val="00560FE0"/>
    <w:rsid w:val="005610BE"/>
    <w:rsid w:val="0056129E"/>
    <w:rsid w:val="0056164D"/>
    <w:rsid w:val="0056200F"/>
    <w:rsid w:val="00562567"/>
    <w:rsid w:val="00562918"/>
    <w:rsid w:val="00562A06"/>
    <w:rsid w:val="00563AE1"/>
    <w:rsid w:val="00563BC5"/>
    <w:rsid w:val="00563D7A"/>
    <w:rsid w:val="00563DCF"/>
    <w:rsid w:val="005648F5"/>
    <w:rsid w:val="00564901"/>
    <w:rsid w:val="00564CCD"/>
    <w:rsid w:val="00564CD4"/>
    <w:rsid w:val="00564DB0"/>
    <w:rsid w:val="00565052"/>
    <w:rsid w:val="00565279"/>
    <w:rsid w:val="00565333"/>
    <w:rsid w:val="00565CD3"/>
    <w:rsid w:val="00565D76"/>
    <w:rsid w:val="00565DBE"/>
    <w:rsid w:val="0056622D"/>
    <w:rsid w:val="0056669B"/>
    <w:rsid w:val="0056693B"/>
    <w:rsid w:val="005669A9"/>
    <w:rsid w:val="00567319"/>
    <w:rsid w:val="00567370"/>
    <w:rsid w:val="00567C61"/>
    <w:rsid w:val="00567FCA"/>
    <w:rsid w:val="005704D2"/>
    <w:rsid w:val="00570745"/>
    <w:rsid w:val="0057076E"/>
    <w:rsid w:val="00570BFF"/>
    <w:rsid w:val="00570C3B"/>
    <w:rsid w:val="00570CC8"/>
    <w:rsid w:val="00570D55"/>
    <w:rsid w:val="0057100E"/>
    <w:rsid w:val="005711C5"/>
    <w:rsid w:val="005714DB"/>
    <w:rsid w:val="0057152A"/>
    <w:rsid w:val="00571C56"/>
    <w:rsid w:val="005723AE"/>
    <w:rsid w:val="00572731"/>
    <w:rsid w:val="00572973"/>
    <w:rsid w:val="00572EF9"/>
    <w:rsid w:val="00572F66"/>
    <w:rsid w:val="0057310E"/>
    <w:rsid w:val="00573270"/>
    <w:rsid w:val="0057338B"/>
    <w:rsid w:val="00573453"/>
    <w:rsid w:val="00573D3F"/>
    <w:rsid w:val="00573DBD"/>
    <w:rsid w:val="005746A9"/>
    <w:rsid w:val="00574819"/>
    <w:rsid w:val="00574C5C"/>
    <w:rsid w:val="005750DA"/>
    <w:rsid w:val="005757AB"/>
    <w:rsid w:val="00575DA5"/>
    <w:rsid w:val="005760EE"/>
    <w:rsid w:val="005764CF"/>
    <w:rsid w:val="00576604"/>
    <w:rsid w:val="005766B8"/>
    <w:rsid w:val="005767FA"/>
    <w:rsid w:val="00576C65"/>
    <w:rsid w:val="005771F2"/>
    <w:rsid w:val="005772C5"/>
    <w:rsid w:val="0057795E"/>
    <w:rsid w:val="00577C28"/>
    <w:rsid w:val="00580ABA"/>
    <w:rsid w:val="00580C57"/>
    <w:rsid w:val="00580DC7"/>
    <w:rsid w:val="00581A6B"/>
    <w:rsid w:val="00581C9A"/>
    <w:rsid w:val="005823D0"/>
    <w:rsid w:val="00582414"/>
    <w:rsid w:val="0058245F"/>
    <w:rsid w:val="005828BD"/>
    <w:rsid w:val="00582A00"/>
    <w:rsid w:val="00583050"/>
    <w:rsid w:val="005830AF"/>
    <w:rsid w:val="005830CE"/>
    <w:rsid w:val="005831A1"/>
    <w:rsid w:val="0058323F"/>
    <w:rsid w:val="0058334A"/>
    <w:rsid w:val="00583927"/>
    <w:rsid w:val="005839DF"/>
    <w:rsid w:val="00583AF1"/>
    <w:rsid w:val="00583B8D"/>
    <w:rsid w:val="00584A63"/>
    <w:rsid w:val="00584F78"/>
    <w:rsid w:val="00585150"/>
    <w:rsid w:val="0058567D"/>
    <w:rsid w:val="00585D7B"/>
    <w:rsid w:val="0058625E"/>
    <w:rsid w:val="005864D6"/>
    <w:rsid w:val="00586A9E"/>
    <w:rsid w:val="00586E26"/>
    <w:rsid w:val="00586F49"/>
    <w:rsid w:val="00587234"/>
    <w:rsid w:val="00587247"/>
    <w:rsid w:val="0058776E"/>
    <w:rsid w:val="00587930"/>
    <w:rsid w:val="00587B9F"/>
    <w:rsid w:val="00587C23"/>
    <w:rsid w:val="005902DC"/>
    <w:rsid w:val="005905E4"/>
    <w:rsid w:val="0059073C"/>
    <w:rsid w:val="005908B4"/>
    <w:rsid w:val="00590918"/>
    <w:rsid w:val="00590950"/>
    <w:rsid w:val="00590A0F"/>
    <w:rsid w:val="00590B52"/>
    <w:rsid w:val="005910F1"/>
    <w:rsid w:val="00591235"/>
    <w:rsid w:val="0059142A"/>
    <w:rsid w:val="005914F9"/>
    <w:rsid w:val="0059158C"/>
    <w:rsid w:val="0059199E"/>
    <w:rsid w:val="00591B6B"/>
    <w:rsid w:val="0059237F"/>
    <w:rsid w:val="005924A8"/>
    <w:rsid w:val="005925C2"/>
    <w:rsid w:val="0059276D"/>
    <w:rsid w:val="005927AA"/>
    <w:rsid w:val="00592BE6"/>
    <w:rsid w:val="00592D8C"/>
    <w:rsid w:val="005934B4"/>
    <w:rsid w:val="0059351A"/>
    <w:rsid w:val="00593829"/>
    <w:rsid w:val="00593886"/>
    <w:rsid w:val="00593A5E"/>
    <w:rsid w:val="00593D76"/>
    <w:rsid w:val="00593F19"/>
    <w:rsid w:val="005942D1"/>
    <w:rsid w:val="00594388"/>
    <w:rsid w:val="005944A8"/>
    <w:rsid w:val="005948EF"/>
    <w:rsid w:val="00594D2C"/>
    <w:rsid w:val="005951C6"/>
    <w:rsid w:val="00595215"/>
    <w:rsid w:val="00595251"/>
    <w:rsid w:val="0059527E"/>
    <w:rsid w:val="00595298"/>
    <w:rsid w:val="0059530A"/>
    <w:rsid w:val="005954C2"/>
    <w:rsid w:val="00595714"/>
    <w:rsid w:val="0059605C"/>
    <w:rsid w:val="005960C9"/>
    <w:rsid w:val="00596993"/>
    <w:rsid w:val="00596B18"/>
    <w:rsid w:val="00596B4E"/>
    <w:rsid w:val="00596E05"/>
    <w:rsid w:val="0059702A"/>
    <w:rsid w:val="005977F6"/>
    <w:rsid w:val="0059787A"/>
    <w:rsid w:val="005978EE"/>
    <w:rsid w:val="00597C94"/>
    <w:rsid w:val="00597D1E"/>
    <w:rsid w:val="005A032F"/>
    <w:rsid w:val="005A05FB"/>
    <w:rsid w:val="005A07F0"/>
    <w:rsid w:val="005A08C2"/>
    <w:rsid w:val="005A0B15"/>
    <w:rsid w:val="005A0DA2"/>
    <w:rsid w:val="005A0EA8"/>
    <w:rsid w:val="005A1720"/>
    <w:rsid w:val="005A1D98"/>
    <w:rsid w:val="005A1E56"/>
    <w:rsid w:val="005A1F3F"/>
    <w:rsid w:val="005A1F80"/>
    <w:rsid w:val="005A240F"/>
    <w:rsid w:val="005A2496"/>
    <w:rsid w:val="005A2B0D"/>
    <w:rsid w:val="005A2BB6"/>
    <w:rsid w:val="005A2D7F"/>
    <w:rsid w:val="005A2EAD"/>
    <w:rsid w:val="005A398B"/>
    <w:rsid w:val="005A3B7E"/>
    <w:rsid w:val="005A3D07"/>
    <w:rsid w:val="005A44BE"/>
    <w:rsid w:val="005A4574"/>
    <w:rsid w:val="005A49C5"/>
    <w:rsid w:val="005A4A5E"/>
    <w:rsid w:val="005A4CF7"/>
    <w:rsid w:val="005A4E92"/>
    <w:rsid w:val="005A52C1"/>
    <w:rsid w:val="005A5351"/>
    <w:rsid w:val="005A53E7"/>
    <w:rsid w:val="005A5461"/>
    <w:rsid w:val="005A55A2"/>
    <w:rsid w:val="005A56C5"/>
    <w:rsid w:val="005A56DF"/>
    <w:rsid w:val="005A58DF"/>
    <w:rsid w:val="005A59A2"/>
    <w:rsid w:val="005A5B2B"/>
    <w:rsid w:val="005A5D93"/>
    <w:rsid w:val="005A63FA"/>
    <w:rsid w:val="005A710F"/>
    <w:rsid w:val="005A72D9"/>
    <w:rsid w:val="005B0269"/>
    <w:rsid w:val="005B03B5"/>
    <w:rsid w:val="005B048E"/>
    <w:rsid w:val="005B058D"/>
    <w:rsid w:val="005B07C7"/>
    <w:rsid w:val="005B12D6"/>
    <w:rsid w:val="005B164E"/>
    <w:rsid w:val="005B1864"/>
    <w:rsid w:val="005B1D56"/>
    <w:rsid w:val="005B1EDA"/>
    <w:rsid w:val="005B24E1"/>
    <w:rsid w:val="005B2A6D"/>
    <w:rsid w:val="005B3130"/>
    <w:rsid w:val="005B3152"/>
    <w:rsid w:val="005B36DE"/>
    <w:rsid w:val="005B3F82"/>
    <w:rsid w:val="005B3F93"/>
    <w:rsid w:val="005B402C"/>
    <w:rsid w:val="005B4107"/>
    <w:rsid w:val="005B41ED"/>
    <w:rsid w:val="005B424A"/>
    <w:rsid w:val="005B4607"/>
    <w:rsid w:val="005B4659"/>
    <w:rsid w:val="005B48C8"/>
    <w:rsid w:val="005B48E3"/>
    <w:rsid w:val="005B4ADD"/>
    <w:rsid w:val="005B4B05"/>
    <w:rsid w:val="005B4B23"/>
    <w:rsid w:val="005B4F17"/>
    <w:rsid w:val="005B4F76"/>
    <w:rsid w:val="005B4FA7"/>
    <w:rsid w:val="005B557C"/>
    <w:rsid w:val="005B5D47"/>
    <w:rsid w:val="005B5DB4"/>
    <w:rsid w:val="005B605B"/>
    <w:rsid w:val="005B6386"/>
    <w:rsid w:val="005B6D56"/>
    <w:rsid w:val="005B6DAE"/>
    <w:rsid w:val="005B7422"/>
    <w:rsid w:val="005B7556"/>
    <w:rsid w:val="005B7DDD"/>
    <w:rsid w:val="005C0C1A"/>
    <w:rsid w:val="005C1666"/>
    <w:rsid w:val="005C186B"/>
    <w:rsid w:val="005C197F"/>
    <w:rsid w:val="005C1C86"/>
    <w:rsid w:val="005C1D48"/>
    <w:rsid w:val="005C2095"/>
    <w:rsid w:val="005C25D1"/>
    <w:rsid w:val="005C26B9"/>
    <w:rsid w:val="005C278D"/>
    <w:rsid w:val="005C2C9C"/>
    <w:rsid w:val="005C36B7"/>
    <w:rsid w:val="005C3A29"/>
    <w:rsid w:val="005C3E27"/>
    <w:rsid w:val="005C3E33"/>
    <w:rsid w:val="005C4BAF"/>
    <w:rsid w:val="005C4DB2"/>
    <w:rsid w:val="005C56F4"/>
    <w:rsid w:val="005C590C"/>
    <w:rsid w:val="005C5A69"/>
    <w:rsid w:val="005C5B4C"/>
    <w:rsid w:val="005C5C26"/>
    <w:rsid w:val="005C5DCB"/>
    <w:rsid w:val="005C5ED7"/>
    <w:rsid w:val="005C5FD3"/>
    <w:rsid w:val="005C6056"/>
    <w:rsid w:val="005C6239"/>
    <w:rsid w:val="005C63DC"/>
    <w:rsid w:val="005C671B"/>
    <w:rsid w:val="005C690D"/>
    <w:rsid w:val="005C69DD"/>
    <w:rsid w:val="005C6ABE"/>
    <w:rsid w:val="005C6B2D"/>
    <w:rsid w:val="005C6DF9"/>
    <w:rsid w:val="005C7553"/>
    <w:rsid w:val="005C76C7"/>
    <w:rsid w:val="005C798D"/>
    <w:rsid w:val="005C7B19"/>
    <w:rsid w:val="005C7ECD"/>
    <w:rsid w:val="005D063E"/>
    <w:rsid w:val="005D08BA"/>
    <w:rsid w:val="005D0986"/>
    <w:rsid w:val="005D0B0F"/>
    <w:rsid w:val="005D0C88"/>
    <w:rsid w:val="005D0D22"/>
    <w:rsid w:val="005D10E8"/>
    <w:rsid w:val="005D1AF3"/>
    <w:rsid w:val="005D1C64"/>
    <w:rsid w:val="005D1E8C"/>
    <w:rsid w:val="005D2146"/>
    <w:rsid w:val="005D244F"/>
    <w:rsid w:val="005D2492"/>
    <w:rsid w:val="005D2B03"/>
    <w:rsid w:val="005D2B53"/>
    <w:rsid w:val="005D2B5E"/>
    <w:rsid w:val="005D2D04"/>
    <w:rsid w:val="005D31C1"/>
    <w:rsid w:val="005D39A7"/>
    <w:rsid w:val="005D3A8E"/>
    <w:rsid w:val="005D3F59"/>
    <w:rsid w:val="005D4022"/>
    <w:rsid w:val="005D4385"/>
    <w:rsid w:val="005D4388"/>
    <w:rsid w:val="005D4E32"/>
    <w:rsid w:val="005D4E6B"/>
    <w:rsid w:val="005D50B2"/>
    <w:rsid w:val="005D5110"/>
    <w:rsid w:val="005D5D98"/>
    <w:rsid w:val="005D621B"/>
    <w:rsid w:val="005D66D6"/>
    <w:rsid w:val="005D6ECE"/>
    <w:rsid w:val="005D75B3"/>
    <w:rsid w:val="005D76AD"/>
    <w:rsid w:val="005D77A3"/>
    <w:rsid w:val="005D7934"/>
    <w:rsid w:val="005D7AD9"/>
    <w:rsid w:val="005D7B23"/>
    <w:rsid w:val="005D7DD0"/>
    <w:rsid w:val="005E0372"/>
    <w:rsid w:val="005E08CB"/>
    <w:rsid w:val="005E0B6B"/>
    <w:rsid w:val="005E141C"/>
    <w:rsid w:val="005E1508"/>
    <w:rsid w:val="005E1C0F"/>
    <w:rsid w:val="005E1CF5"/>
    <w:rsid w:val="005E1D50"/>
    <w:rsid w:val="005E2263"/>
    <w:rsid w:val="005E2356"/>
    <w:rsid w:val="005E24F4"/>
    <w:rsid w:val="005E2C6B"/>
    <w:rsid w:val="005E2DE8"/>
    <w:rsid w:val="005E2F2F"/>
    <w:rsid w:val="005E2FD2"/>
    <w:rsid w:val="005E3140"/>
    <w:rsid w:val="005E34FA"/>
    <w:rsid w:val="005E380A"/>
    <w:rsid w:val="005E3A69"/>
    <w:rsid w:val="005E3D86"/>
    <w:rsid w:val="005E3EAA"/>
    <w:rsid w:val="005E423E"/>
    <w:rsid w:val="005E44E9"/>
    <w:rsid w:val="005E464C"/>
    <w:rsid w:val="005E48FC"/>
    <w:rsid w:val="005E4BD1"/>
    <w:rsid w:val="005E4F87"/>
    <w:rsid w:val="005E5055"/>
    <w:rsid w:val="005E50E2"/>
    <w:rsid w:val="005E5B4A"/>
    <w:rsid w:val="005E5D03"/>
    <w:rsid w:val="005E667B"/>
    <w:rsid w:val="005E66F6"/>
    <w:rsid w:val="005E6A47"/>
    <w:rsid w:val="005E6BDF"/>
    <w:rsid w:val="005E71F7"/>
    <w:rsid w:val="005E7883"/>
    <w:rsid w:val="005E7BB7"/>
    <w:rsid w:val="005E7EBC"/>
    <w:rsid w:val="005F0714"/>
    <w:rsid w:val="005F0858"/>
    <w:rsid w:val="005F0F1A"/>
    <w:rsid w:val="005F0FF8"/>
    <w:rsid w:val="005F1DE4"/>
    <w:rsid w:val="005F1E0F"/>
    <w:rsid w:val="005F1E3C"/>
    <w:rsid w:val="005F232E"/>
    <w:rsid w:val="005F2844"/>
    <w:rsid w:val="005F2B00"/>
    <w:rsid w:val="005F2C4A"/>
    <w:rsid w:val="005F31E7"/>
    <w:rsid w:val="005F358F"/>
    <w:rsid w:val="005F3C3E"/>
    <w:rsid w:val="005F4271"/>
    <w:rsid w:val="005F4550"/>
    <w:rsid w:val="005F4561"/>
    <w:rsid w:val="005F48F5"/>
    <w:rsid w:val="005F49FE"/>
    <w:rsid w:val="005F4D2E"/>
    <w:rsid w:val="005F4FC4"/>
    <w:rsid w:val="005F506D"/>
    <w:rsid w:val="005F5428"/>
    <w:rsid w:val="005F5AA5"/>
    <w:rsid w:val="005F5C57"/>
    <w:rsid w:val="005F5E8B"/>
    <w:rsid w:val="005F6677"/>
    <w:rsid w:val="005F6678"/>
    <w:rsid w:val="005F67A3"/>
    <w:rsid w:val="005F6A19"/>
    <w:rsid w:val="005F7399"/>
    <w:rsid w:val="005F7720"/>
    <w:rsid w:val="005F78BF"/>
    <w:rsid w:val="005F7B44"/>
    <w:rsid w:val="005F7D91"/>
    <w:rsid w:val="005F7DD2"/>
    <w:rsid w:val="005F7E8E"/>
    <w:rsid w:val="005F7F05"/>
    <w:rsid w:val="006003AC"/>
    <w:rsid w:val="00600605"/>
    <w:rsid w:val="00600F3D"/>
    <w:rsid w:val="00600F92"/>
    <w:rsid w:val="00601019"/>
    <w:rsid w:val="0060151A"/>
    <w:rsid w:val="0060190C"/>
    <w:rsid w:val="006026EE"/>
    <w:rsid w:val="00602D30"/>
    <w:rsid w:val="00602D77"/>
    <w:rsid w:val="00602F13"/>
    <w:rsid w:val="00602F5E"/>
    <w:rsid w:val="006034E2"/>
    <w:rsid w:val="006034EE"/>
    <w:rsid w:val="006035F4"/>
    <w:rsid w:val="006036BA"/>
    <w:rsid w:val="006039EA"/>
    <w:rsid w:val="00603C3E"/>
    <w:rsid w:val="006044CA"/>
    <w:rsid w:val="0060464B"/>
    <w:rsid w:val="00604B12"/>
    <w:rsid w:val="00604D0A"/>
    <w:rsid w:val="00604E22"/>
    <w:rsid w:val="00604EFD"/>
    <w:rsid w:val="006050F6"/>
    <w:rsid w:val="0060571E"/>
    <w:rsid w:val="006058B0"/>
    <w:rsid w:val="00605F12"/>
    <w:rsid w:val="006062B2"/>
    <w:rsid w:val="006063FE"/>
    <w:rsid w:val="0060640C"/>
    <w:rsid w:val="006065D8"/>
    <w:rsid w:val="006067D1"/>
    <w:rsid w:val="00607117"/>
    <w:rsid w:val="006074C7"/>
    <w:rsid w:val="006078D1"/>
    <w:rsid w:val="00607CF6"/>
    <w:rsid w:val="00607F08"/>
    <w:rsid w:val="006101FE"/>
    <w:rsid w:val="0061037E"/>
    <w:rsid w:val="00610C33"/>
    <w:rsid w:val="00610EAB"/>
    <w:rsid w:val="0061154F"/>
    <w:rsid w:val="006117A2"/>
    <w:rsid w:val="00611B0E"/>
    <w:rsid w:val="00611B28"/>
    <w:rsid w:val="00611C4F"/>
    <w:rsid w:val="00611D14"/>
    <w:rsid w:val="0061235A"/>
    <w:rsid w:val="006127D9"/>
    <w:rsid w:val="00612865"/>
    <w:rsid w:val="00612972"/>
    <w:rsid w:val="00612C74"/>
    <w:rsid w:val="00612E1E"/>
    <w:rsid w:val="00613577"/>
    <w:rsid w:val="006135DE"/>
    <w:rsid w:val="00613698"/>
    <w:rsid w:val="0061394E"/>
    <w:rsid w:val="00613EF3"/>
    <w:rsid w:val="00613FA7"/>
    <w:rsid w:val="0061403F"/>
    <w:rsid w:val="00614655"/>
    <w:rsid w:val="00614658"/>
    <w:rsid w:val="00614872"/>
    <w:rsid w:val="00614975"/>
    <w:rsid w:val="00614BFF"/>
    <w:rsid w:val="00614DAF"/>
    <w:rsid w:val="00614ED1"/>
    <w:rsid w:val="006151EB"/>
    <w:rsid w:val="006154B8"/>
    <w:rsid w:val="006157B2"/>
    <w:rsid w:val="00615AFA"/>
    <w:rsid w:val="00616059"/>
    <w:rsid w:val="00616144"/>
    <w:rsid w:val="006163A3"/>
    <w:rsid w:val="0061649C"/>
    <w:rsid w:val="006164F8"/>
    <w:rsid w:val="00616656"/>
    <w:rsid w:val="006166BF"/>
    <w:rsid w:val="00616ED5"/>
    <w:rsid w:val="00616F5D"/>
    <w:rsid w:val="0061729F"/>
    <w:rsid w:val="006173D1"/>
    <w:rsid w:val="0061754B"/>
    <w:rsid w:val="00617692"/>
    <w:rsid w:val="00617798"/>
    <w:rsid w:val="00617BBC"/>
    <w:rsid w:val="00620292"/>
    <w:rsid w:val="0062064F"/>
    <w:rsid w:val="00620658"/>
    <w:rsid w:val="00620DC8"/>
    <w:rsid w:val="006212CA"/>
    <w:rsid w:val="00621DDA"/>
    <w:rsid w:val="00622A4C"/>
    <w:rsid w:val="006232E5"/>
    <w:rsid w:val="0062347E"/>
    <w:rsid w:val="006234FC"/>
    <w:rsid w:val="0062369D"/>
    <w:rsid w:val="006236EE"/>
    <w:rsid w:val="006239B7"/>
    <w:rsid w:val="00623A18"/>
    <w:rsid w:val="00623A4D"/>
    <w:rsid w:val="00623BB6"/>
    <w:rsid w:val="00623F09"/>
    <w:rsid w:val="00623F5E"/>
    <w:rsid w:val="0062420C"/>
    <w:rsid w:val="006242DB"/>
    <w:rsid w:val="00624DF7"/>
    <w:rsid w:val="00625796"/>
    <w:rsid w:val="006257FF"/>
    <w:rsid w:val="0062585B"/>
    <w:rsid w:val="006258B7"/>
    <w:rsid w:val="006259CC"/>
    <w:rsid w:val="00625DB1"/>
    <w:rsid w:val="00625EEF"/>
    <w:rsid w:val="0062658F"/>
    <w:rsid w:val="006265EF"/>
    <w:rsid w:val="00626AE5"/>
    <w:rsid w:val="00626EED"/>
    <w:rsid w:val="0062719B"/>
    <w:rsid w:val="0063037F"/>
    <w:rsid w:val="0063049C"/>
    <w:rsid w:val="006304CF"/>
    <w:rsid w:val="0063053B"/>
    <w:rsid w:val="006305DE"/>
    <w:rsid w:val="00630755"/>
    <w:rsid w:val="00630822"/>
    <w:rsid w:val="00630C76"/>
    <w:rsid w:val="00630DEC"/>
    <w:rsid w:val="00630DF2"/>
    <w:rsid w:val="006312D5"/>
    <w:rsid w:val="006317BA"/>
    <w:rsid w:val="00631A8D"/>
    <w:rsid w:val="00631D5C"/>
    <w:rsid w:val="006324D0"/>
    <w:rsid w:val="006324E1"/>
    <w:rsid w:val="00632578"/>
    <w:rsid w:val="00632832"/>
    <w:rsid w:val="0063291E"/>
    <w:rsid w:val="006334FA"/>
    <w:rsid w:val="00633A97"/>
    <w:rsid w:val="0063440A"/>
    <w:rsid w:val="0063451C"/>
    <w:rsid w:val="00634520"/>
    <w:rsid w:val="0063454A"/>
    <w:rsid w:val="006345A3"/>
    <w:rsid w:val="00634B9D"/>
    <w:rsid w:val="00634DAB"/>
    <w:rsid w:val="00634EC9"/>
    <w:rsid w:val="0063504E"/>
    <w:rsid w:val="006350DC"/>
    <w:rsid w:val="00635391"/>
    <w:rsid w:val="006353E9"/>
    <w:rsid w:val="0063559E"/>
    <w:rsid w:val="00635A16"/>
    <w:rsid w:val="00635C3B"/>
    <w:rsid w:val="00635D0B"/>
    <w:rsid w:val="00636309"/>
    <w:rsid w:val="00636953"/>
    <w:rsid w:val="006369DE"/>
    <w:rsid w:val="00636B5E"/>
    <w:rsid w:val="00636B6F"/>
    <w:rsid w:val="00636CDB"/>
    <w:rsid w:val="00636F2E"/>
    <w:rsid w:val="006371A8"/>
    <w:rsid w:val="00637204"/>
    <w:rsid w:val="006372A9"/>
    <w:rsid w:val="00637443"/>
    <w:rsid w:val="006374A4"/>
    <w:rsid w:val="00637AD3"/>
    <w:rsid w:val="006401B8"/>
    <w:rsid w:val="0064048D"/>
    <w:rsid w:val="006410E5"/>
    <w:rsid w:val="0064146B"/>
    <w:rsid w:val="006416B1"/>
    <w:rsid w:val="00641DF2"/>
    <w:rsid w:val="00641F87"/>
    <w:rsid w:val="00642141"/>
    <w:rsid w:val="0064217B"/>
    <w:rsid w:val="006423E9"/>
    <w:rsid w:val="00642B22"/>
    <w:rsid w:val="00642C1F"/>
    <w:rsid w:val="0064320E"/>
    <w:rsid w:val="00643728"/>
    <w:rsid w:val="0064388C"/>
    <w:rsid w:val="00644482"/>
    <w:rsid w:val="0064482A"/>
    <w:rsid w:val="00644B2F"/>
    <w:rsid w:val="00644B6A"/>
    <w:rsid w:val="00645009"/>
    <w:rsid w:val="0064530D"/>
    <w:rsid w:val="00645B4B"/>
    <w:rsid w:val="00645BEE"/>
    <w:rsid w:val="00646016"/>
    <w:rsid w:val="0064628E"/>
    <w:rsid w:val="0064667F"/>
    <w:rsid w:val="006466BB"/>
    <w:rsid w:val="00646A6E"/>
    <w:rsid w:val="00646E8D"/>
    <w:rsid w:val="0064790B"/>
    <w:rsid w:val="00647ABB"/>
    <w:rsid w:val="00647B7B"/>
    <w:rsid w:val="00647D8E"/>
    <w:rsid w:val="00647DB6"/>
    <w:rsid w:val="00647DCB"/>
    <w:rsid w:val="00650342"/>
    <w:rsid w:val="0065034D"/>
    <w:rsid w:val="006505E0"/>
    <w:rsid w:val="006505E5"/>
    <w:rsid w:val="0065091C"/>
    <w:rsid w:val="0065094C"/>
    <w:rsid w:val="00650A2A"/>
    <w:rsid w:val="00650A9B"/>
    <w:rsid w:val="00650DFD"/>
    <w:rsid w:val="00650F0A"/>
    <w:rsid w:val="006511AB"/>
    <w:rsid w:val="00651705"/>
    <w:rsid w:val="006517A0"/>
    <w:rsid w:val="00651C6D"/>
    <w:rsid w:val="00651DB2"/>
    <w:rsid w:val="00651DC7"/>
    <w:rsid w:val="006520B6"/>
    <w:rsid w:val="0065291F"/>
    <w:rsid w:val="00652DED"/>
    <w:rsid w:val="00652E8C"/>
    <w:rsid w:val="00653212"/>
    <w:rsid w:val="00653A00"/>
    <w:rsid w:val="0065425C"/>
    <w:rsid w:val="006549C0"/>
    <w:rsid w:val="0065507E"/>
    <w:rsid w:val="00655B52"/>
    <w:rsid w:val="006560A1"/>
    <w:rsid w:val="00656249"/>
    <w:rsid w:val="0065660B"/>
    <w:rsid w:val="00656A16"/>
    <w:rsid w:val="00656ED1"/>
    <w:rsid w:val="0065708E"/>
    <w:rsid w:val="0065778F"/>
    <w:rsid w:val="00657ABF"/>
    <w:rsid w:val="00657B6B"/>
    <w:rsid w:val="00657F6A"/>
    <w:rsid w:val="0066092E"/>
    <w:rsid w:val="00660946"/>
    <w:rsid w:val="00660D0E"/>
    <w:rsid w:val="00660E7C"/>
    <w:rsid w:val="00660FCE"/>
    <w:rsid w:val="00661235"/>
    <w:rsid w:val="00661260"/>
    <w:rsid w:val="00661795"/>
    <w:rsid w:val="00661839"/>
    <w:rsid w:val="00661840"/>
    <w:rsid w:val="00661E62"/>
    <w:rsid w:val="00661FF9"/>
    <w:rsid w:val="00662138"/>
    <w:rsid w:val="006628F2"/>
    <w:rsid w:val="00662AEB"/>
    <w:rsid w:val="00663114"/>
    <w:rsid w:val="0066320A"/>
    <w:rsid w:val="006633FE"/>
    <w:rsid w:val="006636CA"/>
    <w:rsid w:val="00663886"/>
    <w:rsid w:val="0066413B"/>
    <w:rsid w:val="00664681"/>
    <w:rsid w:val="006655A3"/>
    <w:rsid w:val="006655FB"/>
    <w:rsid w:val="006657C0"/>
    <w:rsid w:val="00665AFC"/>
    <w:rsid w:val="00665BAD"/>
    <w:rsid w:val="00665FD9"/>
    <w:rsid w:val="00666194"/>
    <w:rsid w:val="00666453"/>
    <w:rsid w:val="00666518"/>
    <w:rsid w:val="00666ED9"/>
    <w:rsid w:val="006670B0"/>
    <w:rsid w:val="00667193"/>
    <w:rsid w:val="006672BB"/>
    <w:rsid w:val="00670199"/>
    <w:rsid w:val="006701E0"/>
    <w:rsid w:val="00670635"/>
    <w:rsid w:val="00670684"/>
    <w:rsid w:val="00670806"/>
    <w:rsid w:val="006708A7"/>
    <w:rsid w:val="00670E9F"/>
    <w:rsid w:val="0067113E"/>
    <w:rsid w:val="006719D7"/>
    <w:rsid w:val="006719F3"/>
    <w:rsid w:val="00671A49"/>
    <w:rsid w:val="00671DD7"/>
    <w:rsid w:val="006726E7"/>
    <w:rsid w:val="0067281D"/>
    <w:rsid w:val="0067291F"/>
    <w:rsid w:val="00672CC5"/>
    <w:rsid w:val="00672D31"/>
    <w:rsid w:val="00672E46"/>
    <w:rsid w:val="00672E56"/>
    <w:rsid w:val="006737FA"/>
    <w:rsid w:val="00673B2F"/>
    <w:rsid w:val="00673E23"/>
    <w:rsid w:val="006740F1"/>
    <w:rsid w:val="006741E1"/>
    <w:rsid w:val="00674932"/>
    <w:rsid w:val="006754D8"/>
    <w:rsid w:val="006755A0"/>
    <w:rsid w:val="00675811"/>
    <w:rsid w:val="00676130"/>
    <w:rsid w:val="006765C1"/>
    <w:rsid w:val="0067674D"/>
    <w:rsid w:val="00676BE5"/>
    <w:rsid w:val="00676C98"/>
    <w:rsid w:val="00676D14"/>
    <w:rsid w:val="00676E3D"/>
    <w:rsid w:val="006773C7"/>
    <w:rsid w:val="00677833"/>
    <w:rsid w:val="00677A8A"/>
    <w:rsid w:val="00677D95"/>
    <w:rsid w:val="00677DBB"/>
    <w:rsid w:val="006804A7"/>
    <w:rsid w:val="00680913"/>
    <w:rsid w:val="00680C91"/>
    <w:rsid w:val="00680CAF"/>
    <w:rsid w:val="00680FE3"/>
    <w:rsid w:val="0068133D"/>
    <w:rsid w:val="0068145D"/>
    <w:rsid w:val="006814D4"/>
    <w:rsid w:val="006815B1"/>
    <w:rsid w:val="0068165D"/>
    <w:rsid w:val="006819DC"/>
    <w:rsid w:val="00681A61"/>
    <w:rsid w:val="00681B2F"/>
    <w:rsid w:val="00681C1F"/>
    <w:rsid w:val="00682091"/>
    <w:rsid w:val="00682902"/>
    <w:rsid w:val="00682B0F"/>
    <w:rsid w:val="00682E5D"/>
    <w:rsid w:val="00683268"/>
    <w:rsid w:val="00683352"/>
    <w:rsid w:val="006833BC"/>
    <w:rsid w:val="0068359D"/>
    <w:rsid w:val="006835FD"/>
    <w:rsid w:val="00683972"/>
    <w:rsid w:val="00683BD7"/>
    <w:rsid w:val="00683D1C"/>
    <w:rsid w:val="00683F40"/>
    <w:rsid w:val="00683FAE"/>
    <w:rsid w:val="00684760"/>
    <w:rsid w:val="006847FE"/>
    <w:rsid w:val="00684EE4"/>
    <w:rsid w:val="00684FAF"/>
    <w:rsid w:val="00685365"/>
    <w:rsid w:val="0068544E"/>
    <w:rsid w:val="00685454"/>
    <w:rsid w:val="006854E7"/>
    <w:rsid w:val="00685727"/>
    <w:rsid w:val="0068587A"/>
    <w:rsid w:val="00685B3A"/>
    <w:rsid w:val="0068618F"/>
    <w:rsid w:val="00686330"/>
    <w:rsid w:val="006863D3"/>
    <w:rsid w:val="0068664F"/>
    <w:rsid w:val="00686885"/>
    <w:rsid w:val="00686AAC"/>
    <w:rsid w:val="00686FDA"/>
    <w:rsid w:val="006870B0"/>
    <w:rsid w:val="0068758D"/>
    <w:rsid w:val="006878B6"/>
    <w:rsid w:val="006879C3"/>
    <w:rsid w:val="006901A3"/>
    <w:rsid w:val="00690C9F"/>
    <w:rsid w:val="00691449"/>
    <w:rsid w:val="0069163F"/>
    <w:rsid w:val="00691A5C"/>
    <w:rsid w:val="00691BBF"/>
    <w:rsid w:val="00691BD8"/>
    <w:rsid w:val="00691D66"/>
    <w:rsid w:val="006924C4"/>
    <w:rsid w:val="00692761"/>
    <w:rsid w:val="0069339F"/>
    <w:rsid w:val="006933B6"/>
    <w:rsid w:val="00693404"/>
    <w:rsid w:val="0069348B"/>
    <w:rsid w:val="00693A3D"/>
    <w:rsid w:val="00693A6C"/>
    <w:rsid w:val="00694180"/>
    <w:rsid w:val="00694229"/>
    <w:rsid w:val="00694568"/>
    <w:rsid w:val="006946ED"/>
    <w:rsid w:val="00694EBD"/>
    <w:rsid w:val="00695093"/>
    <w:rsid w:val="006952C0"/>
    <w:rsid w:val="006953FF"/>
    <w:rsid w:val="006957AA"/>
    <w:rsid w:val="006957D6"/>
    <w:rsid w:val="00695949"/>
    <w:rsid w:val="00695F85"/>
    <w:rsid w:val="0069612B"/>
    <w:rsid w:val="006966E0"/>
    <w:rsid w:val="00696C58"/>
    <w:rsid w:val="00696FF1"/>
    <w:rsid w:val="00697790"/>
    <w:rsid w:val="0069783A"/>
    <w:rsid w:val="00697937"/>
    <w:rsid w:val="0069793C"/>
    <w:rsid w:val="00697E5A"/>
    <w:rsid w:val="00697E8F"/>
    <w:rsid w:val="006A05A9"/>
    <w:rsid w:val="006A0709"/>
    <w:rsid w:val="006A0AA9"/>
    <w:rsid w:val="006A0BC5"/>
    <w:rsid w:val="006A1131"/>
    <w:rsid w:val="006A16CB"/>
    <w:rsid w:val="006A1869"/>
    <w:rsid w:val="006A1DCB"/>
    <w:rsid w:val="006A1F38"/>
    <w:rsid w:val="006A1F8A"/>
    <w:rsid w:val="006A200C"/>
    <w:rsid w:val="006A2162"/>
    <w:rsid w:val="006A2518"/>
    <w:rsid w:val="006A2B37"/>
    <w:rsid w:val="006A3261"/>
    <w:rsid w:val="006A3BBE"/>
    <w:rsid w:val="006A4044"/>
    <w:rsid w:val="006A47C5"/>
    <w:rsid w:val="006A49A6"/>
    <w:rsid w:val="006A4B30"/>
    <w:rsid w:val="006A4EF0"/>
    <w:rsid w:val="006A4FAB"/>
    <w:rsid w:val="006A5122"/>
    <w:rsid w:val="006A52AF"/>
    <w:rsid w:val="006A59BB"/>
    <w:rsid w:val="006A5AE6"/>
    <w:rsid w:val="006A5D03"/>
    <w:rsid w:val="006A5E18"/>
    <w:rsid w:val="006A5ECA"/>
    <w:rsid w:val="006A6287"/>
    <w:rsid w:val="006A6528"/>
    <w:rsid w:val="006A668A"/>
    <w:rsid w:val="006A6ADF"/>
    <w:rsid w:val="006A6AFF"/>
    <w:rsid w:val="006A6C37"/>
    <w:rsid w:val="006A6EF5"/>
    <w:rsid w:val="006A6FC9"/>
    <w:rsid w:val="006A726C"/>
    <w:rsid w:val="006A73BD"/>
    <w:rsid w:val="006A76D1"/>
    <w:rsid w:val="006A773B"/>
    <w:rsid w:val="006A78F7"/>
    <w:rsid w:val="006A7B60"/>
    <w:rsid w:val="006A7C60"/>
    <w:rsid w:val="006A7FBD"/>
    <w:rsid w:val="006B06AC"/>
    <w:rsid w:val="006B0A0B"/>
    <w:rsid w:val="006B1165"/>
    <w:rsid w:val="006B173D"/>
    <w:rsid w:val="006B18B2"/>
    <w:rsid w:val="006B1A1D"/>
    <w:rsid w:val="006B1ACB"/>
    <w:rsid w:val="006B1ECC"/>
    <w:rsid w:val="006B1F5D"/>
    <w:rsid w:val="006B22A9"/>
    <w:rsid w:val="006B2885"/>
    <w:rsid w:val="006B2D70"/>
    <w:rsid w:val="006B34BF"/>
    <w:rsid w:val="006B3ECC"/>
    <w:rsid w:val="006B41B6"/>
    <w:rsid w:val="006B43F8"/>
    <w:rsid w:val="006B4996"/>
    <w:rsid w:val="006B4A2C"/>
    <w:rsid w:val="006B4A73"/>
    <w:rsid w:val="006B4AE1"/>
    <w:rsid w:val="006B4BB0"/>
    <w:rsid w:val="006B4D0E"/>
    <w:rsid w:val="006B5010"/>
    <w:rsid w:val="006B515A"/>
    <w:rsid w:val="006B5235"/>
    <w:rsid w:val="006B5602"/>
    <w:rsid w:val="006B56D1"/>
    <w:rsid w:val="006B6098"/>
    <w:rsid w:val="006B61AD"/>
    <w:rsid w:val="006B61E1"/>
    <w:rsid w:val="006B6AD6"/>
    <w:rsid w:val="006B6DDA"/>
    <w:rsid w:val="006B6E28"/>
    <w:rsid w:val="006B6EE7"/>
    <w:rsid w:val="006B6FB2"/>
    <w:rsid w:val="006B6FFE"/>
    <w:rsid w:val="006B7171"/>
    <w:rsid w:val="006B73AE"/>
    <w:rsid w:val="006B78FD"/>
    <w:rsid w:val="006B7CB6"/>
    <w:rsid w:val="006C1073"/>
    <w:rsid w:val="006C1D64"/>
    <w:rsid w:val="006C1E9D"/>
    <w:rsid w:val="006C2549"/>
    <w:rsid w:val="006C2569"/>
    <w:rsid w:val="006C26D8"/>
    <w:rsid w:val="006C2852"/>
    <w:rsid w:val="006C2C1F"/>
    <w:rsid w:val="006C2CC4"/>
    <w:rsid w:val="006C2FD4"/>
    <w:rsid w:val="006C3100"/>
    <w:rsid w:val="006C313E"/>
    <w:rsid w:val="006C31D7"/>
    <w:rsid w:val="006C34FB"/>
    <w:rsid w:val="006C36FB"/>
    <w:rsid w:val="006C447E"/>
    <w:rsid w:val="006C465E"/>
    <w:rsid w:val="006C4672"/>
    <w:rsid w:val="006C4934"/>
    <w:rsid w:val="006C4E61"/>
    <w:rsid w:val="006C4F3B"/>
    <w:rsid w:val="006C5045"/>
    <w:rsid w:val="006C54D9"/>
    <w:rsid w:val="006C54E2"/>
    <w:rsid w:val="006C55FD"/>
    <w:rsid w:val="006C575D"/>
    <w:rsid w:val="006C59B5"/>
    <w:rsid w:val="006C5AD3"/>
    <w:rsid w:val="006C5BE1"/>
    <w:rsid w:val="006C5CD0"/>
    <w:rsid w:val="006C5D2C"/>
    <w:rsid w:val="006C67D6"/>
    <w:rsid w:val="006C7149"/>
    <w:rsid w:val="006C73B1"/>
    <w:rsid w:val="006C7B36"/>
    <w:rsid w:val="006D02D6"/>
    <w:rsid w:val="006D0478"/>
    <w:rsid w:val="006D0940"/>
    <w:rsid w:val="006D0AF3"/>
    <w:rsid w:val="006D12AE"/>
    <w:rsid w:val="006D14D6"/>
    <w:rsid w:val="006D1C98"/>
    <w:rsid w:val="006D2687"/>
    <w:rsid w:val="006D2EB3"/>
    <w:rsid w:val="006D3181"/>
    <w:rsid w:val="006D3803"/>
    <w:rsid w:val="006D3BEB"/>
    <w:rsid w:val="006D3D7A"/>
    <w:rsid w:val="006D3EBC"/>
    <w:rsid w:val="006D4239"/>
    <w:rsid w:val="006D4287"/>
    <w:rsid w:val="006D43E8"/>
    <w:rsid w:val="006D45DA"/>
    <w:rsid w:val="006D4700"/>
    <w:rsid w:val="006D4820"/>
    <w:rsid w:val="006D4B13"/>
    <w:rsid w:val="006D4FB9"/>
    <w:rsid w:val="006D5494"/>
    <w:rsid w:val="006D5643"/>
    <w:rsid w:val="006D5903"/>
    <w:rsid w:val="006D5CB5"/>
    <w:rsid w:val="006D5D16"/>
    <w:rsid w:val="006D6249"/>
    <w:rsid w:val="006D628B"/>
    <w:rsid w:val="006D6D08"/>
    <w:rsid w:val="006D76F8"/>
    <w:rsid w:val="006E018F"/>
    <w:rsid w:val="006E034C"/>
    <w:rsid w:val="006E05BA"/>
    <w:rsid w:val="006E0C1C"/>
    <w:rsid w:val="006E0F70"/>
    <w:rsid w:val="006E1052"/>
    <w:rsid w:val="006E1299"/>
    <w:rsid w:val="006E1578"/>
    <w:rsid w:val="006E16AA"/>
    <w:rsid w:val="006E17AA"/>
    <w:rsid w:val="006E1E9D"/>
    <w:rsid w:val="006E1FE3"/>
    <w:rsid w:val="006E2490"/>
    <w:rsid w:val="006E289E"/>
    <w:rsid w:val="006E293C"/>
    <w:rsid w:val="006E2CCB"/>
    <w:rsid w:val="006E2EDF"/>
    <w:rsid w:val="006E2FFA"/>
    <w:rsid w:val="006E3048"/>
    <w:rsid w:val="006E35B7"/>
    <w:rsid w:val="006E3734"/>
    <w:rsid w:val="006E3D31"/>
    <w:rsid w:val="006E3F83"/>
    <w:rsid w:val="006E4089"/>
    <w:rsid w:val="006E5919"/>
    <w:rsid w:val="006E59E1"/>
    <w:rsid w:val="006E5D27"/>
    <w:rsid w:val="006E5E71"/>
    <w:rsid w:val="006E6AFD"/>
    <w:rsid w:val="006E6C1A"/>
    <w:rsid w:val="006E7009"/>
    <w:rsid w:val="006E7278"/>
    <w:rsid w:val="006E74A7"/>
    <w:rsid w:val="006E74C5"/>
    <w:rsid w:val="006E7B9D"/>
    <w:rsid w:val="006E7C2D"/>
    <w:rsid w:val="006F0108"/>
    <w:rsid w:val="006F094A"/>
    <w:rsid w:val="006F155E"/>
    <w:rsid w:val="006F1AAC"/>
    <w:rsid w:val="006F1B9E"/>
    <w:rsid w:val="006F1FB3"/>
    <w:rsid w:val="006F1FDC"/>
    <w:rsid w:val="006F2087"/>
    <w:rsid w:val="006F2E0B"/>
    <w:rsid w:val="006F2E41"/>
    <w:rsid w:val="006F2E5C"/>
    <w:rsid w:val="006F305F"/>
    <w:rsid w:val="006F3061"/>
    <w:rsid w:val="006F3442"/>
    <w:rsid w:val="006F3712"/>
    <w:rsid w:val="006F38FF"/>
    <w:rsid w:val="006F3FDF"/>
    <w:rsid w:val="006F40BD"/>
    <w:rsid w:val="006F40F0"/>
    <w:rsid w:val="006F414A"/>
    <w:rsid w:val="006F45F0"/>
    <w:rsid w:val="006F4A57"/>
    <w:rsid w:val="006F4BF3"/>
    <w:rsid w:val="006F4E2A"/>
    <w:rsid w:val="006F4FC5"/>
    <w:rsid w:val="006F526E"/>
    <w:rsid w:val="006F580A"/>
    <w:rsid w:val="006F59E1"/>
    <w:rsid w:val="006F5DB4"/>
    <w:rsid w:val="006F5F51"/>
    <w:rsid w:val="006F608B"/>
    <w:rsid w:val="006F60FB"/>
    <w:rsid w:val="006F69F0"/>
    <w:rsid w:val="006F6CF4"/>
    <w:rsid w:val="006F744E"/>
    <w:rsid w:val="006F757D"/>
    <w:rsid w:val="006F75CC"/>
    <w:rsid w:val="006F7779"/>
    <w:rsid w:val="006F7911"/>
    <w:rsid w:val="006F7C0D"/>
    <w:rsid w:val="006F7DF2"/>
    <w:rsid w:val="006F7F91"/>
    <w:rsid w:val="007005B5"/>
    <w:rsid w:val="00701024"/>
    <w:rsid w:val="007014A8"/>
    <w:rsid w:val="00701671"/>
    <w:rsid w:val="007016A4"/>
    <w:rsid w:val="00701DEF"/>
    <w:rsid w:val="00701E06"/>
    <w:rsid w:val="00702556"/>
    <w:rsid w:val="00702B61"/>
    <w:rsid w:val="00702DA5"/>
    <w:rsid w:val="00702EF3"/>
    <w:rsid w:val="00702F3A"/>
    <w:rsid w:val="00703431"/>
    <w:rsid w:val="0070385A"/>
    <w:rsid w:val="007038D2"/>
    <w:rsid w:val="007042A6"/>
    <w:rsid w:val="007046B0"/>
    <w:rsid w:val="00704F0A"/>
    <w:rsid w:val="007050EE"/>
    <w:rsid w:val="007052B3"/>
    <w:rsid w:val="0070533D"/>
    <w:rsid w:val="007055FA"/>
    <w:rsid w:val="007059FB"/>
    <w:rsid w:val="00705ABF"/>
    <w:rsid w:val="00705AEF"/>
    <w:rsid w:val="00705D56"/>
    <w:rsid w:val="00706008"/>
    <w:rsid w:val="00706086"/>
    <w:rsid w:val="007061AD"/>
    <w:rsid w:val="007062C5"/>
    <w:rsid w:val="00706321"/>
    <w:rsid w:val="007063C0"/>
    <w:rsid w:val="0070693D"/>
    <w:rsid w:val="00706A30"/>
    <w:rsid w:val="00706C7D"/>
    <w:rsid w:val="00706F51"/>
    <w:rsid w:val="00707A6E"/>
    <w:rsid w:val="00707B98"/>
    <w:rsid w:val="00707E0D"/>
    <w:rsid w:val="007100BD"/>
    <w:rsid w:val="007101D9"/>
    <w:rsid w:val="00710958"/>
    <w:rsid w:val="00710DE4"/>
    <w:rsid w:val="007112E4"/>
    <w:rsid w:val="0071187B"/>
    <w:rsid w:val="00711F5C"/>
    <w:rsid w:val="007122BB"/>
    <w:rsid w:val="007129B2"/>
    <w:rsid w:val="00712C0E"/>
    <w:rsid w:val="00712F9A"/>
    <w:rsid w:val="007132DD"/>
    <w:rsid w:val="00713301"/>
    <w:rsid w:val="0071370C"/>
    <w:rsid w:val="00713B60"/>
    <w:rsid w:val="00714490"/>
    <w:rsid w:val="0071493E"/>
    <w:rsid w:val="00714B17"/>
    <w:rsid w:val="00714B54"/>
    <w:rsid w:val="00714D8F"/>
    <w:rsid w:val="00714DEA"/>
    <w:rsid w:val="0071535A"/>
    <w:rsid w:val="007158CB"/>
    <w:rsid w:val="00716B44"/>
    <w:rsid w:val="00716B52"/>
    <w:rsid w:val="00716D0F"/>
    <w:rsid w:val="00716F6F"/>
    <w:rsid w:val="00716F93"/>
    <w:rsid w:val="007173A7"/>
    <w:rsid w:val="00717410"/>
    <w:rsid w:val="007175FE"/>
    <w:rsid w:val="00717D24"/>
    <w:rsid w:val="00717E6A"/>
    <w:rsid w:val="00720794"/>
    <w:rsid w:val="0072094C"/>
    <w:rsid w:val="00720CAA"/>
    <w:rsid w:val="0072152E"/>
    <w:rsid w:val="00721B34"/>
    <w:rsid w:val="00722173"/>
    <w:rsid w:val="00722712"/>
    <w:rsid w:val="00722946"/>
    <w:rsid w:val="00722C73"/>
    <w:rsid w:val="00722DE0"/>
    <w:rsid w:val="00723311"/>
    <w:rsid w:val="0072339D"/>
    <w:rsid w:val="007233DC"/>
    <w:rsid w:val="00723526"/>
    <w:rsid w:val="00723886"/>
    <w:rsid w:val="00723ADF"/>
    <w:rsid w:val="00723D38"/>
    <w:rsid w:val="00723F74"/>
    <w:rsid w:val="0072402F"/>
    <w:rsid w:val="0072431D"/>
    <w:rsid w:val="00724838"/>
    <w:rsid w:val="00724986"/>
    <w:rsid w:val="00724C0B"/>
    <w:rsid w:val="00724C57"/>
    <w:rsid w:val="00724F8B"/>
    <w:rsid w:val="007250D5"/>
    <w:rsid w:val="00725519"/>
    <w:rsid w:val="00725941"/>
    <w:rsid w:val="00725B4C"/>
    <w:rsid w:val="00725CA3"/>
    <w:rsid w:val="00726095"/>
    <w:rsid w:val="007261ED"/>
    <w:rsid w:val="007262CD"/>
    <w:rsid w:val="00727238"/>
    <w:rsid w:val="007274A4"/>
    <w:rsid w:val="00727577"/>
    <w:rsid w:val="0072765D"/>
    <w:rsid w:val="0072789E"/>
    <w:rsid w:val="00727CC7"/>
    <w:rsid w:val="007300C2"/>
    <w:rsid w:val="00730886"/>
    <w:rsid w:val="007308DB"/>
    <w:rsid w:val="00730C7D"/>
    <w:rsid w:val="00730E51"/>
    <w:rsid w:val="0073164E"/>
    <w:rsid w:val="00731B3C"/>
    <w:rsid w:val="00731D33"/>
    <w:rsid w:val="00731DCF"/>
    <w:rsid w:val="007321A4"/>
    <w:rsid w:val="0073223D"/>
    <w:rsid w:val="0073294D"/>
    <w:rsid w:val="00733594"/>
    <w:rsid w:val="00733758"/>
    <w:rsid w:val="007338D0"/>
    <w:rsid w:val="0073391B"/>
    <w:rsid w:val="00734157"/>
    <w:rsid w:val="007343A2"/>
    <w:rsid w:val="007346D4"/>
    <w:rsid w:val="00735186"/>
    <w:rsid w:val="00735CE4"/>
    <w:rsid w:val="00735F06"/>
    <w:rsid w:val="00735FA0"/>
    <w:rsid w:val="007364E1"/>
    <w:rsid w:val="007371C5"/>
    <w:rsid w:val="00737606"/>
    <w:rsid w:val="0073760E"/>
    <w:rsid w:val="007378EE"/>
    <w:rsid w:val="00737A8C"/>
    <w:rsid w:val="0074001F"/>
    <w:rsid w:val="0074110E"/>
    <w:rsid w:val="0074152F"/>
    <w:rsid w:val="007417FE"/>
    <w:rsid w:val="00741863"/>
    <w:rsid w:val="00741D23"/>
    <w:rsid w:val="00741E25"/>
    <w:rsid w:val="00741E79"/>
    <w:rsid w:val="00741F42"/>
    <w:rsid w:val="007423CE"/>
    <w:rsid w:val="0074249C"/>
    <w:rsid w:val="00742AB9"/>
    <w:rsid w:val="00742D30"/>
    <w:rsid w:val="00742FF1"/>
    <w:rsid w:val="00743466"/>
    <w:rsid w:val="00744231"/>
    <w:rsid w:val="007442EB"/>
    <w:rsid w:val="00744565"/>
    <w:rsid w:val="0074456A"/>
    <w:rsid w:val="00744671"/>
    <w:rsid w:val="0074486F"/>
    <w:rsid w:val="00744B26"/>
    <w:rsid w:val="00744F67"/>
    <w:rsid w:val="00745488"/>
    <w:rsid w:val="00745B7E"/>
    <w:rsid w:val="00745DE2"/>
    <w:rsid w:val="00745F19"/>
    <w:rsid w:val="00746380"/>
    <w:rsid w:val="007468C8"/>
    <w:rsid w:val="00746985"/>
    <w:rsid w:val="007474D3"/>
    <w:rsid w:val="00747511"/>
    <w:rsid w:val="00747BC2"/>
    <w:rsid w:val="00747EC2"/>
    <w:rsid w:val="0075012D"/>
    <w:rsid w:val="00750571"/>
    <w:rsid w:val="00750A48"/>
    <w:rsid w:val="00750BAA"/>
    <w:rsid w:val="00750CBD"/>
    <w:rsid w:val="00750DB3"/>
    <w:rsid w:val="00751021"/>
    <w:rsid w:val="00751134"/>
    <w:rsid w:val="0075193A"/>
    <w:rsid w:val="00751AA9"/>
    <w:rsid w:val="00751AAC"/>
    <w:rsid w:val="00751CD2"/>
    <w:rsid w:val="00751F55"/>
    <w:rsid w:val="00751F72"/>
    <w:rsid w:val="00752266"/>
    <w:rsid w:val="00752351"/>
    <w:rsid w:val="0075277E"/>
    <w:rsid w:val="007530BB"/>
    <w:rsid w:val="00753208"/>
    <w:rsid w:val="00753354"/>
    <w:rsid w:val="00753D0D"/>
    <w:rsid w:val="00753D5B"/>
    <w:rsid w:val="0075404F"/>
    <w:rsid w:val="0075426F"/>
    <w:rsid w:val="0075473C"/>
    <w:rsid w:val="007548E7"/>
    <w:rsid w:val="00754D1B"/>
    <w:rsid w:val="007550BC"/>
    <w:rsid w:val="0075513F"/>
    <w:rsid w:val="0075583B"/>
    <w:rsid w:val="00756057"/>
    <w:rsid w:val="007561E8"/>
    <w:rsid w:val="00756734"/>
    <w:rsid w:val="00756BC8"/>
    <w:rsid w:val="00756C36"/>
    <w:rsid w:val="007575AB"/>
    <w:rsid w:val="0075776A"/>
    <w:rsid w:val="007577C7"/>
    <w:rsid w:val="0075788E"/>
    <w:rsid w:val="00757972"/>
    <w:rsid w:val="00757ADE"/>
    <w:rsid w:val="00757D8E"/>
    <w:rsid w:val="00757FC9"/>
    <w:rsid w:val="00760134"/>
    <w:rsid w:val="00760358"/>
    <w:rsid w:val="007603CE"/>
    <w:rsid w:val="0076056C"/>
    <w:rsid w:val="00760610"/>
    <w:rsid w:val="0076065D"/>
    <w:rsid w:val="007608EF"/>
    <w:rsid w:val="00760ADB"/>
    <w:rsid w:val="00760C42"/>
    <w:rsid w:val="00761212"/>
    <w:rsid w:val="00761BD3"/>
    <w:rsid w:val="0076238C"/>
    <w:rsid w:val="007623AE"/>
    <w:rsid w:val="007625A9"/>
    <w:rsid w:val="00762CCB"/>
    <w:rsid w:val="00762F7B"/>
    <w:rsid w:val="00763362"/>
    <w:rsid w:val="007633A3"/>
    <w:rsid w:val="0076355C"/>
    <w:rsid w:val="0076399B"/>
    <w:rsid w:val="00763AA2"/>
    <w:rsid w:val="00763BC7"/>
    <w:rsid w:val="00763D76"/>
    <w:rsid w:val="0076412B"/>
    <w:rsid w:val="007642E0"/>
    <w:rsid w:val="00764409"/>
    <w:rsid w:val="00764747"/>
    <w:rsid w:val="00764D3C"/>
    <w:rsid w:val="00765017"/>
    <w:rsid w:val="00765DB9"/>
    <w:rsid w:val="00766315"/>
    <w:rsid w:val="0076638B"/>
    <w:rsid w:val="0076665A"/>
    <w:rsid w:val="00766A14"/>
    <w:rsid w:val="00766B57"/>
    <w:rsid w:val="00766F90"/>
    <w:rsid w:val="007670D1"/>
    <w:rsid w:val="00767515"/>
    <w:rsid w:val="007675CD"/>
    <w:rsid w:val="00767BEA"/>
    <w:rsid w:val="00770012"/>
    <w:rsid w:val="00770160"/>
    <w:rsid w:val="007701AE"/>
    <w:rsid w:val="00770D8F"/>
    <w:rsid w:val="00770F8A"/>
    <w:rsid w:val="00771133"/>
    <w:rsid w:val="007712AD"/>
    <w:rsid w:val="007713CF"/>
    <w:rsid w:val="0077149B"/>
    <w:rsid w:val="0077150F"/>
    <w:rsid w:val="0077155F"/>
    <w:rsid w:val="007719CE"/>
    <w:rsid w:val="00771AA8"/>
    <w:rsid w:val="00771DF6"/>
    <w:rsid w:val="00771EEC"/>
    <w:rsid w:val="007722DA"/>
    <w:rsid w:val="00772638"/>
    <w:rsid w:val="00772994"/>
    <w:rsid w:val="00773189"/>
    <w:rsid w:val="007732FA"/>
    <w:rsid w:val="00773301"/>
    <w:rsid w:val="00773598"/>
    <w:rsid w:val="00773CEC"/>
    <w:rsid w:val="00773E35"/>
    <w:rsid w:val="00773F43"/>
    <w:rsid w:val="007740A3"/>
    <w:rsid w:val="007740F5"/>
    <w:rsid w:val="00774118"/>
    <w:rsid w:val="00774159"/>
    <w:rsid w:val="007742CD"/>
    <w:rsid w:val="00774330"/>
    <w:rsid w:val="00774808"/>
    <w:rsid w:val="00774858"/>
    <w:rsid w:val="00774BC2"/>
    <w:rsid w:val="0077556B"/>
    <w:rsid w:val="0077571B"/>
    <w:rsid w:val="00775B0C"/>
    <w:rsid w:val="00775C5E"/>
    <w:rsid w:val="00776163"/>
    <w:rsid w:val="00776172"/>
    <w:rsid w:val="0077640E"/>
    <w:rsid w:val="0077643F"/>
    <w:rsid w:val="00776522"/>
    <w:rsid w:val="0077655C"/>
    <w:rsid w:val="00776917"/>
    <w:rsid w:val="00776971"/>
    <w:rsid w:val="00776EA6"/>
    <w:rsid w:val="0077727F"/>
    <w:rsid w:val="0077739F"/>
    <w:rsid w:val="007773EE"/>
    <w:rsid w:val="007777F6"/>
    <w:rsid w:val="00777EEA"/>
    <w:rsid w:val="00780183"/>
    <w:rsid w:val="007805CD"/>
    <w:rsid w:val="007809B6"/>
    <w:rsid w:val="00780BD6"/>
    <w:rsid w:val="00780D14"/>
    <w:rsid w:val="0078112B"/>
    <w:rsid w:val="00781333"/>
    <w:rsid w:val="00782017"/>
    <w:rsid w:val="00782019"/>
    <w:rsid w:val="007820D8"/>
    <w:rsid w:val="007821DF"/>
    <w:rsid w:val="00782259"/>
    <w:rsid w:val="007822AF"/>
    <w:rsid w:val="007825B7"/>
    <w:rsid w:val="0078298B"/>
    <w:rsid w:val="00782DE3"/>
    <w:rsid w:val="007830C8"/>
    <w:rsid w:val="007833BB"/>
    <w:rsid w:val="0078343C"/>
    <w:rsid w:val="007834ED"/>
    <w:rsid w:val="00783AFD"/>
    <w:rsid w:val="00783D8E"/>
    <w:rsid w:val="00783E0E"/>
    <w:rsid w:val="00783E29"/>
    <w:rsid w:val="00784314"/>
    <w:rsid w:val="0078467D"/>
    <w:rsid w:val="00784BDA"/>
    <w:rsid w:val="00784DA1"/>
    <w:rsid w:val="00784E92"/>
    <w:rsid w:val="0078523D"/>
    <w:rsid w:val="007852B3"/>
    <w:rsid w:val="0078533F"/>
    <w:rsid w:val="007854EF"/>
    <w:rsid w:val="0078552F"/>
    <w:rsid w:val="00785652"/>
    <w:rsid w:val="00785F90"/>
    <w:rsid w:val="00786018"/>
    <w:rsid w:val="007860C5"/>
    <w:rsid w:val="0078670A"/>
    <w:rsid w:val="0078679F"/>
    <w:rsid w:val="0078682E"/>
    <w:rsid w:val="00786C79"/>
    <w:rsid w:val="0078709D"/>
    <w:rsid w:val="00787493"/>
    <w:rsid w:val="007877C7"/>
    <w:rsid w:val="007879EA"/>
    <w:rsid w:val="00787B8E"/>
    <w:rsid w:val="00787EB4"/>
    <w:rsid w:val="00790004"/>
    <w:rsid w:val="00790086"/>
    <w:rsid w:val="0079014E"/>
    <w:rsid w:val="007903A9"/>
    <w:rsid w:val="00790636"/>
    <w:rsid w:val="0079070D"/>
    <w:rsid w:val="007907BA"/>
    <w:rsid w:val="00791119"/>
    <w:rsid w:val="00791416"/>
    <w:rsid w:val="00791AD0"/>
    <w:rsid w:val="00791DAC"/>
    <w:rsid w:val="00791F0E"/>
    <w:rsid w:val="00792109"/>
    <w:rsid w:val="00792383"/>
    <w:rsid w:val="0079261E"/>
    <w:rsid w:val="00792E0E"/>
    <w:rsid w:val="00792F15"/>
    <w:rsid w:val="00793212"/>
    <w:rsid w:val="00793251"/>
    <w:rsid w:val="00793335"/>
    <w:rsid w:val="0079334D"/>
    <w:rsid w:val="00793482"/>
    <w:rsid w:val="00793B9F"/>
    <w:rsid w:val="00793EEC"/>
    <w:rsid w:val="00794318"/>
    <w:rsid w:val="00794662"/>
    <w:rsid w:val="007949E9"/>
    <w:rsid w:val="00794A2F"/>
    <w:rsid w:val="00794A95"/>
    <w:rsid w:val="0079506A"/>
    <w:rsid w:val="00795C82"/>
    <w:rsid w:val="00795D72"/>
    <w:rsid w:val="00795E57"/>
    <w:rsid w:val="00796569"/>
    <w:rsid w:val="0079673F"/>
    <w:rsid w:val="007969EC"/>
    <w:rsid w:val="00796B48"/>
    <w:rsid w:val="00796B81"/>
    <w:rsid w:val="00796FFC"/>
    <w:rsid w:val="0079721A"/>
    <w:rsid w:val="00797498"/>
    <w:rsid w:val="007975B9"/>
    <w:rsid w:val="007977F9"/>
    <w:rsid w:val="00797897"/>
    <w:rsid w:val="007A0014"/>
    <w:rsid w:val="007A008D"/>
    <w:rsid w:val="007A03C5"/>
    <w:rsid w:val="007A0469"/>
    <w:rsid w:val="007A04C6"/>
    <w:rsid w:val="007A0621"/>
    <w:rsid w:val="007A06BB"/>
    <w:rsid w:val="007A0A6E"/>
    <w:rsid w:val="007A0D31"/>
    <w:rsid w:val="007A11ED"/>
    <w:rsid w:val="007A1393"/>
    <w:rsid w:val="007A13AF"/>
    <w:rsid w:val="007A15CB"/>
    <w:rsid w:val="007A1631"/>
    <w:rsid w:val="007A1796"/>
    <w:rsid w:val="007A198F"/>
    <w:rsid w:val="007A1B1F"/>
    <w:rsid w:val="007A221A"/>
    <w:rsid w:val="007A2402"/>
    <w:rsid w:val="007A246D"/>
    <w:rsid w:val="007A251F"/>
    <w:rsid w:val="007A25D5"/>
    <w:rsid w:val="007A2647"/>
    <w:rsid w:val="007A265D"/>
    <w:rsid w:val="007A2D03"/>
    <w:rsid w:val="007A32B4"/>
    <w:rsid w:val="007A3433"/>
    <w:rsid w:val="007A3460"/>
    <w:rsid w:val="007A398C"/>
    <w:rsid w:val="007A3C90"/>
    <w:rsid w:val="007A3D1F"/>
    <w:rsid w:val="007A3E8D"/>
    <w:rsid w:val="007A3EAB"/>
    <w:rsid w:val="007A3EB6"/>
    <w:rsid w:val="007A3FC6"/>
    <w:rsid w:val="007A41B1"/>
    <w:rsid w:val="007A425A"/>
    <w:rsid w:val="007A4C5F"/>
    <w:rsid w:val="007A5088"/>
    <w:rsid w:val="007A5321"/>
    <w:rsid w:val="007A5527"/>
    <w:rsid w:val="007A56AD"/>
    <w:rsid w:val="007A5A41"/>
    <w:rsid w:val="007A5BCD"/>
    <w:rsid w:val="007A5CF8"/>
    <w:rsid w:val="007A5E0C"/>
    <w:rsid w:val="007A5E5A"/>
    <w:rsid w:val="007A630E"/>
    <w:rsid w:val="007A63E6"/>
    <w:rsid w:val="007A6405"/>
    <w:rsid w:val="007A66BA"/>
    <w:rsid w:val="007A6757"/>
    <w:rsid w:val="007A68A0"/>
    <w:rsid w:val="007A69EA"/>
    <w:rsid w:val="007A6B37"/>
    <w:rsid w:val="007A7003"/>
    <w:rsid w:val="007A7173"/>
    <w:rsid w:val="007A7886"/>
    <w:rsid w:val="007A791E"/>
    <w:rsid w:val="007A7A7E"/>
    <w:rsid w:val="007A7AAC"/>
    <w:rsid w:val="007A7C03"/>
    <w:rsid w:val="007A7EC5"/>
    <w:rsid w:val="007B0048"/>
    <w:rsid w:val="007B05D1"/>
    <w:rsid w:val="007B061F"/>
    <w:rsid w:val="007B0A48"/>
    <w:rsid w:val="007B0AE0"/>
    <w:rsid w:val="007B0D77"/>
    <w:rsid w:val="007B121D"/>
    <w:rsid w:val="007B1224"/>
    <w:rsid w:val="007B13BE"/>
    <w:rsid w:val="007B18FB"/>
    <w:rsid w:val="007B22C4"/>
    <w:rsid w:val="007B252C"/>
    <w:rsid w:val="007B278E"/>
    <w:rsid w:val="007B2925"/>
    <w:rsid w:val="007B2B93"/>
    <w:rsid w:val="007B2DFF"/>
    <w:rsid w:val="007B366F"/>
    <w:rsid w:val="007B3909"/>
    <w:rsid w:val="007B3B1D"/>
    <w:rsid w:val="007B418B"/>
    <w:rsid w:val="007B4806"/>
    <w:rsid w:val="007B49D1"/>
    <w:rsid w:val="007B5162"/>
    <w:rsid w:val="007B5225"/>
    <w:rsid w:val="007B5B6C"/>
    <w:rsid w:val="007B5C08"/>
    <w:rsid w:val="007B5C63"/>
    <w:rsid w:val="007B6144"/>
    <w:rsid w:val="007B637D"/>
    <w:rsid w:val="007B6954"/>
    <w:rsid w:val="007B6DA6"/>
    <w:rsid w:val="007B6FF3"/>
    <w:rsid w:val="007B78EF"/>
    <w:rsid w:val="007B7942"/>
    <w:rsid w:val="007B7AE4"/>
    <w:rsid w:val="007B7BAB"/>
    <w:rsid w:val="007B7BD7"/>
    <w:rsid w:val="007B7DE2"/>
    <w:rsid w:val="007C0486"/>
    <w:rsid w:val="007C0935"/>
    <w:rsid w:val="007C0AD2"/>
    <w:rsid w:val="007C0C04"/>
    <w:rsid w:val="007C0F9D"/>
    <w:rsid w:val="007C0FDE"/>
    <w:rsid w:val="007C1030"/>
    <w:rsid w:val="007C1081"/>
    <w:rsid w:val="007C1360"/>
    <w:rsid w:val="007C15DF"/>
    <w:rsid w:val="007C165B"/>
    <w:rsid w:val="007C170E"/>
    <w:rsid w:val="007C1899"/>
    <w:rsid w:val="007C20A7"/>
    <w:rsid w:val="007C2118"/>
    <w:rsid w:val="007C233D"/>
    <w:rsid w:val="007C248E"/>
    <w:rsid w:val="007C26D4"/>
    <w:rsid w:val="007C2738"/>
    <w:rsid w:val="007C2B2B"/>
    <w:rsid w:val="007C2C20"/>
    <w:rsid w:val="007C30B0"/>
    <w:rsid w:val="007C30B1"/>
    <w:rsid w:val="007C30B9"/>
    <w:rsid w:val="007C3162"/>
    <w:rsid w:val="007C31AB"/>
    <w:rsid w:val="007C370A"/>
    <w:rsid w:val="007C3961"/>
    <w:rsid w:val="007C3A87"/>
    <w:rsid w:val="007C3B7E"/>
    <w:rsid w:val="007C42F9"/>
    <w:rsid w:val="007C4C17"/>
    <w:rsid w:val="007C51E3"/>
    <w:rsid w:val="007C5237"/>
    <w:rsid w:val="007C54AF"/>
    <w:rsid w:val="007C573E"/>
    <w:rsid w:val="007C5CED"/>
    <w:rsid w:val="007C6671"/>
    <w:rsid w:val="007C725B"/>
    <w:rsid w:val="007C7307"/>
    <w:rsid w:val="007C7388"/>
    <w:rsid w:val="007C7506"/>
    <w:rsid w:val="007C76BE"/>
    <w:rsid w:val="007C771D"/>
    <w:rsid w:val="007C7F8A"/>
    <w:rsid w:val="007D0050"/>
    <w:rsid w:val="007D0338"/>
    <w:rsid w:val="007D03EB"/>
    <w:rsid w:val="007D07E8"/>
    <w:rsid w:val="007D0B6A"/>
    <w:rsid w:val="007D0BA8"/>
    <w:rsid w:val="007D104A"/>
    <w:rsid w:val="007D1387"/>
    <w:rsid w:val="007D1AE2"/>
    <w:rsid w:val="007D1F25"/>
    <w:rsid w:val="007D2154"/>
    <w:rsid w:val="007D26DA"/>
    <w:rsid w:val="007D2EA0"/>
    <w:rsid w:val="007D3283"/>
    <w:rsid w:val="007D32B1"/>
    <w:rsid w:val="007D3A56"/>
    <w:rsid w:val="007D3BAC"/>
    <w:rsid w:val="007D42FD"/>
    <w:rsid w:val="007D444C"/>
    <w:rsid w:val="007D45E8"/>
    <w:rsid w:val="007D4C22"/>
    <w:rsid w:val="007D4D8A"/>
    <w:rsid w:val="007D4F2E"/>
    <w:rsid w:val="007D5844"/>
    <w:rsid w:val="007D584F"/>
    <w:rsid w:val="007D5AA3"/>
    <w:rsid w:val="007D5E50"/>
    <w:rsid w:val="007D5F73"/>
    <w:rsid w:val="007D61B0"/>
    <w:rsid w:val="007D6755"/>
    <w:rsid w:val="007D6B34"/>
    <w:rsid w:val="007D7047"/>
    <w:rsid w:val="007D75C8"/>
    <w:rsid w:val="007D76C1"/>
    <w:rsid w:val="007D7F16"/>
    <w:rsid w:val="007E04DA"/>
    <w:rsid w:val="007E055D"/>
    <w:rsid w:val="007E0997"/>
    <w:rsid w:val="007E0DB0"/>
    <w:rsid w:val="007E10D8"/>
    <w:rsid w:val="007E1726"/>
    <w:rsid w:val="007E1778"/>
    <w:rsid w:val="007E1927"/>
    <w:rsid w:val="007E1BCB"/>
    <w:rsid w:val="007E1C4F"/>
    <w:rsid w:val="007E1D01"/>
    <w:rsid w:val="007E2297"/>
    <w:rsid w:val="007E265F"/>
    <w:rsid w:val="007E26D7"/>
    <w:rsid w:val="007E2725"/>
    <w:rsid w:val="007E27B8"/>
    <w:rsid w:val="007E2EC6"/>
    <w:rsid w:val="007E2FE8"/>
    <w:rsid w:val="007E3291"/>
    <w:rsid w:val="007E3CC5"/>
    <w:rsid w:val="007E3F78"/>
    <w:rsid w:val="007E41A1"/>
    <w:rsid w:val="007E4211"/>
    <w:rsid w:val="007E4394"/>
    <w:rsid w:val="007E4C51"/>
    <w:rsid w:val="007E4E7E"/>
    <w:rsid w:val="007E514F"/>
    <w:rsid w:val="007E52B4"/>
    <w:rsid w:val="007E5956"/>
    <w:rsid w:val="007E602B"/>
    <w:rsid w:val="007E6070"/>
    <w:rsid w:val="007E6880"/>
    <w:rsid w:val="007E6B3F"/>
    <w:rsid w:val="007E6E58"/>
    <w:rsid w:val="007E6F6E"/>
    <w:rsid w:val="007E7356"/>
    <w:rsid w:val="007E73AE"/>
    <w:rsid w:val="007E7AA1"/>
    <w:rsid w:val="007F0494"/>
    <w:rsid w:val="007F080C"/>
    <w:rsid w:val="007F0EBF"/>
    <w:rsid w:val="007F100F"/>
    <w:rsid w:val="007F1265"/>
    <w:rsid w:val="007F1407"/>
    <w:rsid w:val="007F1801"/>
    <w:rsid w:val="007F1E06"/>
    <w:rsid w:val="007F2126"/>
    <w:rsid w:val="007F226A"/>
    <w:rsid w:val="007F2931"/>
    <w:rsid w:val="007F29E2"/>
    <w:rsid w:val="007F2A60"/>
    <w:rsid w:val="007F2C6B"/>
    <w:rsid w:val="007F2F07"/>
    <w:rsid w:val="007F362C"/>
    <w:rsid w:val="007F3986"/>
    <w:rsid w:val="007F3C2B"/>
    <w:rsid w:val="007F3E42"/>
    <w:rsid w:val="007F4131"/>
    <w:rsid w:val="007F5051"/>
    <w:rsid w:val="007F50B6"/>
    <w:rsid w:val="007F54B7"/>
    <w:rsid w:val="007F5979"/>
    <w:rsid w:val="007F6041"/>
    <w:rsid w:val="007F616F"/>
    <w:rsid w:val="007F6216"/>
    <w:rsid w:val="007F6726"/>
    <w:rsid w:val="007F67CD"/>
    <w:rsid w:val="007F69E8"/>
    <w:rsid w:val="007F6EC3"/>
    <w:rsid w:val="007F6FDA"/>
    <w:rsid w:val="007F7077"/>
    <w:rsid w:val="007F7233"/>
    <w:rsid w:val="007F74D5"/>
    <w:rsid w:val="007F7737"/>
    <w:rsid w:val="007F7784"/>
    <w:rsid w:val="007F7A04"/>
    <w:rsid w:val="007F7A0D"/>
    <w:rsid w:val="007F7BE7"/>
    <w:rsid w:val="007F7EB5"/>
    <w:rsid w:val="007F7F25"/>
    <w:rsid w:val="008000F7"/>
    <w:rsid w:val="0080073D"/>
    <w:rsid w:val="008008DD"/>
    <w:rsid w:val="00800947"/>
    <w:rsid w:val="00800B9D"/>
    <w:rsid w:val="00800C29"/>
    <w:rsid w:val="00801224"/>
    <w:rsid w:val="00801A0A"/>
    <w:rsid w:val="008021AE"/>
    <w:rsid w:val="008021BC"/>
    <w:rsid w:val="00802C1A"/>
    <w:rsid w:val="0080307A"/>
    <w:rsid w:val="008035CD"/>
    <w:rsid w:val="00803802"/>
    <w:rsid w:val="00803D25"/>
    <w:rsid w:val="008048F3"/>
    <w:rsid w:val="00804AE9"/>
    <w:rsid w:val="00805120"/>
    <w:rsid w:val="00805282"/>
    <w:rsid w:val="008054C9"/>
    <w:rsid w:val="008057AB"/>
    <w:rsid w:val="00805816"/>
    <w:rsid w:val="008059C5"/>
    <w:rsid w:val="00805C36"/>
    <w:rsid w:val="00805D1F"/>
    <w:rsid w:val="00806213"/>
    <w:rsid w:val="0080626B"/>
    <w:rsid w:val="008062D9"/>
    <w:rsid w:val="0080664A"/>
    <w:rsid w:val="00806B06"/>
    <w:rsid w:val="008079B1"/>
    <w:rsid w:val="00807ABF"/>
    <w:rsid w:val="00807BF3"/>
    <w:rsid w:val="00810199"/>
    <w:rsid w:val="008102E9"/>
    <w:rsid w:val="008102EE"/>
    <w:rsid w:val="008105B4"/>
    <w:rsid w:val="008107EE"/>
    <w:rsid w:val="00810919"/>
    <w:rsid w:val="00810937"/>
    <w:rsid w:val="00810AEA"/>
    <w:rsid w:val="00810C0C"/>
    <w:rsid w:val="008111E8"/>
    <w:rsid w:val="00811369"/>
    <w:rsid w:val="0081162C"/>
    <w:rsid w:val="00811988"/>
    <w:rsid w:val="00811C6B"/>
    <w:rsid w:val="00811D9D"/>
    <w:rsid w:val="00812342"/>
    <w:rsid w:val="0081285A"/>
    <w:rsid w:val="00812A37"/>
    <w:rsid w:val="00812D7C"/>
    <w:rsid w:val="008136BB"/>
    <w:rsid w:val="00813741"/>
    <w:rsid w:val="008138E3"/>
    <w:rsid w:val="00813923"/>
    <w:rsid w:val="00813CA0"/>
    <w:rsid w:val="00814267"/>
    <w:rsid w:val="00814749"/>
    <w:rsid w:val="008149A0"/>
    <w:rsid w:val="00814E47"/>
    <w:rsid w:val="0081502D"/>
    <w:rsid w:val="00815153"/>
    <w:rsid w:val="00815AA5"/>
    <w:rsid w:val="00815D86"/>
    <w:rsid w:val="0081607A"/>
    <w:rsid w:val="0081611C"/>
    <w:rsid w:val="00816531"/>
    <w:rsid w:val="0081678B"/>
    <w:rsid w:val="0081698D"/>
    <w:rsid w:val="00816DFE"/>
    <w:rsid w:val="008170F3"/>
    <w:rsid w:val="0081746D"/>
    <w:rsid w:val="00817642"/>
    <w:rsid w:val="00817988"/>
    <w:rsid w:val="0082053B"/>
    <w:rsid w:val="00820A9B"/>
    <w:rsid w:val="00820BB9"/>
    <w:rsid w:val="008211DC"/>
    <w:rsid w:val="008216E6"/>
    <w:rsid w:val="008218D9"/>
    <w:rsid w:val="00821986"/>
    <w:rsid w:val="00822533"/>
    <w:rsid w:val="00822607"/>
    <w:rsid w:val="00822719"/>
    <w:rsid w:val="00822E66"/>
    <w:rsid w:val="008230F9"/>
    <w:rsid w:val="00823B5E"/>
    <w:rsid w:val="00823BFE"/>
    <w:rsid w:val="00823D4B"/>
    <w:rsid w:val="00823EEB"/>
    <w:rsid w:val="008245A3"/>
    <w:rsid w:val="00824A3C"/>
    <w:rsid w:val="00824CFC"/>
    <w:rsid w:val="00825175"/>
    <w:rsid w:val="0082537A"/>
    <w:rsid w:val="00825470"/>
    <w:rsid w:val="008255DC"/>
    <w:rsid w:val="00825DDA"/>
    <w:rsid w:val="0082622C"/>
    <w:rsid w:val="0082654D"/>
    <w:rsid w:val="00826AAB"/>
    <w:rsid w:val="00827308"/>
    <w:rsid w:val="00827408"/>
    <w:rsid w:val="00827893"/>
    <w:rsid w:val="00827B69"/>
    <w:rsid w:val="00827DA4"/>
    <w:rsid w:val="00830420"/>
    <w:rsid w:val="0083049D"/>
    <w:rsid w:val="008305A9"/>
    <w:rsid w:val="008305DA"/>
    <w:rsid w:val="0083062E"/>
    <w:rsid w:val="00830978"/>
    <w:rsid w:val="008310F1"/>
    <w:rsid w:val="0083114E"/>
    <w:rsid w:val="008312F3"/>
    <w:rsid w:val="008314FF"/>
    <w:rsid w:val="00831681"/>
    <w:rsid w:val="008317A4"/>
    <w:rsid w:val="008317F6"/>
    <w:rsid w:val="0083191B"/>
    <w:rsid w:val="00831B59"/>
    <w:rsid w:val="00831BC5"/>
    <w:rsid w:val="00831D10"/>
    <w:rsid w:val="00831E76"/>
    <w:rsid w:val="00832392"/>
    <w:rsid w:val="008325DF"/>
    <w:rsid w:val="00832655"/>
    <w:rsid w:val="00832891"/>
    <w:rsid w:val="00832A77"/>
    <w:rsid w:val="00832B31"/>
    <w:rsid w:val="00832F83"/>
    <w:rsid w:val="0083315C"/>
    <w:rsid w:val="00833668"/>
    <w:rsid w:val="00833E37"/>
    <w:rsid w:val="00834297"/>
    <w:rsid w:val="00834367"/>
    <w:rsid w:val="00834476"/>
    <w:rsid w:val="0083477B"/>
    <w:rsid w:val="008348CD"/>
    <w:rsid w:val="008349B6"/>
    <w:rsid w:val="008350FF"/>
    <w:rsid w:val="00835302"/>
    <w:rsid w:val="008357D8"/>
    <w:rsid w:val="00835F1D"/>
    <w:rsid w:val="00836025"/>
    <w:rsid w:val="00836279"/>
    <w:rsid w:val="00836D6B"/>
    <w:rsid w:val="00836E15"/>
    <w:rsid w:val="0083731D"/>
    <w:rsid w:val="0083736F"/>
    <w:rsid w:val="00837613"/>
    <w:rsid w:val="00837CC5"/>
    <w:rsid w:val="008401B7"/>
    <w:rsid w:val="00840454"/>
    <w:rsid w:val="00840B18"/>
    <w:rsid w:val="00840B23"/>
    <w:rsid w:val="00840B26"/>
    <w:rsid w:val="00840BBC"/>
    <w:rsid w:val="00840F3C"/>
    <w:rsid w:val="008411C3"/>
    <w:rsid w:val="008412C0"/>
    <w:rsid w:val="0084188D"/>
    <w:rsid w:val="00841C44"/>
    <w:rsid w:val="00841C80"/>
    <w:rsid w:val="00842376"/>
    <w:rsid w:val="00842BAF"/>
    <w:rsid w:val="00842E7B"/>
    <w:rsid w:val="00842ECF"/>
    <w:rsid w:val="00842EF6"/>
    <w:rsid w:val="00843154"/>
    <w:rsid w:val="008433AB"/>
    <w:rsid w:val="00843417"/>
    <w:rsid w:val="00843494"/>
    <w:rsid w:val="00843613"/>
    <w:rsid w:val="00843740"/>
    <w:rsid w:val="00843A87"/>
    <w:rsid w:val="00843CC0"/>
    <w:rsid w:val="00843F4C"/>
    <w:rsid w:val="008441C9"/>
    <w:rsid w:val="008444DF"/>
    <w:rsid w:val="0084478A"/>
    <w:rsid w:val="00844B07"/>
    <w:rsid w:val="00844C8C"/>
    <w:rsid w:val="00844F80"/>
    <w:rsid w:val="00845419"/>
    <w:rsid w:val="008459FD"/>
    <w:rsid w:val="00845DBA"/>
    <w:rsid w:val="00845FF9"/>
    <w:rsid w:val="00846EF2"/>
    <w:rsid w:val="00847107"/>
    <w:rsid w:val="00847330"/>
    <w:rsid w:val="008474DC"/>
    <w:rsid w:val="00847529"/>
    <w:rsid w:val="008475C9"/>
    <w:rsid w:val="008476B0"/>
    <w:rsid w:val="00847721"/>
    <w:rsid w:val="00847ABF"/>
    <w:rsid w:val="00847E2F"/>
    <w:rsid w:val="008502D9"/>
    <w:rsid w:val="00850348"/>
    <w:rsid w:val="008505BD"/>
    <w:rsid w:val="00850666"/>
    <w:rsid w:val="008512F7"/>
    <w:rsid w:val="0085175B"/>
    <w:rsid w:val="00851821"/>
    <w:rsid w:val="00851A54"/>
    <w:rsid w:val="00851B81"/>
    <w:rsid w:val="00852226"/>
    <w:rsid w:val="0085281D"/>
    <w:rsid w:val="00852A96"/>
    <w:rsid w:val="00852E9D"/>
    <w:rsid w:val="00853682"/>
    <w:rsid w:val="00853BA0"/>
    <w:rsid w:val="00853C42"/>
    <w:rsid w:val="00853C63"/>
    <w:rsid w:val="00853F5E"/>
    <w:rsid w:val="00854118"/>
    <w:rsid w:val="008543DB"/>
    <w:rsid w:val="00854688"/>
    <w:rsid w:val="008548DA"/>
    <w:rsid w:val="008548DE"/>
    <w:rsid w:val="00854C65"/>
    <w:rsid w:val="00854CF4"/>
    <w:rsid w:val="00854E39"/>
    <w:rsid w:val="008550A6"/>
    <w:rsid w:val="008555A9"/>
    <w:rsid w:val="008555DB"/>
    <w:rsid w:val="008556A3"/>
    <w:rsid w:val="00855959"/>
    <w:rsid w:val="008559B3"/>
    <w:rsid w:val="00855A1F"/>
    <w:rsid w:val="00855A83"/>
    <w:rsid w:val="00855ADE"/>
    <w:rsid w:val="00856382"/>
    <w:rsid w:val="00856437"/>
    <w:rsid w:val="00856524"/>
    <w:rsid w:val="0085663A"/>
    <w:rsid w:val="00856666"/>
    <w:rsid w:val="00856980"/>
    <w:rsid w:val="00856C88"/>
    <w:rsid w:val="00857142"/>
    <w:rsid w:val="008573C1"/>
    <w:rsid w:val="008600AF"/>
    <w:rsid w:val="00860194"/>
    <w:rsid w:val="008602C3"/>
    <w:rsid w:val="00860472"/>
    <w:rsid w:val="008604CC"/>
    <w:rsid w:val="00860B23"/>
    <w:rsid w:val="00860F7F"/>
    <w:rsid w:val="00861056"/>
    <w:rsid w:val="008615A0"/>
    <w:rsid w:val="0086176A"/>
    <w:rsid w:val="008619CF"/>
    <w:rsid w:val="00861A46"/>
    <w:rsid w:val="00861C11"/>
    <w:rsid w:val="00861DD7"/>
    <w:rsid w:val="00862030"/>
    <w:rsid w:val="00862417"/>
    <w:rsid w:val="00862598"/>
    <w:rsid w:val="00862855"/>
    <w:rsid w:val="00862BC0"/>
    <w:rsid w:val="0086318C"/>
    <w:rsid w:val="008632F4"/>
    <w:rsid w:val="008634D0"/>
    <w:rsid w:val="008634DB"/>
    <w:rsid w:val="008639C8"/>
    <w:rsid w:val="00863BC0"/>
    <w:rsid w:val="00863FF2"/>
    <w:rsid w:val="00864087"/>
    <w:rsid w:val="0086417B"/>
    <w:rsid w:val="0086433B"/>
    <w:rsid w:val="00864468"/>
    <w:rsid w:val="008645DD"/>
    <w:rsid w:val="00864632"/>
    <w:rsid w:val="00864A15"/>
    <w:rsid w:val="00864A62"/>
    <w:rsid w:val="00864E8C"/>
    <w:rsid w:val="008651A4"/>
    <w:rsid w:val="00865287"/>
    <w:rsid w:val="00865A0B"/>
    <w:rsid w:val="00865D10"/>
    <w:rsid w:val="00865D11"/>
    <w:rsid w:val="00865E35"/>
    <w:rsid w:val="00865E87"/>
    <w:rsid w:val="00865E9D"/>
    <w:rsid w:val="00866230"/>
    <w:rsid w:val="00866C6C"/>
    <w:rsid w:val="00866C7A"/>
    <w:rsid w:val="00866D65"/>
    <w:rsid w:val="00866FDD"/>
    <w:rsid w:val="00866FFE"/>
    <w:rsid w:val="008670F4"/>
    <w:rsid w:val="00867248"/>
    <w:rsid w:val="008675CA"/>
    <w:rsid w:val="00867839"/>
    <w:rsid w:val="008679C0"/>
    <w:rsid w:val="008679E2"/>
    <w:rsid w:val="00867A86"/>
    <w:rsid w:val="00867D2E"/>
    <w:rsid w:val="00867D32"/>
    <w:rsid w:val="00870052"/>
    <w:rsid w:val="00870063"/>
    <w:rsid w:val="008701BF"/>
    <w:rsid w:val="008704C8"/>
    <w:rsid w:val="00870725"/>
    <w:rsid w:val="008707AC"/>
    <w:rsid w:val="00870AD0"/>
    <w:rsid w:val="00870DE9"/>
    <w:rsid w:val="0087141B"/>
    <w:rsid w:val="0087174B"/>
    <w:rsid w:val="0087177F"/>
    <w:rsid w:val="00871791"/>
    <w:rsid w:val="00871891"/>
    <w:rsid w:val="00871899"/>
    <w:rsid w:val="00872034"/>
    <w:rsid w:val="0087376E"/>
    <w:rsid w:val="0087384E"/>
    <w:rsid w:val="00873D0A"/>
    <w:rsid w:val="00873DC9"/>
    <w:rsid w:val="00873E9D"/>
    <w:rsid w:val="00873EBD"/>
    <w:rsid w:val="008741E8"/>
    <w:rsid w:val="00874C3A"/>
    <w:rsid w:val="00874E2F"/>
    <w:rsid w:val="0087507E"/>
    <w:rsid w:val="0087511B"/>
    <w:rsid w:val="0087530C"/>
    <w:rsid w:val="00875442"/>
    <w:rsid w:val="00875510"/>
    <w:rsid w:val="00875C01"/>
    <w:rsid w:val="00875D9D"/>
    <w:rsid w:val="00876411"/>
    <w:rsid w:val="00876557"/>
    <w:rsid w:val="0087668E"/>
    <w:rsid w:val="008766D1"/>
    <w:rsid w:val="00876E3C"/>
    <w:rsid w:val="00876ECA"/>
    <w:rsid w:val="0087721C"/>
    <w:rsid w:val="0087750B"/>
    <w:rsid w:val="0087765C"/>
    <w:rsid w:val="0087771B"/>
    <w:rsid w:val="00877C8A"/>
    <w:rsid w:val="00880148"/>
    <w:rsid w:val="008803C4"/>
    <w:rsid w:val="00880411"/>
    <w:rsid w:val="008804B4"/>
    <w:rsid w:val="008804CC"/>
    <w:rsid w:val="00880609"/>
    <w:rsid w:val="00880A6A"/>
    <w:rsid w:val="00880A93"/>
    <w:rsid w:val="00880AA5"/>
    <w:rsid w:val="00880B10"/>
    <w:rsid w:val="00880D80"/>
    <w:rsid w:val="00880F3E"/>
    <w:rsid w:val="00881158"/>
    <w:rsid w:val="0088122F"/>
    <w:rsid w:val="008818FE"/>
    <w:rsid w:val="00881929"/>
    <w:rsid w:val="00881BC7"/>
    <w:rsid w:val="00881E54"/>
    <w:rsid w:val="0088203C"/>
    <w:rsid w:val="008822F6"/>
    <w:rsid w:val="00882634"/>
    <w:rsid w:val="00882998"/>
    <w:rsid w:val="00882B06"/>
    <w:rsid w:val="00882CAA"/>
    <w:rsid w:val="008830D8"/>
    <w:rsid w:val="00883473"/>
    <w:rsid w:val="00883489"/>
    <w:rsid w:val="008838FB"/>
    <w:rsid w:val="00883A2D"/>
    <w:rsid w:val="00884241"/>
    <w:rsid w:val="00884DA8"/>
    <w:rsid w:val="00884F5A"/>
    <w:rsid w:val="0088518C"/>
    <w:rsid w:val="00885645"/>
    <w:rsid w:val="0088585C"/>
    <w:rsid w:val="00885944"/>
    <w:rsid w:val="00885A61"/>
    <w:rsid w:val="00885C83"/>
    <w:rsid w:val="00885CBA"/>
    <w:rsid w:val="00885F5E"/>
    <w:rsid w:val="008860C7"/>
    <w:rsid w:val="0088611F"/>
    <w:rsid w:val="00886225"/>
    <w:rsid w:val="00886238"/>
    <w:rsid w:val="00886681"/>
    <w:rsid w:val="00886C60"/>
    <w:rsid w:val="008870DF"/>
    <w:rsid w:val="00890154"/>
    <w:rsid w:val="0089024D"/>
    <w:rsid w:val="008907F0"/>
    <w:rsid w:val="008909DA"/>
    <w:rsid w:val="00890F30"/>
    <w:rsid w:val="00891793"/>
    <w:rsid w:val="008918FD"/>
    <w:rsid w:val="00891AA8"/>
    <w:rsid w:val="00891B64"/>
    <w:rsid w:val="0089203C"/>
    <w:rsid w:val="0089235A"/>
    <w:rsid w:val="008926DD"/>
    <w:rsid w:val="00892A24"/>
    <w:rsid w:val="00892C9C"/>
    <w:rsid w:val="00892C9F"/>
    <w:rsid w:val="00892CDE"/>
    <w:rsid w:val="00893282"/>
    <w:rsid w:val="008936FC"/>
    <w:rsid w:val="00893768"/>
    <w:rsid w:val="00893A48"/>
    <w:rsid w:val="00894394"/>
    <w:rsid w:val="008943E5"/>
    <w:rsid w:val="00894BB9"/>
    <w:rsid w:val="00894C9F"/>
    <w:rsid w:val="00895167"/>
    <w:rsid w:val="008957ED"/>
    <w:rsid w:val="00895991"/>
    <w:rsid w:val="008961DF"/>
    <w:rsid w:val="0089681C"/>
    <w:rsid w:val="00896F7D"/>
    <w:rsid w:val="00897751"/>
    <w:rsid w:val="00897802"/>
    <w:rsid w:val="00897B01"/>
    <w:rsid w:val="00897BC9"/>
    <w:rsid w:val="00897E18"/>
    <w:rsid w:val="00897F5A"/>
    <w:rsid w:val="008A0358"/>
    <w:rsid w:val="008A06D3"/>
    <w:rsid w:val="008A0842"/>
    <w:rsid w:val="008A08F1"/>
    <w:rsid w:val="008A0B6C"/>
    <w:rsid w:val="008A0F0B"/>
    <w:rsid w:val="008A0F2D"/>
    <w:rsid w:val="008A0FD8"/>
    <w:rsid w:val="008A10E4"/>
    <w:rsid w:val="008A1B85"/>
    <w:rsid w:val="008A1D94"/>
    <w:rsid w:val="008A2BD0"/>
    <w:rsid w:val="008A2CFB"/>
    <w:rsid w:val="008A2EF5"/>
    <w:rsid w:val="008A32B2"/>
    <w:rsid w:val="008A42CD"/>
    <w:rsid w:val="008A4686"/>
    <w:rsid w:val="008A4ACB"/>
    <w:rsid w:val="008A5968"/>
    <w:rsid w:val="008A5A1F"/>
    <w:rsid w:val="008A5D84"/>
    <w:rsid w:val="008A5DC2"/>
    <w:rsid w:val="008A65D8"/>
    <w:rsid w:val="008A68CD"/>
    <w:rsid w:val="008A6974"/>
    <w:rsid w:val="008A7494"/>
    <w:rsid w:val="008A7609"/>
    <w:rsid w:val="008A773C"/>
    <w:rsid w:val="008A780C"/>
    <w:rsid w:val="008A7966"/>
    <w:rsid w:val="008A7B2F"/>
    <w:rsid w:val="008B01AD"/>
    <w:rsid w:val="008B0930"/>
    <w:rsid w:val="008B0A65"/>
    <w:rsid w:val="008B0C53"/>
    <w:rsid w:val="008B0DD6"/>
    <w:rsid w:val="008B0EE6"/>
    <w:rsid w:val="008B0FE6"/>
    <w:rsid w:val="008B1286"/>
    <w:rsid w:val="008B1895"/>
    <w:rsid w:val="008B19D2"/>
    <w:rsid w:val="008B207B"/>
    <w:rsid w:val="008B2187"/>
    <w:rsid w:val="008B21D3"/>
    <w:rsid w:val="008B2678"/>
    <w:rsid w:val="008B33CE"/>
    <w:rsid w:val="008B36B6"/>
    <w:rsid w:val="008B4216"/>
    <w:rsid w:val="008B425A"/>
    <w:rsid w:val="008B4727"/>
    <w:rsid w:val="008B47B8"/>
    <w:rsid w:val="008B48CE"/>
    <w:rsid w:val="008B4C6D"/>
    <w:rsid w:val="008B4CD8"/>
    <w:rsid w:val="008B4FD3"/>
    <w:rsid w:val="008B52E5"/>
    <w:rsid w:val="008B52EF"/>
    <w:rsid w:val="008B5313"/>
    <w:rsid w:val="008B544C"/>
    <w:rsid w:val="008B5813"/>
    <w:rsid w:val="008B5A92"/>
    <w:rsid w:val="008B5AA9"/>
    <w:rsid w:val="008B5C1C"/>
    <w:rsid w:val="008B622E"/>
    <w:rsid w:val="008B627D"/>
    <w:rsid w:val="008B6925"/>
    <w:rsid w:val="008B6987"/>
    <w:rsid w:val="008B6AA7"/>
    <w:rsid w:val="008B6BD1"/>
    <w:rsid w:val="008B6C00"/>
    <w:rsid w:val="008B6DD3"/>
    <w:rsid w:val="008B6F15"/>
    <w:rsid w:val="008B7650"/>
    <w:rsid w:val="008B7857"/>
    <w:rsid w:val="008B7A8E"/>
    <w:rsid w:val="008B7ABF"/>
    <w:rsid w:val="008B7FCD"/>
    <w:rsid w:val="008C02C7"/>
    <w:rsid w:val="008C0326"/>
    <w:rsid w:val="008C0554"/>
    <w:rsid w:val="008C0AD1"/>
    <w:rsid w:val="008C0CAA"/>
    <w:rsid w:val="008C11F6"/>
    <w:rsid w:val="008C19A9"/>
    <w:rsid w:val="008C1A43"/>
    <w:rsid w:val="008C1BF1"/>
    <w:rsid w:val="008C1FA6"/>
    <w:rsid w:val="008C206B"/>
    <w:rsid w:val="008C21D2"/>
    <w:rsid w:val="008C2A0E"/>
    <w:rsid w:val="008C2D67"/>
    <w:rsid w:val="008C2DA2"/>
    <w:rsid w:val="008C2FA2"/>
    <w:rsid w:val="008C33E1"/>
    <w:rsid w:val="008C375C"/>
    <w:rsid w:val="008C39C7"/>
    <w:rsid w:val="008C3A16"/>
    <w:rsid w:val="008C3B61"/>
    <w:rsid w:val="008C3CAF"/>
    <w:rsid w:val="008C42EC"/>
    <w:rsid w:val="008C43B0"/>
    <w:rsid w:val="008C4418"/>
    <w:rsid w:val="008C4704"/>
    <w:rsid w:val="008C4949"/>
    <w:rsid w:val="008C4C7E"/>
    <w:rsid w:val="008C51DA"/>
    <w:rsid w:val="008C54A3"/>
    <w:rsid w:val="008C572E"/>
    <w:rsid w:val="008C5951"/>
    <w:rsid w:val="008C5A96"/>
    <w:rsid w:val="008C5DA0"/>
    <w:rsid w:val="008C5EB4"/>
    <w:rsid w:val="008C604A"/>
    <w:rsid w:val="008C6295"/>
    <w:rsid w:val="008C62F0"/>
    <w:rsid w:val="008C64B2"/>
    <w:rsid w:val="008C64EE"/>
    <w:rsid w:val="008C65CC"/>
    <w:rsid w:val="008C65DB"/>
    <w:rsid w:val="008C6656"/>
    <w:rsid w:val="008C686C"/>
    <w:rsid w:val="008C68E0"/>
    <w:rsid w:val="008C6959"/>
    <w:rsid w:val="008C7023"/>
    <w:rsid w:val="008C71A2"/>
    <w:rsid w:val="008C7918"/>
    <w:rsid w:val="008C7A13"/>
    <w:rsid w:val="008C7D53"/>
    <w:rsid w:val="008C7E3A"/>
    <w:rsid w:val="008D0611"/>
    <w:rsid w:val="008D0650"/>
    <w:rsid w:val="008D0BEA"/>
    <w:rsid w:val="008D0EBE"/>
    <w:rsid w:val="008D1220"/>
    <w:rsid w:val="008D1408"/>
    <w:rsid w:val="008D1698"/>
    <w:rsid w:val="008D16BF"/>
    <w:rsid w:val="008D19C2"/>
    <w:rsid w:val="008D22BD"/>
    <w:rsid w:val="008D2585"/>
    <w:rsid w:val="008D267E"/>
    <w:rsid w:val="008D26CC"/>
    <w:rsid w:val="008D2A6F"/>
    <w:rsid w:val="008D2DD6"/>
    <w:rsid w:val="008D2E1E"/>
    <w:rsid w:val="008D2FFF"/>
    <w:rsid w:val="008D3160"/>
    <w:rsid w:val="008D3263"/>
    <w:rsid w:val="008D3E49"/>
    <w:rsid w:val="008D400A"/>
    <w:rsid w:val="008D419D"/>
    <w:rsid w:val="008D446A"/>
    <w:rsid w:val="008D449F"/>
    <w:rsid w:val="008D45A5"/>
    <w:rsid w:val="008D47FE"/>
    <w:rsid w:val="008D4E62"/>
    <w:rsid w:val="008D4E95"/>
    <w:rsid w:val="008D5059"/>
    <w:rsid w:val="008D5486"/>
    <w:rsid w:val="008D59CD"/>
    <w:rsid w:val="008D5CD0"/>
    <w:rsid w:val="008D6362"/>
    <w:rsid w:val="008D63DC"/>
    <w:rsid w:val="008D648F"/>
    <w:rsid w:val="008D64C0"/>
    <w:rsid w:val="008D672B"/>
    <w:rsid w:val="008D692D"/>
    <w:rsid w:val="008D6C32"/>
    <w:rsid w:val="008D6D70"/>
    <w:rsid w:val="008D6E3F"/>
    <w:rsid w:val="008D6F97"/>
    <w:rsid w:val="008D73DA"/>
    <w:rsid w:val="008D772C"/>
    <w:rsid w:val="008D780B"/>
    <w:rsid w:val="008D7B87"/>
    <w:rsid w:val="008D7CF0"/>
    <w:rsid w:val="008D7FCD"/>
    <w:rsid w:val="008E0691"/>
    <w:rsid w:val="008E16D4"/>
    <w:rsid w:val="008E176E"/>
    <w:rsid w:val="008E1C76"/>
    <w:rsid w:val="008E1D3E"/>
    <w:rsid w:val="008E1F87"/>
    <w:rsid w:val="008E2366"/>
    <w:rsid w:val="008E23E8"/>
    <w:rsid w:val="008E2635"/>
    <w:rsid w:val="008E2677"/>
    <w:rsid w:val="008E2744"/>
    <w:rsid w:val="008E27D0"/>
    <w:rsid w:val="008E28C2"/>
    <w:rsid w:val="008E296B"/>
    <w:rsid w:val="008E2AAE"/>
    <w:rsid w:val="008E2FB4"/>
    <w:rsid w:val="008E3047"/>
    <w:rsid w:val="008E31CC"/>
    <w:rsid w:val="008E3461"/>
    <w:rsid w:val="008E36E4"/>
    <w:rsid w:val="008E3815"/>
    <w:rsid w:val="008E39A4"/>
    <w:rsid w:val="008E3B26"/>
    <w:rsid w:val="008E3D45"/>
    <w:rsid w:val="008E3F17"/>
    <w:rsid w:val="008E4354"/>
    <w:rsid w:val="008E436C"/>
    <w:rsid w:val="008E4655"/>
    <w:rsid w:val="008E4922"/>
    <w:rsid w:val="008E566A"/>
    <w:rsid w:val="008E5937"/>
    <w:rsid w:val="008E59B2"/>
    <w:rsid w:val="008E59CA"/>
    <w:rsid w:val="008E5A56"/>
    <w:rsid w:val="008E5AA7"/>
    <w:rsid w:val="008E5D69"/>
    <w:rsid w:val="008E5F5A"/>
    <w:rsid w:val="008E604A"/>
    <w:rsid w:val="008E618D"/>
    <w:rsid w:val="008E620D"/>
    <w:rsid w:val="008E66EE"/>
    <w:rsid w:val="008E6B52"/>
    <w:rsid w:val="008E7026"/>
    <w:rsid w:val="008E7152"/>
    <w:rsid w:val="008E748D"/>
    <w:rsid w:val="008E77BE"/>
    <w:rsid w:val="008E7839"/>
    <w:rsid w:val="008F0720"/>
    <w:rsid w:val="008F0B17"/>
    <w:rsid w:val="008F0DD4"/>
    <w:rsid w:val="008F0E69"/>
    <w:rsid w:val="008F11F3"/>
    <w:rsid w:val="008F14D8"/>
    <w:rsid w:val="008F182E"/>
    <w:rsid w:val="008F1A95"/>
    <w:rsid w:val="008F1DDC"/>
    <w:rsid w:val="008F2516"/>
    <w:rsid w:val="008F32A9"/>
    <w:rsid w:val="008F3909"/>
    <w:rsid w:val="008F3CEA"/>
    <w:rsid w:val="008F459B"/>
    <w:rsid w:val="008F4979"/>
    <w:rsid w:val="008F4BE4"/>
    <w:rsid w:val="008F4C8B"/>
    <w:rsid w:val="008F4CDC"/>
    <w:rsid w:val="008F4D06"/>
    <w:rsid w:val="008F5464"/>
    <w:rsid w:val="008F5926"/>
    <w:rsid w:val="008F5AB4"/>
    <w:rsid w:val="008F5AEB"/>
    <w:rsid w:val="008F5F61"/>
    <w:rsid w:val="008F63BB"/>
    <w:rsid w:val="008F681E"/>
    <w:rsid w:val="008F6C1E"/>
    <w:rsid w:val="008F7671"/>
    <w:rsid w:val="008F789A"/>
    <w:rsid w:val="008F7B7E"/>
    <w:rsid w:val="008F7C3C"/>
    <w:rsid w:val="00900096"/>
    <w:rsid w:val="0090060F"/>
    <w:rsid w:val="009009AD"/>
    <w:rsid w:val="00900C2F"/>
    <w:rsid w:val="00900E78"/>
    <w:rsid w:val="0090117D"/>
    <w:rsid w:val="00901381"/>
    <w:rsid w:val="009013CB"/>
    <w:rsid w:val="009013F8"/>
    <w:rsid w:val="0090174F"/>
    <w:rsid w:val="00901FE3"/>
    <w:rsid w:val="00901FF8"/>
    <w:rsid w:val="00902267"/>
    <w:rsid w:val="00902375"/>
    <w:rsid w:val="009029AD"/>
    <w:rsid w:val="00902ABF"/>
    <w:rsid w:val="00903A6D"/>
    <w:rsid w:val="00903E76"/>
    <w:rsid w:val="009045DE"/>
    <w:rsid w:val="00904EB6"/>
    <w:rsid w:val="009053C8"/>
    <w:rsid w:val="009053D9"/>
    <w:rsid w:val="00905481"/>
    <w:rsid w:val="009055EF"/>
    <w:rsid w:val="00905797"/>
    <w:rsid w:val="00905B80"/>
    <w:rsid w:val="00905E7B"/>
    <w:rsid w:val="0090764F"/>
    <w:rsid w:val="0090768D"/>
    <w:rsid w:val="00907979"/>
    <w:rsid w:val="00907D07"/>
    <w:rsid w:val="00907D0F"/>
    <w:rsid w:val="00910C0F"/>
    <w:rsid w:val="00910E9E"/>
    <w:rsid w:val="0091111F"/>
    <w:rsid w:val="00912473"/>
    <w:rsid w:val="0091280F"/>
    <w:rsid w:val="00912B9E"/>
    <w:rsid w:val="00912C20"/>
    <w:rsid w:val="00913059"/>
    <w:rsid w:val="00913199"/>
    <w:rsid w:val="009136B0"/>
    <w:rsid w:val="00913E46"/>
    <w:rsid w:val="00913E8A"/>
    <w:rsid w:val="00913F8B"/>
    <w:rsid w:val="00914166"/>
    <w:rsid w:val="009145CB"/>
    <w:rsid w:val="009146F7"/>
    <w:rsid w:val="00914D4F"/>
    <w:rsid w:val="00915B67"/>
    <w:rsid w:val="00915F2A"/>
    <w:rsid w:val="0091667B"/>
    <w:rsid w:val="00916976"/>
    <w:rsid w:val="009169D3"/>
    <w:rsid w:val="00916B1B"/>
    <w:rsid w:val="00916F62"/>
    <w:rsid w:val="009171C8"/>
    <w:rsid w:val="00917284"/>
    <w:rsid w:val="0091740B"/>
    <w:rsid w:val="009179BD"/>
    <w:rsid w:val="00917CE5"/>
    <w:rsid w:val="00917CFB"/>
    <w:rsid w:val="00917F23"/>
    <w:rsid w:val="009205EF"/>
    <w:rsid w:val="00920D4A"/>
    <w:rsid w:val="00920D78"/>
    <w:rsid w:val="00920EE3"/>
    <w:rsid w:val="00920EF2"/>
    <w:rsid w:val="0092105A"/>
    <w:rsid w:val="009211D7"/>
    <w:rsid w:val="0092126E"/>
    <w:rsid w:val="009213C6"/>
    <w:rsid w:val="0092146A"/>
    <w:rsid w:val="00921CE2"/>
    <w:rsid w:val="00921DE1"/>
    <w:rsid w:val="00921E86"/>
    <w:rsid w:val="00921FDD"/>
    <w:rsid w:val="00922155"/>
    <w:rsid w:val="0092224A"/>
    <w:rsid w:val="0092287C"/>
    <w:rsid w:val="00922A90"/>
    <w:rsid w:val="00922F63"/>
    <w:rsid w:val="0092326B"/>
    <w:rsid w:val="009243B7"/>
    <w:rsid w:val="0092478F"/>
    <w:rsid w:val="00924F9E"/>
    <w:rsid w:val="009250DA"/>
    <w:rsid w:val="009258B8"/>
    <w:rsid w:val="00925CA3"/>
    <w:rsid w:val="0092610A"/>
    <w:rsid w:val="009263E8"/>
    <w:rsid w:val="009265C1"/>
    <w:rsid w:val="00926BE9"/>
    <w:rsid w:val="00926DEF"/>
    <w:rsid w:val="009274D9"/>
    <w:rsid w:val="00927A3C"/>
    <w:rsid w:val="00930208"/>
    <w:rsid w:val="0093047E"/>
    <w:rsid w:val="00930D52"/>
    <w:rsid w:val="00931073"/>
    <w:rsid w:val="00931418"/>
    <w:rsid w:val="00931599"/>
    <w:rsid w:val="00931722"/>
    <w:rsid w:val="009318FC"/>
    <w:rsid w:val="009319AA"/>
    <w:rsid w:val="00931C21"/>
    <w:rsid w:val="009323B8"/>
    <w:rsid w:val="00932462"/>
    <w:rsid w:val="009324AD"/>
    <w:rsid w:val="009325BA"/>
    <w:rsid w:val="00932D8E"/>
    <w:rsid w:val="00932F79"/>
    <w:rsid w:val="00932F91"/>
    <w:rsid w:val="00933493"/>
    <w:rsid w:val="009334CF"/>
    <w:rsid w:val="00933C52"/>
    <w:rsid w:val="00933C75"/>
    <w:rsid w:val="00933DBC"/>
    <w:rsid w:val="0093417A"/>
    <w:rsid w:val="0093425C"/>
    <w:rsid w:val="00934CAB"/>
    <w:rsid w:val="00934CBE"/>
    <w:rsid w:val="00935057"/>
    <w:rsid w:val="00935989"/>
    <w:rsid w:val="00935EEF"/>
    <w:rsid w:val="00935F26"/>
    <w:rsid w:val="0093638A"/>
    <w:rsid w:val="00936435"/>
    <w:rsid w:val="0093644A"/>
    <w:rsid w:val="00936A7A"/>
    <w:rsid w:val="00936C6B"/>
    <w:rsid w:val="0093716B"/>
    <w:rsid w:val="00937569"/>
    <w:rsid w:val="009378A1"/>
    <w:rsid w:val="009378FF"/>
    <w:rsid w:val="009379DD"/>
    <w:rsid w:val="00937B34"/>
    <w:rsid w:val="00937D16"/>
    <w:rsid w:val="00940282"/>
    <w:rsid w:val="009404B2"/>
    <w:rsid w:val="009406D9"/>
    <w:rsid w:val="009406E5"/>
    <w:rsid w:val="00941252"/>
    <w:rsid w:val="00941274"/>
    <w:rsid w:val="0094161C"/>
    <w:rsid w:val="00941EC4"/>
    <w:rsid w:val="00942268"/>
    <w:rsid w:val="009428A5"/>
    <w:rsid w:val="009429C7"/>
    <w:rsid w:val="00942C60"/>
    <w:rsid w:val="009434B0"/>
    <w:rsid w:val="00943795"/>
    <w:rsid w:val="00943A99"/>
    <w:rsid w:val="00943E6B"/>
    <w:rsid w:val="00944304"/>
    <w:rsid w:val="009443E5"/>
    <w:rsid w:val="00944519"/>
    <w:rsid w:val="00944882"/>
    <w:rsid w:val="00944AF2"/>
    <w:rsid w:val="00944C20"/>
    <w:rsid w:val="00944C51"/>
    <w:rsid w:val="00944ED1"/>
    <w:rsid w:val="009450FD"/>
    <w:rsid w:val="0094514C"/>
    <w:rsid w:val="009455D5"/>
    <w:rsid w:val="009457B3"/>
    <w:rsid w:val="00945DED"/>
    <w:rsid w:val="00946960"/>
    <w:rsid w:val="00946A57"/>
    <w:rsid w:val="00946A8D"/>
    <w:rsid w:val="00946BC4"/>
    <w:rsid w:val="00946EFA"/>
    <w:rsid w:val="00946F19"/>
    <w:rsid w:val="0094704B"/>
    <w:rsid w:val="009475D1"/>
    <w:rsid w:val="00947C5C"/>
    <w:rsid w:val="00947F11"/>
    <w:rsid w:val="009500BF"/>
    <w:rsid w:val="00950193"/>
    <w:rsid w:val="0095033F"/>
    <w:rsid w:val="00950543"/>
    <w:rsid w:val="00950647"/>
    <w:rsid w:val="009507F2"/>
    <w:rsid w:val="00950B8F"/>
    <w:rsid w:val="00950F37"/>
    <w:rsid w:val="00950FDE"/>
    <w:rsid w:val="0095101D"/>
    <w:rsid w:val="009511B5"/>
    <w:rsid w:val="00951361"/>
    <w:rsid w:val="00951824"/>
    <w:rsid w:val="00951C4B"/>
    <w:rsid w:val="009526CF"/>
    <w:rsid w:val="00952DB5"/>
    <w:rsid w:val="00952FD8"/>
    <w:rsid w:val="00953028"/>
    <w:rsid w:val="009533E6"/>
    <w:rsid w:val="0095345F"/>
    <w:rsid w:val="00953736"/>
    <w:rsid w:val="009539EB"/>
    <w:rsid w:val="00953C49"/>
    <w:rsid w:val="00953C62"/>
    <w:rsid w:val="00953CD1"/>
    <w:rsid w:val="00953F79"/>
    <w:rsid w:val="009546F2"/>
    <w:rsid w:val="0095491B"/>
    <w:rsid w:val="00954DA7"/>
    <w:rsid w:val="00955018"/>
    <w:rsid w:val="009550A4"/>
    <w:rsid w:val="00955322"/>
    <w:rsid w:val="00955390"/>
    <w:rsid w:val="0095539E"/>
    <w:rsid w:val="00955426"/>
    <w:rsid w:val="009554C1"/>
    <w:rsid w:val="00955B8A"/>
    <w:rsid w:val="00955BEE"/>
    <w:rsid w:val="009560A5"/>
    <w:rsid w:val="009564C6"/>
    <w:rsid w:val="009566F0"/>
    <w:rsid w:val="0095672A"/>
    <w:rsid w:val="0095689C"/>
    <w:rsid w:val="00956B50"/>
    <w:rsid w:val="00956F10"/>
    <w:rsid w:val="009572DB"/>
    <w:rsid w:val="009577CB"/>
    <w:rsid w:val="009577D9"/>
    <w:rsid w:val="009578C8"/>
    <w:rsid w:val="00957B2D"/>
    <w:rsid w:val="00960AC9"/>
    <w:rsid w:val="00961153"/>
    <w:rsid w:val="0096141A"/>
    <w:rsid w:val="00961B57"/>
    <w:rsid w:val="00961C2A"/>
    <w:rsid w:val="00962128"/>
    <w:rsid w:val="009628B0"/>
    <w:rsid w:val="00962902"/>
    <w:rsid w:val="00962C27"/>
    <w:rsid w:val="00962FFD"/>
    <w:rsid w:val="00963084"/>
    <w:rsid w:val="0096378D"/>
    <w:rsid w:val="00963A36"/>
    <w:rsid w:val="00963BB6"/>
    <w:rsid w:val="00963D9B"/>
    <w:rsid w:val="00963EA4"/>
    <w:rsid w:val="00963EBB"/>
    <w:rsid w:val="00963FC5"/>
    <w:rsid w:val="0096443B"/>
    <w:rsid w:val="00964467"/>
    <w:rsid w:val="00964563"/>
    <w:rsid w:val="00964666"/>
    <w:rsid w:val="009646BD"/>
    <w:rsid w:val="009648F5"/>
    <w:rsid w:val="00964A3A"/>
    <w:rsid w:val="00964FDB"/>
    <w:rsid w:val="00965182"/>
    <w:rsid w:val="009654C0"/>
    <w:rsid w:val="0096574C"/>
    <w:rsid w:val="00965DE3"/>
    <w:rsid w:val="00966468"/>
    <w:rsid w:val="00966539"/>
    <w:rsid w:val="0096681F"/>
    <w:rsid w:val="00966875"/>
    <w:rsid w:val="00966AD5"/>
    <w:rsid w:val="00966C27"/>
    <w:rsid w:val="00966EEF"/>
    <w:rsid w:val="009674C0"/>
    <w:rsid w:val="0096768B"/>
    <w:rsid w:val="0096774C"/>
    <w:rsid w:val="00967980"/>
    <w:rsid w:val="00967D56"/>
    <w:rsid w:val="009705DE"/>
    <w:rsid w:val="009709F7"/>
    <w:rsid w:val="00970AFC"/>
    <w:rsid w:val="00970C34"/>
    <w:rsid w:val="00970EAC"/>
    <w:rsid w:val="0097101E"/>
    <w:rsid w:val="00971083"/>
    <w:rsid w:val="009712F2"/>
    <w:rsid w:val="0097145B"/>
    <w:rsid w:val="00971509"/>
    <w:rsid w:val="0097169F"/>
    <w:rsid w:val="009717D1"/>
    <w:rsid w:val="009718AD"/>
    <w:rsid w:val="009719B3"/>
    <w:rsid w:val="00971A77"/>
    <w:rsid w:val="00971B66"/>
    <w:rsid w:val="00972353"/>
    <w:rsid w:val="009724DD"/>
    <w:rsid w:val="0097252D"/>
    <w:rsid w:val="0097261B"/>
    <w:rsid w:val="00972706"/>
    <w:rsid w:val="00972757"/>
    <w:rsid w:val="009727F6"/>
    <w:rsid w:val="00972BDC"/>
    <w:rsid w:val="00973112"/>
    <w:rsid w:val="009731FB"/>
    <w:rsid w:val="00973260"/>
    <w:rsid w:val="0097341A"/>
    <w:rsid w:val="009736B0"/>
    <w:rsid w:val="00973792"/>
    <w:rsid w:val="009738C6"/>
    <w:rsid w:val="00973A8A"/>
    <w:rsid w:val="00973CD1"/>
    <w:rsid w:val="0097403E"/>
    <w:rsid w:val="00974440"/>
    <w:rsid w:val="00974AAA"/>
    <w:rsid w:val="00974E12"/>
    <w:rsid w:val="00974E13"/>
    <w:rsid w:val="00974F73"/>
    <w:rsid w:val="009755E8"/>
    <w:rsid w:val="0097578B"/>
    <w:rsid w:val="00975A31"/>
    <w:rsid w:val="00975A8D"/>
    <w:rsid w:val="00975AC3"/>
    <w:rsid w:val="00975B3B"/>
    <w:rsid w:val="00975B69"/>
    <w:rsid w:val="00975CB0"/>
    <w:rsid w:val="00975FDB"/>
    <w:rsid w:val="009761B7"/>
    <w:rsid w:val="00976497"/>
    <w:rsid w:val="009766B8"/>
    <w:rsid w:val="00976D43"/>
    <w:rsid w:val="00977112"/>
    <w:rsid w:val="00977C65"/>
    <w:rsid w:val="00977D9A"/>
    <w:rsid w:val="00980054"/>
    <w:rsid w:val="0098040F"/>
    <w:rsid w:val="009807F1"/>
    <w:rsid w:val="00980E7C"/>
    <w:rsid w:val="009811FF"/>
    <w:rsid w:val="009812FA"/>
    <w:rsid w:val="009817CC"/>
    <w:rsid w:val="0098190F"/>
    <w:rsid w:val="009821DF"/>
    <w:rsid w:val="009822A8"/>
    <w:rsid w:val="00982320"/>
    <w:rsid w:val="009827C6"/>
    <w:rsid w:val="009829D2"/>
    <w:rsid w:val="009829EB"/>
    <w:rsid w:val="00982AE6"/>
    <w:rsid w:val="00982D64"/>
    <w:rsid w:val="00982F31"/>
    <w:rsid w:val="00982FA3"/>
    <w:rsid w:val="00982FAB"/>
    <w:rsid w:val="009832A1"/>
    <w:rsid w:val="009839A8"/>
    <w:rsid w:val="00983DD3"/>
    <w:rsid w:val="00983F71"/>
    <w:rsid w:val="00983FBD"/>
    <w:rsid w:val="00984780"/>
    <w:rsid w:val="00984CA1"/>
    <w:rsid w:val="00984E98"/>
    <w:rsid w:val="009850C5"/>
    <w:rsid w:val="00985107"/>
    <w:rsid w:val="009858D4"/>
    <w:rsid w:val="009858F5"/>
    <w:rsid w:val="00985E37"/>
    <w:rsid w:val="009862FE"/>
    <w:rsid w:val="00986402"/>
    <w:rsid w:val="00986613"/>
    <w:rsid w:val="009866CB"/>
    <w:rsid w:val="0098698A"/>
    <w:rsid w:val="00986E10"/>
    <w:rsid w:val="009873A7"/>
    <w:rsid w:val="009874F6"/>
    <w:rsid w:val="0098762D"/>
    <w:rsid w:val="00987803"/>
    <w:rsid w:val="00987BB3"/>
    <w:rsid w:val="00987D20"/>
    <w:rsid w:val="00987D2A"/>
    <w:rsid w:val="00987F24"/>
    <w:rsid w:val="00987F57"/>
    <w:rsid w:val="00990577"/>
    <w:rsid w:val="00990888"/>
    <w:rsid w:val="00990973"/>
    <w:rsid w:val="009909DD"/>
    <w:rsid w:val="009909EE"/>
    <w:rsid w:val="00990C4E"/>
    <w:rsid w:val="00990EE4"/>
    <w:rsid w:val="0099106A"/>
    <w:rsid w:val="009911B9"/>
    <w:rsid w:val="00991A92"/>
    <w:rsid w:val="00991C63"/>
    <w:rsid w:val="00991D8C"/>
    <w:rsid w:val="00991DDC"/>
    <w:rsid w:val="00992178"/>
    <w:rsid w:val="009930B7"/>
    <w:rsid w:val="009933B8"/>
    <w:rsid w:val="00993603"/>
    <w:rsid w:val="00993834"/>
    <w:rsid w:val="0099391F"/>
    <w:rsid w:val="009939DD"/>
    <w:rsid w:val="009941BE"/>
    <w:rsid w:val="00994243"/>
    <w:rsid w:val="009945F0"/>
    <w:rsid w:val="00994932"/>
    <w:rsid w:val="00994F17"/>
    <w:rsid w:val="009950CD"/>
    <w:rsid w:val="0099517D"/>
    <w:rsid w:val="00995330"/>
    <w:rsid w:val="00995C7E"/>
    <w:rsid w:val="00995EA3"/>
    <w:rsid w:val="009963BC"/>
    <w:rsid w:val="0099697C"/>
    <w:rsid w:val="00996B43"/>
    <w:rsid w:val="00996B6F"/>
    <w:rsid w:val="00996CD3"/>
    <w:rsid w:val="00997138"/>
    <w:rsid w:val="009972ED"/>
    <w:rsid w:val="00997490"/>
    <w:rsid w:val="009975D6"/>
    <w:rsid w:val="0099762C"/>
    <w:rsid w:val="00997974"/>
    <w:rsid w:val="00997E96"/>
    <w:rsid w:val="009A0047"/>
    <w:rsid w:val="009A004D"/>
    <w:rsid w:val="009A0173"/>
    <w:rsid w:val="009A0909"/>
    <w:rsid w:val="009A0B24"/>
    <w:rsid w:val="009A103C"/>
    <w:rsid w:val="009A1231"/>
    <w:rsid w:val="009A1289"/>
    <w:rsid w:val="009A179D"/>
    <w:rsid w:val="009A17AA"/>
    <w:rsid w:val="009A2009"/>
    <w:rsid w:val="009A26FB"/>
    <w:rsid w:val="009A2B16"/>
    <w:rsid w:val="009A2BEE"/>
    <w:rsid w:val="009A2CF7"/>
    <w:rsid w:val="009A2EA4"/>
    <w:rsid w:val="009A2F04"/>
    <w:rsid w:val="009A3017"/>
    <w:rsid w:val="009A310A"/>
    <w:rsid w:val="009A3342"/>
    <w:rsid w:val="009A34EC"/>
    <w:rsid w:val="009A381F"/>
    <w:rsid w:val="009A3955"/>
    <w:rsid w:val="009A3C8E"/>
    <w:rsid w:val="009A3CD8"/>
    <w:rsid w:val="009A438F"/>
    <w:rsid w:val="009A43BE"/>
    <w:rsid w:val="009A4555"/>
    <w:rsid w:val="009A471B"/>
    <w:rsid w:val="009A4C5E"/>
    <w:rsid w:val="009A4F3A"/>
    <w:rsid w:val="009A4FE3"/>
    <w:rsid w:val="009A539C"/>
    <w:rsid w:val="009A54AC"/>
    <w:rsid w:val="009A58F1"/>
    <w:rsid w:val="009A59A9"/>
    <w:rsid w:val="009A5A00"/>
    <w:rsid w:val="009A5F8B"/>
    <w:rsid w:val="009A63F8"/>
    <w:rsid w:val="009A66A6"/>
    <w:rsid w:val="009A6E4A"/>
    <w:rsid w:val="009A7286"/>
    <w:rsid w:val="009A72C7"/>
    <w:rsid w:val="009A74F5"/>
    <w:rsid w:val="009A76D9"/>
    <w:rsid w:val="009A7779"/>
    <w:rsid w:val="009A7AF1"/>
    <w:rsid w:val="009A7C23"/>
    <w:rsid w:val="009B034A"/>
    <w:rsid w:val="009B03D2"/>
    <w:rsid w:val="009B06E4"/>
    <w:rsid w:val="009B0B61"/>
    <w:rsid w:val="009B0C40"/>
    <w:rsid w:val="009B0D14"/>
    <w:rsid w:val="009B10CC"/>
    <w:rsid w:val="009B1687"/>
    <w:rsid w:val="009B18D4"/>
    <w:rsid w:val="009B1F73"/>
    <w:rsid w:val="009B2420"/>
    <w:rsid w:val="009B2F9F"/>
    <w:rsid w:val="009B3141"/>
    <w:rsid w:val="009B34F0"/>
    <w:rsid w:val="009B3862"/>
    <w:rsid w:val="009B389F"/>
    <w:rsid w:val="009B396A"/>
    <w:rsid w:val="009B3B9C"/>
    <w:rsid w:val="009B3D05"/>
    <w:rsid w:val="009B3ECC"/>
    <w:rsid w:val="009B4273"/>
    <w:rsid w:val="009B4941"/>
    <w:rsid w:val="009B4A99"/>
    <w:rsid w:val="009B4C52"/>
    <w:rsid w:val="009B4F48"/>
    <w:rsid w:val="009B50EA"/>
    <w:rsid w:val="009B54B0"/>
    <w:rsid w:val="009B5790"/>
    <w:rsid w:val="009B5822"/>
    <w:rsid w:val="009B58A7"/>
    <w:rsid w:val="009B59E6"/>
    <w:rsid w:val="009B5A58"/>
    <w:rsid w:val="009B5B09"/>
    <w:rsid w:val="009B5E78"/>
    <w:rsid w:val="009B61F9"/>
    <w:rsid w:val="009B6672"/>
    <w:rsid w:val="009B6C3A"/>
    <w:rsid w:val="009B71B3"/>
    <w:rsid w:val="009B74C0"/>
    <w:rsid w:val="009B758C"/>
    <w:rsid w:val="009B7765"/>
    <w:rsid w:val="009B777E"/>
    <w:rsid w:val="009B784C"/>
    <w:rsid w:val="009B7AB3"/>
    <w:rsid w:val="009B7CB3"/>
    <w:rsid w:val="009C0559"/>
    <w:rsid w:val="009C0608"/>
    <w:rsid w:val="009C0811"/>
    <w:rsid w:val="009C0B42"/>
    <w:rsid w:val="009C17DD"/>
    <w:rsid w:val="009C1C7D"/>
    <w:rsid w:val="009C1D69"/>
    <w:rsid w:val="009C1EB8"/>
    <w:rsid w:val="009C1F68"/>
    <w:rsid w:val="009C1FAA"/>
    <w:rsid w:val="009C1FEB"/>
    <w:rsid w:val="009C2010"/>
    <w:rsid w:val="009C204B"/>
    <w:rsid w:val="009C22EC"/>
    <w:rsid w:val="009C2A0E"/>
    <w:rsid w:val="009C3359"/>
    <w:rsid w:val="009C3450"/>
    <w:rsid w:val="009C3601"/>
    <w:rsid w:val="009C3E4E"/>
    <w:rsid w:val="009C3F29"/>
    <w:rsid w:val="009C4144"/>
    <w:rsid w:val="009C424E"/>
    <w:rsid w:val="009C4519"/>
    <w:rsid w:val="009C4937"/>
    <w:rsid w:val="009C4B79"/>
    <w:rsid w:val="009C4EA2"/>
    <w:rsid w:val="009C5057"/>
    <w:rsid w:val="009C517F"/>
    <w:rsid w:val="009C5457"/>
    <w:rsid w:val="009C5546"/>
    <w:rsid w:val="009C55D7"/>
    <w:rsid w:val="009C5BA7"/>
    <w:rsid w:val="009C63DB"/>
    <w:rsid w:val="009C64FF"/>
    <w:rsid w:val="009C6566"/>
    <w:rsid w:val="009C659D"/>
    <w:rsid w:val="009C6812"/>
    <w:rsid w:val="009C691C"/>
    <w:rsid w:val="009C6F6E"/>
    <w:rsid w:val="009C71A6"/>
    <w:rsid w:val="009C75F9"/>
    <w:rsid w:val="009C7872"/>
    <w:rsid w:val="009C79E8"/>
    <w:rsid w:val="009C7BF4"/>
    <w:rsid w:val="009D01B9"/>
    <w:rsid w:val="009D01EF"/>
    <w:rsid w:val="009D0238"/>
    <w:rsid w:val="009D03A9"/>
    <w:rsid w:val="009D0573"/>
    <w:rsid w:val="009D059A"/>
    <w:rsid w:val="009D05BA"/>
    <w:rsid w:val="009D0781"/>
    <w:rsid w:val="009D0D65"/>
    <w:rsid w:val="009D0E43"/>
    <w:rsid w:val="009D0E4B"/>
    <w:rsid w:val="009D1020"/>
    <w:rsid w:val="009D139E"/>
    <w:rsid w:val="009D151B"/>
    <w:rsid w:val="009D19B2"/>
    <w:rsid w:val="009D1C3B"/>
    <w:rsid w:val="009D1D0E"/>
    <w:rsid w:val="009D1FAD"/>
    <w:rsid w:val="009D2749"/>
    <w:rsid w:val="009D2B85"/>
    <w:rsid w:val="009D2CF3"/>
    <w:rsid w:val="009D2D82"/>
    <w:rsid w:val="009D30D4"/>
    <w:rsid w:val="009D31B1"/>
    <w:rsid w:val="009D3237"/>
    <w:rsid w:val="009D32A0"/>
    <w:rsid w:val="009D3328"/>
    <w:rsid w:val="009D3564"/>
    <w:rsid w:val="009D36B8"/>
    <w:rsid w:val="009D4756"/>
    <w:rsid w:val="009D4E18"/>
    <w:rsid w:val="009D4EE9"/>
    <w:rsid w:val="009D535D"/>
    <w:rsid w:val="009D53AA"/>
    <w:rsid w:val="009D5409"/>
    <w:rsid w:val="009D5796"/>
    <w:rsid w:val="009D59CB"/>
    <w:rsid w:val="009D5B0A"/>
    <w:rsid w:val="009D5EAD"/>
    <w:rsid w:val="009D5FEC"/>
    <w:rsid w:val="009D6135"/>
    <w:rsid w:val="009D68AA"/>
    <w:rsid w:val="009D6D03"/>
    <w:rsid w:val="009D6E24"/>
    <w:rsid w:val="009D6F9D"/>
    <w:rsid w:val="009D7107"/>
    <w:rsid w:val="009D725B"/>
    <w:rsid w:val="009D7345"/>
    <w:rsid w:val="009E022A"/>
    <w:rsid w:val="009E0260"/>
    <w:rsid w:val="009E0306"/>
    <w:rsid w:val="009E0D90"/>
    <w:rsid w:val="009E0F2C"/>
    <w:rsid w:val="009E1589"/>
    <w:rsid w:val="009E158F"/>
    <w:rsid w:val="009E1890"/>
    <w:rsid w:val="009E1973"/>
    <w:rsid w:val="009E1A45"/>
    <w:rsid w:val="009E1FD2"/>
    <w:rsid w:val="009E2730"/>
    <w:rsid w:val="009E27EE"/>
    <w:rsid w:val="009E28D9"/>
    <w:rsid w:val="009E2B36"/>
    <w:rsid w:val="009E31C5"/>
    <w:rsid w:val="009E338D"/>
    <w:rsid w:val="009E33F9"/>
    <w:rsid w:val="009E34BF"/>
    <w:rsid w:val="009E3591"/>
    <w:rsid w:val="009E3DE9"/>
    <w:rsid w:val="009E40A0"/>
    <w:rsid w:val="009E4232"/>
    <w:rsid w:val="009E4466"/>
    <w:rsid w:val="009E4C19"/>
    <w:rsid w:val="009E4E77"/>
    <w:rsid w:val="009E4FB5"/>
    <w:rsid w:val="009E50A0"/>
    <w:rsid w:val="009E556F"/>
    <w:rsid w:val="009E55D8"/>
    <w:rsid w:val="009E5EDF"/>
    <w:rsid w:val="009E60D7"/>
    <w:rsid w:val="009E65E2"/>
    <w:rsid w:val="009E6A9E"/>
    <w:rsid w:val="009E6C94"/>
    <w:rsid w:val="009E7807"/>
    <w:rsid w:val="009E7D1E"/>
    <w:rsid w:val="009E7ED7"/>
    <w:rsid w:val="009F0269"/>
    <w:rsid w:val="009F0386"/>
    <w:rsid w:val="009F04CB"/>
    <w:rsid w:val="009F0EC4"/>
    <w:rsid w:val="009F0F0F"/>
    <w:rsid w:val="009F128B"/>
    <w:rsid w:val="009F1487"/>
    <w:rsid w:val="009F18F7"/>
    <w:rsid w:val="009F2177"/>
    <w:rsid w:val="009F2247"/>
    <w:rsid w:val="009F2527"/>
    <w:rsid w:val="009F2607"/>
    <w:rsid w:val="009F26D9"/>
    <w:rsid w:val="009F280C"/>
    <w:rsid w:val="009F2A61"/>
    <w:rsid w:val="009F2AB7"/>
    <w:rsid w:val="009F2E3A"/>
    <w:rsid w:val="009F2F60"/>
    <w:rsid w:val="009F2FD5"/>
    <w:rsid w:val="009F3B5D"/>
    <w:rsid w:val="009F40EF"/>
    <w:rsid w:val="009F4115"/>
    <w:rsid w:val="009F4553"/>
    <w:rsid w:val="009F4B2B"/>
    <w:rsid w:val="009F4B75"/>
    <w:rsid w:val="009F4E32"/>
    <w:rsid w:val="009F4EAB"/>
    <w:rsid w:val="009F51C8"/>
    <w:rsid w:val="009F51FC"/>
    <w:rsid w:val="009F583D"/>
    <w:rsid w:val="009F5A39"/>
    <w:rsid w:val="009F5E73"/>
    <w:rsid w:val="009F6023"/>
    <w:rsid w:val="009F61C5"/>
    <w:rsid w:val="009F639B"/>
    <w:rsid w:val="009F63DE"/>
    <w:rsid w:val="009F654A"/>
    <w:rsid w:val="009F65CC"/>
    <w:rsid w:val="009F65EB"/>
    <w:rsid w:val="009F67CF"/>
    <w:rsid w:val="009F6FC7"/>
    <w:rsid w:val="009F7089"/>
    <w:rsid w:val="009F7849"/>
    <w:rsid w:val="009F7A53"/>
    <w:rsid w:val="009F7BB8"/>
    <w:rsid w:val="009F7C23"/>
    <w:rsid w:val="009F7E54"/>
    <w:rsid w:val="009F7E7F"/>
    <w:rsid w:val="00A00018"/>
    <w:rsid w:val="00A0015C"/>
    <w:rsid w:val="00A001E7"/>
    <w:rsid w:val="00A002F6"/>
    <w:rsid w:val="00A006B6"/>
    <w:rsid w:val="00A0070C"/>
    <w:rsid w:val="00A00716"/>
    <w:rsid w:val="00A00808"/>
    <w:rsid w:val="00A0093F"/>
    <w:rsid w:val="00A00E73"/>
    <w:rsid w:val="00A0137D"/>
    <w:rsid w:val="00A018FF"/>
    <w:rsid w:val="00A019CD"/>
    <w:rsid w:val="00A01BF4"/>
    <w:rsid w:val="00A01CF8"/>
    <w:rsid w:val="00A01FAD"/>
    <w:rsid w:val="00A02174"/>
    <w:rsid w:val="00A02499"/>
    <w:rsid w:val="00A02A5B"/>
    <w:rsid w:val="00A02B69"/>
    <w:rsid w:val="00A02E5B"/>
    <w:rsid w:val="00A033BA"/>
    <w:rsid w:val="00A03404"/>
    <w:rsid w:val="00A034C5"/>
    <w:rsid w:val="00A034CE"/>
    <w:rsid w:val="00A034D0"/>
    <w:rsid w:val="00A03715"/>
    <w:rsid w:val="00A03857"/>
    <w:rsid w:val="00A03960"/>
    <w:rsid w:val="00A03E48"/>
    <w:rsid w:val="00A04463"/>
    <w:rsid w:val="00A04B29"/>
    <w:rsid w:val="00A04B32"/>
    <w:rsid w:val="00A04E68"/>
    <w:rsid w:val="00A050AF"/>
    <w:rsid w:val="00A0534B"/>
    <w:rsid w:val="00A0539D"/>
    <w:rsid w:val="00A05549"/>
    <w:rsid w:val="00A0556A"/>
    <w:rsid w:val="00A055FD"/>
    <w:rsid w:val="00A05668"/>
    <w:rsid w:val="00A056AE"/>
    <w:rsid w:val="00A058C6"/>
    <w:rsid w:val="00A0598D"/>
    <w:rsid w:val="00A05E67"/>
    <w:rsid w:val="00A06595"/>
    <w:rsid w:val="00A0675F"/>
    <w:rsid w:val="00A06CC7"/>
    <w:rsid w:val="00A06D9E"/>
    <w:rsid w:val="00A074F4"/>
    <w:rsid w:val="00A0756C"/>
    <w:rsid w:val="00A075F8"/>
    <w:rsid w:val="00A0767D"/>
    <w:rsid w:val="00A07B7F"/>
    <w:rsid w:val="00A07C57"/>
    <w:rsid w:val="00A07D7B"/>
    <w:rsid w:val="00A07FAF"/>
    <w:rsid w:val="00A100BD"/>
    <w:rsid w:val="00A1028C"/>
    <w:rsid w:val="00A106D4"/>
    <w:rsid w:val="00A10F81"/>
    <w:rsid w:val="00A1122C"/>
    <w:rsid w:val="00A11483"/>
    <w:rsid w:val="00A11643"/>
    <w:rsid w:val="00A1173C"/>
    <w:rsid w:val="00A11CD6"/>
    <w:rsid w:val="00A12023"/>
    <w:rsid w:val="00A1207E"/>
    <w:rsid w:val="00A12A95"/>
    <w:rsid w:val="00A12E71"/>
    <w:rsid w:val="00A12E95"/>
    <w:rsid w:val="00A12EEC"/>
    <w:rsid w:val="00A13047"/>
    <w:rsid w:val="00A13646"/>
    <w:rsid w:val="00A13689"/>
    <w:rsid w:val="00A13B92"/>
    <w:rsid w:val="00A13D71"/>
    <w:rsid w:val="00A140DA"/>
    <w:rsid w:val="00A14339"/>
    <w:rsid w:val="00A145BA"/>
    <w:rsid w:val="00A14D68"/>
    <w:rsid w:val="00A14D97"/>
    <w:rsid w:val="00A151C8"/>
    <w:rsid w:val="00A1525E"/>
    <w:rsid w:val="00A1548F"/>
    <w:rsid w:val="00A15748"/>
    <w:rsid w:val="00A15AD0"/>
    <w:rsid w:val="00A1605F"/>
    <w:rsid w:val="00A1632C"/>
    <w:rsid w:val="00A168A9"/>
    <w:rsid w:val="00A16910"/>
    <w:rsid w:val="00A16D75"/>
    <w:rsid w:val="00A16F4B"/>
    <w:rsid w:val="00A17DE4"/>
    <w:rsid w:val="00A20335"/>
    <w:rsid w:val="00A203D3"/>
    <w:rsid w:val="00A20468"/>
    <w:rsid w:val="00A2098C"/>
    <w:rsid w:val="00A20AB4"/>
    <w:rsid w:val="00A20ECD"/>
    <w:rsid w:val="00A2118B"/>
    <w:rsid w:val="00A2131C"/>
    <w:rsid w:val="00A21363"/>
    <w:rsid w:val="00A2169D"/>
    <w:rsid w:val="00A2191E"/>
    <w:rsid w:val="00A21DCB"/>
    <w:rsid w:val="00A21EF9"/>
    <w:rsid w:val="00A22418"/>
    <w:rsid w:val="00A22661"/>
    <w:rsid w:val="00A22A3F"/>
    <w:rsid w:val="00A22CAB"/>
    <w:rsid w:val="00A22CC7"/>
    <w:rsid w:val="00A22FDD"/>
    <w:rsid w:val="00A233B2"/>
    <w:rsid w:val="00A238EC"/>
    <w:rsid w:val="00A238F9"/>
    <w:rsid w:val="00A23C1E"/>
    <w:rsid w:val="00A23CF0"/>
    <w:rsid w:val="00A23D49"/>
    <w:rsid w:val="00A23E36"/>
    <w:rsid w:val="00A23F2E"/>
    <w:rsid w:val="00A240F0"/>
    <w:rsid w:val="00A24209"/>
    <w:rsid w:val="00A243D0"/>
    <w:rsid w:val="00A2460F"/>
    <w:rsid w:val="00A24638"/>
    <w:rsid w:val="00A24AC7"/>
    <w:rsid w:val="00A24B7D"/>
    <w:rsid w:val="00A2511B"/>
    <w:rsid w:val="00A251F8"/>
    <w:rsid w:val="00A25458"/>
    <w:rsid w:val="00A25BCB"/>
    <w:rsid w:val="00A25C92"/>
    <w:rsid w:val="00A25E81"/>
    <w:rsid w:val="00A261AB"/>
    <w:rsid w:val="00A263B4"/>
    <w:rsid w:val="00A26675"/>
    <w:rsid w:val="00A26834"/>
    <w:rsid w:val="00A269C0"/>
    <w:rsid w:val="00A26BF7"/>
    <w:rsid w:val="00A26CFD"/>
    <w:rsid w:val="00A26EC4"/>
    <w:rsid w:val="00A27324"/>
    <w:rsid w:val="00A273C4"/>
    <w:rsid w:val="00A27438"/>
    <w:rsid w:val="00A276A4"/>
    <w:rsid w:val="00A276AC"/>
    <w:rsid w:val="00A27AD5"/>
    <w:rsid w:val="00A27BFC"/>
    <w:rsid w:val="00A27C51"/>
    <w:rsid w:val="00A27DD7"/>
    <w:rsid w:val="00A3004A"/>
    <w:rsid w:val="00A30076"/>
    <w:rsid w:val="00A300E3"/>
    <w:rsid w:val="00A31699"/>
    <w:rsid w:val="00A317F1"/>
    <w:rsid w:val="00A31934"/>
    <w:rsid w:val="00A31B44"/>
    <w:rsid w:val="00A31D60"/>
    <w:rsid w:val="00A31FD3"/>
    <w:rsid w:val="00A3284B"/>
    <w:rsid w:val="00A331E8"/>
    <w:rsid w:val="00A333C7"/>
    <w:rsid w:val="00A33497"/>
    <w:rsid w:val="00A33BDC"/>
    <w:rsid w:val="00A33DDE"/>
    <w:rsid w:val="00A33DE3"/>
    <w:rsid w:val="00A346E5"/>
    <w:rsid w:val="00A34753"/>
    <w:rsid w:val="00A3477F"/>
    <w:rsid w:val="00A34891"/>
    <w:rsid w:val="00A34BE6"/>
    <w:rsid w:val="00A34F02"/>
    <w:rsid w:val="00A35104"/>
    <w:rsid w:val="00A354C9"/>
    <w:rsid w:val="00A35657"/>
    <w:rsid w:val="00A357BF"/>
    <w:rsid w:val="00A35A65"/>
    <w:rsid w:val="00A35C1B"/>
    <w:rsid w:val="00A35D29"/>
    <w:rsid w:val="00A364BF"/>
    <w:rsid w:val="00A36BB4"/>
    <w:rsid w:val="00A36C9E"/>
    <w:rsid w:val="00A36E7D"/>
    <w:rsid w:val="00A36F2E"/>
    <w:rsid w:val="00A37A26"/>
    <w:rsid w:val="00A37B08"/>
    <w:rsid w:val="00A37E58"/>
    <w:rsid w:val="00A37FDD"/>
    <w:rsid w:val="00A40148"/>
    <w:rsid w:val="00A40310"/>
    <w:rsid w:val="00A403D8"/>
    <w:rsid w:val="00A4066E"/>
    <w:rsid w:val="00A4067C"/>
    <w:rsid w:val="00A4089A"/>
    <w:rsid w:val="00A40AAA"/>
    <w:rsid w:val="00A40AED"/>
    <w:rsid w:val="00A40BAC"/>
    <w:rsid w:val="00A40DA2"/>
    <w:rsid w:val="00A41101"/>
    <w:rsid w:val="00A416F6"/>
    <w:rsid w:val="00A41742"/>
    <w:rsid w:val="00A417FE"/>
    <w:rsid w:val="00A41B4E"/>
    <w:rsid w:val="00A41D0B"/>
    <w:rsid w:val="00A41F38"/>
    <w:rsid w:val="00A42018"/>
    <w:rsid w:val="00A42245"/>
    <w:rsid w:val="00A4296F"/>
    <w:rsid w:val="00A43000"/>
    <w:rsid w:val="00A430FD"/>
    <w:rsid w:val="00A43447"/>
    <w:rsid w:val="00A43539"/>
    <w:rsid w:val="00A438A2"/>
    <w:rsid w:val="00A43B3E"/>
    <w:rsid w:val="00A43D81"/>
    <w:rsid w:val="00A43EEF"/>
    <w:rsid w:val="00A443CA"/>
    <w:rsid w:val="00A44468"/>
    <w:rsid w:val="00A445E9"/>
    <w:rsid w:val="00A452DE"/>
    <w:rsid w:val="00A45317"/>
    <w:rsid w:val="00A4541A"/>
    <w:rsid w:val="00A45795"/>
    <w:rsid w:val="00A4604E"/>
    <w:rsid w:val="00A46539"/>
    <w:rsid w:val="00A46C4C"/>
    <w:rsid w:val="00A46DAA"/>
    <w:rsid w:val="00A4737D"/>
    <w:rsid w:val="00A473FE"/>
    <w:rsid w:val="00A47444"/>
    <w:rsid w:val="00A479D5"/>
    <w:rsid w:val="00A50398"/>
    <w:rsid w:val="00A50529"/>
    <w:rsid w:val="00A5067E"/>
    <w:rsid w:val="00A50713"/>
    <w:rsid w:val="00A507A5"/>
    <w:rsid w:val="00A509B1"/>
    <w:rsid w:val="00A509B6"/>
    <w:rsid w:val="00A50E3B"/>
    <w:rsid w:val="00A51152"/>
    <w:rsid w:val="00A51331"/>
    <w:rsid w:val="00A514C4"/>
    <w:rsid w:val="00A514ED"/>
    <w:rsid w:val="00A52682"/>
    <w:rsid w:val="00A526EF"/>
    <w:rsid w:val="00A52B40"/>
    <w:rsid w:val="00A53319"/>
    <w:rsid w:val="00A53DE5"/>
    <w:rsid w:val="00A53F02"/>
    <w:rsid w:val="00A53F78"/>
    <w:rsid w:val="00A53FDC"/>
    <w:rsid w:val="00A5459E"/>
    <w:rsid w:val="00A545CE"/>
    <w:rsid w:val="00A54626"/>
    <w:rsid w:val="00A54652"/>
    <w:rsid w:val="00A54CC3"/>
    <w:rsid w:val="00A54D87"/>
    <w:rsid w:val="00A54EBB"/>
    <w:rsid w:val="00A54F4B"/>
    <w:rsid w:val="00A5505F"/>
    <w:rsid w:val="00A55FE1"/>
    <w:rsid w:val="00A56274"/>
    <w:rsid w:val="00A56AC9"/>
    <w:rsid w:val="00A56C32"/>
    <w:rsid w:val="00A56DDC"/>
    <w:rsid w:val="00A571FC"/>
    <w:rsid w:val="00A576B0"/>
    <w:rsid w:val="00A578EC"/>
    <w:rsid w:val="00A579FD"/>
    <w:rsid w:val="00A57C0A"/>
    <w:rsid w:val="00A57D3F"/>
    <w:rsid w:val="00A60252"/>
    <w:rsid w:val="00A602B1"/>
    <w:rsid w:val="00A608C5"/>
    <w:rsid w:val="00A60B98"/>
    <w:rsid w:val="00A60D6C"/>
    <w:rsid w:val="00A612AA"/>
    <w:rsid w:val="00A613C3"/>
    <w:rsid w:val="00A619B8"/>
    <w:rsid w:val="00A619F1"/>
    <w:rsid w:val="00A61B34"/>
    <w:rsid w:val="00A61B85"/>
    <w:rsid w:val="00A61D5C"/>
    <w:rsid w:val="00A620DE"/>
    <w:rsid w:val="00A62375"/>
    <w:rsid w:val="00A623FD"/>
    <w:rsid w:val="00A62558"/>
    <w:rsid w:val="00A62C75"/>
    <w:rsid w:val="00A62FEC"/>
    <w:rsid w:val="00A630A4"/>
    <w:rsid w:val="00A63123"/>
    <w:rsid w:val="00A640D6"/>
    <w:rsid w:val="00A641D1"/>
    <w:rsid w:val="00A645E4"/>
    <w:rsid w:val="00A647E6"/>
    <w:rsid w:val="00A64BE9"/>
    <w:rsid w:val="00A64E5B"/>
    <w:rsid w:val="00A65A92"/>
    <w:rsid w:val="00A65ABB"/>
    <w:rsid w:val="00A65D09"/>
    <w:rsid w:val="00A65EC1"/>
    <w:rsid w:val="00A660D4"/>
    <w:rsid w:val="00A6643A"/>
    <w:rsid w:val="00A669BF"/>
    <w:rsid w:val="00A66A74"/>
    <w:rsid w:val="00A67117"/>
    <w:rsid w:val="00A67E00"/>
    <w:rsid w:val="00A700D6"/>
    <w:rsid w:val="00A70205"/>
    <w:rsid w:val="00A708CD"/>
    <w:rsid w:val="00A709DD"/>
    <w:rsid w:val="00A70E6E"/>
    <w:rsid w:val="00A7144C"/>
    <w:rsid w:val="00A7166A"/>
    <w:rsid w:val="00A71D49"/>
    <w:rsid w:val="00A71F1A"/>
    <w:rsid w:val="00A720BC"/>
    <w:rsid w:val="00A7254E"/>
    <w:rsid w:val="00A7256E"/>
    <w:rsid w:val="00A72574"/>
    <w:rsid w:val="00A727AB"/>
    <w:rsid w:val="00A72859"/>
    <w:rsid w:val="00A729D1"/>
    <w:rsid w:val="00A7306E"/>
    <w:rsid w:val="00A735D7"/>
    <w:rsid w:val="00A738DA"/>
    <w:rsid w:val="00A73946"/>
    <w:rsid w:val="00A73BA7"/>
    <w:rsid w:val="00A73C42"/>
    <w:rsid w:val="00A741D1"/>
    <w:rsid w:val="00A7424B"/>
    <w:rsid w:val="00A74288"/>
    <w:rsid w:val="00A7445C"/>
    <w:rsid w:val="00A74901"/>
    <w:rsid w:val="00A74C11"/>
    <w:rsid w:val="00A755C7"/>
    <w:rsid w:val="00A76247"/>
    <w:rsid w:val="00A76921"/>
    <w:rsid w:val="00A7692C"/>
    <w:rsid w:val="00A76AC0"/>
    <w:rsid w:val="00A76BF6"/>
    <w:rsid w:val="00A76C27"/>
    <w:rsid w:val="00A76C97"/>
    <w:rsid w:val="00A76DA1"/>
    <w:rsid w:val="00A76DD1"/>
    <w:rsid w:val="00A76E53"/>
    <w:rsid w:val="00A77859"/>
    <w:rsid w:val="00A77C18"/>
    <w:rsid w:val="00A8011A"/>
    <w:rsid w:val="00A80232"/>
    <w:rsid w:val="00A803B1"/>
    <w:rsid w:val="00A80429"/>
    <w:rsid w:val="00A8057B"/>
    <w:rsid w:val="00A81057"/>
    <w:rsid w:val="00A810E3"/>
    <w:rsid w:val="00A813A2"/>
    <w:rsid w:val="00A814BE"/>
    <w:rsid w:val="00A817E7"/>
    <w:rsid w:val="00A81BF3"/>
    <w:rsid w:val="00A81FD1"/>
    <w:rsid w:val="00A8229A"/>
    <w:rsid w:val="00A826A0"/>
    <w:rsid w:val="00A82958"/>
    <w:rsid w:val="00A83100"/>
    <w:rsid w:val="00A831DB"/>
    <w:rsid w:val="00A83624"/>
    <w:rsid w:val="00A837E8"/>
    <w:rsid w:val="00A83D91"/>
    <w:rsid w:val="00A84490"/>
    <w:rsid w:val="00A844CE"/>
    <w:rsid w:val="00A84698"/>
    <w:rsid w:val="00A84759"/>
    <w:rsid w:val="00A84855"/>
    <w:rsid w:val="00A848FD"/>
    <w:rsid w:val="00A8491E"/>
    <w:rsid w:val="00A852F0"/>
    <w:rsid w:val="00A85305"/>
    <w:rsid w:val="00A85364"/>
    <w:rsid w:val="00A8537D"/>
    <w:rsid w:val="00A853AB"/>
    <w:rsid w:val="00A854D0"/>
    <w:rsid w:val="00A855E7"/>
    <w:rsid w:val="00A8582F"/>
    <w:rsid w:val="00A86637"/>
    <w:rsid w:val="00A86654"/>
    <w:rsid w:val="00A87392"/>
    <w:rsid w:val="00A87D6D"/>
    <w:rsid w:val="00A87D81"/>
    <w:rsid w:val="00A90304"/>
    <w:rsid w:val="00A90A1A"/>
    <w:rsid w:val="00A90F09"/>
    <w:rsid w:val="00A91D39"/>
    <w:rsid w:val="00A91D90"/>
    <w:rsid w:val="00A91DF7"/>
    <w:rsid w:val="00A91E0F"/>
    <w:rsid w:val="00A91E29"/>
    <w:rsid w:val="00A92170"/>
    <w:rsid w:val="00A921B5"/>
    <w:rsid w:val="00A92B42"/>
    <w:rsid w:val="00A92B86"/>
    <w:rsid w:val="00A92DD1"/>
    <w:rsid w:val="00A930BC"/>
    <w:rsid w:val="00A9345C"/>
    <w:rsid w:val="00A935DF"/>
    <w:rsid w:val="00A93A23"/>
    <w:rsid w:val="00A93FD5"/>
    <w:rsid w:val="00A9435F"/>
    <w:rsid w:val="00A94862"/>
    <w:rsid w:val="00A948E8"/>
    <w:rsid w:val="00A94E2B"/>
    <w:rsid w:val="00A94E3D"/>
    <w:rsid w:val="00A94F0F"/>
    <w:rsid w:val="00A95035"/>
    <w:rsid w:val="00A95264"/>
    <w:rsid w:val="00A955EC"/>
    <w:rsid w:val="00A95800"/>
    <w:rsid w:val="00A95939"/>
    <w:rsid w:val="00A95B23"/>
    <w:rsid w:val="00A95B56"/>
    <w:rsid w:val="00A95C43"/>
    <w:rsid w:val="00A95FF7"/>
    <w:rsid w:val="00A96187"/>
    <w:rsid w:val="00A96636"/>
    <w:rsid w:val="00A969A7"/>
    <w:rsid w:val="00A96BAB"/>
    <w:rsid w:val="00A96E46"/>
    <w:rsid w:val="00A96E6A"/>
    <w:rsid w:val="00A970F3"/>
    <w:rsid w:val="00A97121"/>
    <w:rsid w:val="00A97351"/>
    <w:rsid w:val="00A9788F"/>
    <w:rsid w:val="00A97BB8"/>
    <w:rsid w:val="00A97FE6"/>
    <w:rsid w:val="00AA0224"/>
    <w:rsid w:val="00AA02E4"/>
    <w:rsid w:val="00AA0316"/>
    <w:rsid w:val="00AA04C4"/>
    <w:rsid w:val="00AA1720"/>
    <w:rsid w:val="00AA19BB"/>
    <w:rsid w:val="00AA1ADF"/>
    <w:rsid w:val="00AA1C0C"/>
    <w:rsid w:val="00AA24FF"/>
    <w:rsid w:val="00AA26B9"/>
    <w:rsid w:val="00AA2B88"/>
    <w:rsid w:val="00AA2E10"/>
    <w:rsid w:val="00AA2EA4"/>
    <w:rsid w:val="00AA2F64"/>
    <w:rsid w:val="00AA3099"/>
    <w:rsid w:val="00AA329A"/>
    <w:rsid w:val="00AA3494"/>
    <w:rsid w:val="00AA383C"/>
    <w:rsid w:val="00AA393A"/>
    <w:rsid w:val="00AA3B10"/>
    <w:rsid w:val="00AA3D72"/>
    <w:rsid w:val="00AA3E34"/>
    <w:rsid w:val="00AA3E7C"/>
    <w:rsid w:val="00AA484A"/>
    <w:rsid w:val="00AA4946"/>
    <w:rsid w:val="00AA4C9E"/>
    <w:rsid w:val="00AA4D0F"/>
    <w:rsid w:val="00AA508E"/>
    <w:rsid w:val="00AA51CE"/>
    <w:rsid w:val="00AA5268"/>
    <w:rsid w:val="00AA5537"/>
    <w:rsid w:val="00AA56C2"/>
    <w:rsid w:val="00AA5DD5"/>
    <w:rsid w:val="00AA61BA"/>
    <w:rsid w:val="00AA652B"/>
    <w:rsid w:val="00AA660A"/>
    <w:rsid w:val="00AA6B5A"/>
    <w:rsid w:val="00AA6CFF"/>
    <w:rsid w:val="00AA6F5E"/>
    <w:rsid w:val="00AA7022"/>
    <w:rsid w:val="00AA70B2"/>
    <w:rsid w:val="00AA7607"/>
    <w:rsid w:val="00AA7851"/>
    <w:rsid w:val="00AA788B"/>
    <w:rsid w:val="00AA7A54"/>
    <w:rsid w:val="00AA7A89"/>
    <w:rsid w:val="00AB0777"/>
    <w:rsid w:val="00AB0872"/>
    <w:rsid w:val="00AB0CBD"/>
    <w:rsid w:val="00AB0CC3"/>
    <w:rsid w:val="00AB0D1F"/>
    <w:rsid w:val="00AB0D7D"/>
    <w:rsid w:val="00AB0E66"/>
    <w:rsid w:val="00AB100D"/>
    <w:rsid w:val="00AB128E"/>
    <w:rsid w:val="00AB130D"/>
    <w:rsid w:val="00AB1734"/>
    <w:rsid w:val="00AB1988"/>
    <w:rsid w:val="00AB1ACE"/>
    <w:rsid w:val="00AB1D79"/>
    <w:rsid w:val="00AB2314"/>
    <w:rsid w:val="00AB24B1"/>
    <w:rsid w:val="00AB2532"/>
    <w:rsid w:val="00AB30CA"/>
    <w:rsid w:val="00AB31AC"/>
    <w:rsid w:val="00AB3268"/>
    <w:rsid w:val="00AB328B"/>
    <w:rsid w:val="00AB3539"/>
    <w:rsid w:val="00AB3876"/>
    <w:rsid w:val="00AB3DAF"/>
    <w:rsid w:val="00AB44C3"/>
    <w:rsid w:val="00AB4799"/>
    <w:rsid w:val="00AB4C37"/>
    <w:rsid w:val="00AB4DB2"/>
    <w:rsid w:val="00AB5194"/>
    <w:rsid w:val="00AB56B0"/>
    <w:rsid w:val="00AB5960"/>
    <w:rsid w:val="00AB5ABE"/>
    <w:rsid w:val="00AB5B78"/>
    <w:rsid w:val="00AB5CFD"/>
    <w:rsid w:val="00AB5D1C"/>
    <w:rsid w:val="00AB5DB1"/>
    <w:rsid w:val="00AB5F61"/>
    <w:rsid w:val="00AB5FE8"/>
    <w:rsid w:val="00AB64B4"/>
    <w:rsid w:val="00AB6595"/>
    <w:rsid w:val="00AB6846"/>
    <w:rsid w:val="00AB6859"/>
    <w:rsid w:val="00AB69B8"/>
    <w:rsid w:val="00AB6A19"/>
    <w:rsid w:val="00AB6A83"/>
    <w:rsid w:val="00AB73AD"/>
    <w:rsid w:val="00AB7DD3"/>
    <w:rsid w:val="00AC02C6"/>
    <w:rsid w:val="00AC093C"/>
    <w:rsid w:val="00AC0ABE"/>
    <w:rsid w:val="00AC0D44"/>
    <w:rsid w:val="00AC0E66"/>
    <w:rsid w:val="00AC10C2"/>
    <w:rsid w:val="00AC1192"/>
    <w:rsid w:val="00AC134D"/>
    <w:rsid w:val="00AC13B1"/>
    <w:rsid w:val="00AC16D6"/>
    <w:rsid w:val="00AC1B2D"/>
    <w:rsid w:val="00AC1E8C"/>
    <w:rsid w:val="00AC1F6A"/>
    <w:rsid w:val="00AC2513"/>
    <w:rsid w:val="00AC267C"/>
    <w:rsid w:val="00AC2A2F"/>
    <w:rsid w:val="00AC2B8D"/>
    <w:rsid w:val="00AC2C87"/>
    <w:rsid w:val="00AC2CE8"/>
    <w:rsid w:val="00AC2F93"/>
    <w:rsid w:val="00AC2FAA"/>
    <w:rsid w:val="00AC345E"/>
    <w:rsid w:val="00AC35AE"/>
    <w:rsid w:val="00AC3939"/>
    <w:rsid w:val="00AC3FBA"/>
    <w:rsid w:val="00AC40E2"/>
    <w:rsid w:val="00AC459A"/>
    <w:rsid w:val="00AC49B5"/>
    <w:rsid w:val="00AC4D72"/>
    <w:rsid w:val="00AC4EFA"/>
    <w:rsid w:val="00AC4F6D"/>
    <w:rsid w:val="00AC4FC3"/>
    <w:rsid w:val="00AC51C4"/>
    <w:rsid w:val="00AC557C"/>
    <w:rsid w:val="00AC5FB0"/>
    <w:rsid w:val="00AC612A"/>
    <w:rsid w:val="00AC61E4"/>
    <w:rsid w:val="00AC6250"/>
    <w:rsid w:val="00AC62E4"/>
    <w:rsid w:val="00AC6509"/>
    <w:rsid w:val="00AC670E"/>
    <w:rsid w:val="00AC6942"/>
    <w:rsid w:val="00AC7329"/>
    <w:rsid w:val="00AC737B"/>
    <w:rsid w:val="00AC78F1"/>
    <w:rsid w:val="00AC7A39"/>
    <w:rsid w:val="00AC7CE2"/>
    <w:rsid w:val="00AD016E"/>
    <w:rsid w:val="00AD019F"/>
    <w:rsid w:val="00AD097F"/>
    <w:rsid w:val="00AD0A71"/>
    <w:rsid w:val="00AD0B77"/>
    <w:rsid w:val="00AD0C07"/>
    <w:rsid w:val="00AD0F34"/>
    <w:rsid w:val="00AD1C93"/>
    <w:rsid w:val="00AD232E"/>
    <w:rsid w:val="00AD24E5"/>
    <w:rsid w:val="00AD26D1"/>
    <w:rsid w:val="00AD2AEF"/>
    <w:rsid w:val="00AD2C30"/>
    <w:rsid w:val="00AD2CB0"/>
    <w:rsid w:val="00AD2DCF"/>
    <w:rsid w:val="00AD3107"/>
    <w:rsid w:val="00AD3472"/>
    <w:rsid w:val="00AD354E"/>
    <w:rsid w:val="00AD38E3"/>
    <w:rsid w:val="00AD3926"/>
    <w:rsid w:val="00AD4001"/>
    <w:rsid w:val="00AD445A"/>
    <w:rsid w:val="00AD4854"/>
    <w:rsid w:val="00AD4AB4"/>
    <w:rsid w:val="00AD4D1C"/>
    <w:rsid w:val="00AD5053"/>
    <w:rsid w:val="00AD50B6"/>
    <w:rsid w:val="00AD51AC"/>
    <w:rsid w:val="00AD51FD"/>
    <w:rsid w:val="00AD596F"/>
    <w:rsid w:val="00AD59A9"/>
    <w:rsid w:val="00AD661F"/>
    <w:rsid w:val="00AD6B82"/>
    <w:rsid w:val="00AD6BC3"/>
    <w:rsid w:val="00AD6BE1"/>
    <w:rsid w:val="00AD6DCD"/>
    <w:rsid w:val="00AD6DD6"/>
    <w:rsid w:val="00AD71D1"/>
    <w:rsid w:val="00AD7468"/>
    <w:rsid w:val="00AD75F7"/>
    <w:rsid w:val="00AD7D2D"/>
    <w:rsid w:val="00AE0102"/>
    <w:rsid w:val="00AE053B"/>
    <w:rsid w:val="00AE09B5"/>
    <w:rsid w:val="00AE0F39"/>
    <w:rsid w:val="00AE1821"/>
    <w:rsid w:val="00AE1C1E"/>
    <w:rsid w:val="00AE1F8A"/>
    <w:rsid w:val="00AE20A8"/>
    <w:rsid w:val="00AE216F"/>
    <w:rsid w:val="00AE235D"/>
    <w:rsid w:val="00AE2537"/>
    <w:rsid w:val="00AE26B4"/>
    <w:rsid w:val="00AE28EA"/>
    <w:rsid w:val="00AE2A74"/>
    <w:rsid w:val="00AE2DCF"/>
    <w:rsid w:val="00AE31D7"/>
    <w:rsid w:val="00AE3787"/>
    <w:rsid w:val="00AE3855"/>
    <w:rsid w:val="00AE387B"/>
    <w:rsid w:val="00AE3B00"/>
    <w:rsid w:val="00AE3D5F"/>
    <w:rsid w:val="00AE3E53"/>
    <w:rsid w:val="00AE3FA7"/>
    <w:rsid w:val="00AE3FE2"/>
    <w:rsid w:val="00AE44F5"/>
    <w:rsid w:val="00AE4900"/>
    <w:rsid w:val="00AE508B"/>
    <w:rsid w:val="00AE5593"/>
    <w:rsid w:val="00AE5F22"/>
    <w:rsid w:val="00AE65EA"/>
    <w:rsid w:val="00AE72ED"/>
    <w:rsid w:val="00AE7A33"/>
    <w:rsid w:val="00AE7B9B"/>
    <w:rsid w:val="00AE7FF2"/>
    <w:rsid w:val="00AF040E"/>
    <w:rsid w:val="00AF086F"/>
    <w:rsid w:val="00AF09D0"/>
    <w:rsid w:val="00AF0A9F"/>
    <w:rsid w:val="00AF0DC6"/>
    <w:rsid w:val="00AF1255"/>
    <w:rsid w:val="00AF1446"/>
    <w:rsid w:val="00AF14C4"/>
    <w:rsid w:val="00AF19B6"/>
    <w:rsid w:val="00AF1D43"/>
    <w:rsid w:val="00AF21A3"/>
    <w:rsid w:val="00AF224A"/>
    <w:rsid w:val="00AF244B"/>
    <w:rsid w:val="00AF2619"/>
    <w:rsid w:val="00AF2A2A"/>
    <w:rsid w:val="00AF33E8"/>
    <w:rsid w:val="00AF35C6"/>
    <w:rsid w:val="00AF3629"/>
    <w:rsid w:val="00AF363E"/>
    <w:rsid w:val="00AF446D"/>
    <w:rsid w:val="00AF447E"/>
    <w:rsid w:val="00AF45D1"/>
    <w:rsid w:val="00AF4812"/>
    <w:rsid w:val="00AF495C"/>
    <w:rsid w:val="00AF5784"/>
    <w:rsid w:val="00AF5A14"/>
    <w:rsid w:val="00AF6287"/>
    <w:rsid w:val="00AF6C2D"/>
    <w:rsid w:val="00AF74A6"/>
    <w:rsid w:val="00AF7C8F"/>
    <w:rsid w:val="00AF7D4C"/>
    <w:rsid w:val="00B00748"/>
    <w:rsid w:val="00B0077D"/>
    <w:rsid w:val="00B00AB8"/>
    <w:rsid w:val="00B00E96"/>
    <w:rsid w:val="00B0111F"/>
    <w:rsid w:val="00B01E84"/>
    <w:rsid w:val="00B01F20"/>
    <w:rsid w:val="00B0215E"/>
    <w:rsid w:val="00B022C0"/>
    <w:rsid w:val="00B02BE8"/>
    <w:rsid w:val="00B0331C"/>
    <w:rsid w:val="00B033F6"/>
    <w:rsid w:val="00B0366E"/>
    <w:rsid w:val="00B039B8"/>
    <w:rsid w:val="00B03AE3"/>
    <w:rsid w:val="00B03AFD"/>
    <w:rsid w:val="00B04BBE"/>
    <w:rsid w:val="00B04C9A"/>
    <w:rsid w:val="00B04CA0"/>
    <w:rsid w:val="00B04DBF"/>
    <w:rsid w:val="00B04DD6"/>
    <w:rsid w:val="00B04E9B"/>
    <w:rsid w:val="00B0520D"/>
    <w:rsid w:val="00B05380"/>
    <w:rsid w:val="00B05399"/>
    <w:rsid w:val="00B05741"/>
    <w:rsid w:val="00B0582C"/>
    <w:rsid w:val="00B05CF4"/>
    <w:rsid w:val="00B05DD3"/>
    <w:rsid w:val="00B05E31"/>
    <w:rsid w:val="00B05FA0"/>
    <w:rsid w:val="00B06747"/>
    <w:rsid w:val="00B0728A"/>
    <w:rsid w:val="00B10547"/>
    <w:rsid w:val="00B1058D"/>
    <w:rsid w:val="00B108C2"/>
    <w:rsid w:val="00B10EAC"/>
    <w:rsid w:val="00B112FA"/>
    <w:rsid w:val="00B113B9"/>
    <w:rsid w:val="00B115A8"/>
    <w:rsid w:val="00B1161C"/>
    <w:rsid w:val="00B1161D"/>
    <w:rsid w:val="00B12351"/>
    <w:rsid w:val="00B125BD"/>
    <w:rsid w:val="00B12A0E"/>
    <w:rsid w:val="00B12D05"/>
    <w:rsid w:val="00B12E0E"/>
    <w:rsid w:val="00B131C6"/>
    <w:rsid w:val="00B1357E"/>
    <w:rsid w:val="00B1361C"/>
    <w:rsid w:val="00B1364A"/>
    <w:rsid w:val="00B136D1"/>
    <w:rsid w:val="00B136E6"/>
    <w:rsid w:val="00B13860"/>
    <w:rsid w:val="00B1393A"/>
    <w:rsid w:val="00B13C43"/>
    <w:rsid w:val="00B13D9D"/>
    <w:rsid w:val="00B140A8"/>
    <w:rsid w:val="00B140FF"/>
    <w:rsid w:val="00B14952"/>
    <w:rsid w:val="00B14A17"/>
    <w:rsid w:val="00B14CAD"/>
    <w:rsid w:val="00B14D9A"/>
    <w:rsid w:val="00B14E6A"/>
    <w:rsid w:val="00B15717"/>
    <w:rsid w:val="00B15A96"/>
    <w:rsid w:val="00B15B6E"/>
    <w:rsid w:val="00B15C56"/>
    <w:rsid w:val="00B15CC3"/>
    <w:rsid w:val="00B1623E"/>
    <w:rsid w:val="00B16490"/>
    <w:rsid w:val="00B165D2"/>
    <w:rsid w:val="00B1670B"/>
    <w:rsid w:val="00B16710"/>
    <w:rsid w:val="00B1676D"/>
    <w:rsid w:val="00B16BF6"/>
    <w:rsid w:val="00B16C45"/>
    <w:rsid w:val="00B16E10"/>
    <w:rsid w:val="00B16EA2"/>
    <w:rsid w:val="00B16F8C"/>
    <w:rsid w:val="00B16FB2"/>
    <w:rsid w:val="00B175B8"/>
    <w:rsid w:val="00B1778D"/>
    <w:rsid w:val="00B1788C"/>
    <w:rsid w:val="00B179E2"/>
    <w:rsid w:val="00B17C75"/>
    <w:rsid w:val="00B17D19"/>
    <w:rsid w:val="00B2013D"/>
    <w:rsid w:val="00B201F6"/>
    <w:rsid w:val="00B20338"/>
    <w:rsid w:val="00B2052F"/>
    <w:rsid w:val="00B21086"/>
    <w:rsid w:val="00B21521"/>
    <w:rsid w:val="00B2159C"/>
    <w:rsid w:val="00B2224F"/>
    <w:rsid w:val="00B225B8"/>
    <w:rsid w:val="00B22BA7"/>
    <w:rsid w:val="00B233C8"/>
    <w:rsid w:val="00B235C2"/>
    <w:rsid w:val="00B236F1"/>
    <w:rsid w:val="00B23983"/>
    <w:rsid w:val="00B23AFA"/>
    <w:rsid w:val="00B23C1B"/>
    <w:rsid w:val="00B23CCD"/>
    <w:rsid w:val="00B23E78"/>
    <w:rsid w:val="00B23EA4"/>
    <w:rsid w:val="00B2432D"/>
    <w:rsid w:val="00B24758"/>
    <w:rsid w:val="00B24888"/>
    <w:rsid w:val="00B25346"/>
    <w:rsid w:val="00B25382"/>
    <w:rsid w:val="00B25624"/>
    <w:rsid w:val="00B2570C"/>
    <w:rsid w:val="00B2597B"/>
    <w:rsid w:val="00B25D95"/>
    <w:rsid w:val="00B26122"/>
    <w:rsid w:val="00B2688E"/>
    <w:rsid w:val="00B26A0F"/>
    <w:rsid w:val="00B26B42"/>
    <w:rsid w:val="00B26CBA"/>
    <w:rsid w:val="00B26F98"/>
    <w:rsid w:val="00B27017"/>
    <w:rsid w:val="00B275AD"/>
    <w:rsid w:val="00B279EF"/>
    <w:rsid w:val="00B27A7E"/>
    <w:rsid w:val="00B27B4C"/>
    <w:rsid w:val="00B27EB8"/>
    <w:rsid w:val="00B27F01"/>
    <w:rsid w:val="00B301EA"/>
    <w:rsid w:val="00B3075C"/>
    <w:rsid w:val="00B307F0"/>
    <w:rsid w:val="00B310B8"/>
    <w:rsid w:val="00B3118E"/>
    <w:rsid w:val="00B313D9"/>
    <w:rsid w:val="00B31596"/>
    <w:rsid w:val="00B31829"/>
    <w:rsid w:val="00B319B6"/>
    <w:rsid w:val="00B31D11"/>
    <w:rsid w:val="00B32289"/>
    <w:rsid w:val="00B32814"/>
    <w:rsid w:val="00B32B1F"/>
    <w:rsid w:val="00B32E9B"/>
    <w:rsid w:val="00B33175"/>
    <w:rsid w:val="00B33D46"/>
    <w:rsid w:val="00B33E0D"/>
    <w:rsid w:val="00B33E52"/>
    <w:rsid w:val="00B33FB2"/>
    <w:rsid w:val="00B340EA"/>
    <w:rsid w:val="00B341B9"/>
    <w:rsid w:val="00B344CB"/>
    <w:rsid w:val="00B346A7"/>
    <w:rsid w:val="00B34A2C"/>
    <w:rsid w:val="00B34DAA"/>
    <w:rsid w:val="00B3542C"/>
    <w:rsid w:val="00B354F0"/>
    <w:rsid w:val="00B35800"/>
    <w:rsid w:val="00B35924"/>
    <w:rsid w:val="00B36408"/>
    <w:rsid w:val="00B3681D"/>
    <w:rsid w:val="00B36AB5"/>
    <w:rsid w:val="00B36DE8"/>
    <w:rsid w:val="00B36FD1"/>
    <w:rsid w:val="00B370C8"/>
    <w:rsid w:val="00B373D3"/>
    <w:rsid w:val="00B37573"/>
    <w:rsid w:val="00B375A1"/>
    <w:rsid w:val="00B37685"/>
    <w:rsid w:val="00B37EEE"/>
    <w:rsid w:val="00B40397"/>
    <w:rsid w:val="00B403EE"/>
    <w:rsid w:val="00B405BB"/>
    <w:rsid w:val="00B407BE"/>
    <w:rsid w:val="00B40901"/>
    <w:rsid w:val="00B4131B"/>
    <w:rsid w:val="00B414B3"/>
    <w:rsid w:val="00B414C7"/>
    <w:rsid w:val="00B414F1"/>
    <w:rsid w:val="00B41685"/>
    <w:rsid w:val="00B41B81"/>
    <w:rsid w:val="00B42014"/>
    <w:rsid w:val="00B42185"/>
    <w:rsid w:val="00B42277"/>
    <w:rsid w:val="00B4242C"/>
    <w:rsid w:val="00B42B3F"/>
    <w:rsid w:val="00B42C84"/>
    <w:rsid w:val="00B42F25"/>
    <w:rsid w:val="00B43479"/>
    <w:rsid w:val="00B434C9"/>
    <w:rsid w:val="00B4359D"/>
    <w:rsid w:val="00B43BF8"/>
    <w:rsid w:val="00B440CB"/>
    <w:rsid w:val="00B44737"/>
    <w:rsid w:val="00B44A3C"/>
    <w:rsid w:val="00B44D24"/>
    <w:rsid w:val="00B45760"/>
    <w:rsid w:val="00B45B6B"/>
    <w:rsid w:val="00B45CCB"/>
    <w:rsid w:val="00B45F60"/>
    <w:rsid w:val="00B46269"/>
    <w:rsid w:val="00B46A84"/>
    <w:rsid w:val="00B46DFE"/>
    <w:rsid w:val="00B46F06"/>
    <w:rsid w:val="00B47278"/>
    <w:rsid w:val="00B47374"/>
    <w:rsid w:val="00B47734"/>
    <w:rsid w:val="00B4773D"/>
    <w:rsid w:val="00B47827"/>
    <w:rsid w:val="00B47EA0"/>
    <w:rsid w:val="00B47FEE"/>
    <w:rsid w:val="00B505E0"/>
    <w:rsid w:val="00B5071C"/>
    <w:rsid w:val="00B507BE"/>
    <w:rsid w:val="00B50824"/>
    <w:rsid w:val="00B5095A"/>
    <w:rsid w:val="00B51009"/>
    <w:rsid w:val="00B51060"/>
    <w:rsid w:val="00B511EE"/>
    <w:rsid w:val="00B5188E"/>
    <w:rsid w:val="00B519B9"/>
    <w:rsid w:val="00B51A02"/>
    <w:rsid w:val="00B51FC9"/>
    <w:rsid w:val="00B524C1"/>
    <w:rsid w:val="00B52552"/>
    <w:rsid w:val="00B52641"/>
    <w:rsid w:val="00B52795"/>
    <w:rsid w:val="00B533FE"/>
    <w:rsid w:val="00B53468"/>
    <w:rsid w:val="00B534F2"/>
    <w:rsid w:val="00B53666"/>
    <w:rsid w:val="00B536BB"/>
    <w:rsid w:val="00B53906"/>
    <w:rsid w:val="00B53F16"/>
    <w:rsid w:val="00B542B2"/>
    <w:rsid w:val="00B544C1"/>
    <w:rsid w:val="00B5452F"/>
    <w:rsid w:val="00B5455C"/>
    <w:rsid w:val="00B546E0"/>
    <w:rsid w:val="00B54F7E"/>
    <w:rsid w:val="00B54FCB"/>
    <w:rsid w:val="00B5572B"/>
    <w:rsid w:val="00B55B52"/>
    <w:rsid w:val="00B55DD8"/>
    <w:rsid w:val="00B56116"/>
    <w:rsid w:val="00B56B3D"/>
    <w:rsid w:val="00B56C20"/>
    <w:rsid w:val="00B56DD1"/>
    <w:rsid w:val="00B5733A"/>
    <w:rsid w:val="00B579BA"/>
    <w:rsid w:val="00B60047"/>
    <w:rsid w:val="00B600CE"/>
    <w:rsid w:val="00B60157"/>
    <w:rsid w:val="00B6054A"/>
    <w:rsid w:val="00B60639"/>
    <w:rsid w:val="00B61007"/>
    <w:rsid w:val="00B6119B"/>
    <w:rsid w:val="00B61234"/>
    <w:rsid w:val="00B6127D"/>
    <w:rsid w:val="00B61526"/>
    <w:rsid w:val="00B6154C"/>
    <w:rsid w:val="00B61FDE"/>
    <w:rsid w:val="00B6210B"/>
    <w:rsid w:val="00B621BC"/>
    <w:rsid w:val="00B62468"/>
    <w:rsid w:val="00B62A30"/>
    <w:rsid w:val="00B62E18"/>
    <w:rsid w:val="00B632F8"/>
    <w:rsid w:val="00B6332D"/>
    <w:rsid w:val="00B636C2"/>
    <w:rsid w:val="00B63D16"/>
    <w:rsid w:val="00B64049"/>
    <w:rsid w:val="00B64163"/>
    <w:rsid w:val="00B641BF"/>
    <w:rsid w:val="00B64219"/>
    <w:rsid w:val="00B64475"/>
    <w:rsid w:val="00B64DB7"/>
    <w:rsid w:val="00B64E96"/>
    <w:rsid w:val="00B64F0F"/>
    <w:rsid w:val="00B65612"/>
    <w:rsid w:val="00B656BE"/>
    <w:rsid w:val="00B656E3"/>
    <w:rsid w:val="00B65893"/>
    <w:rsid w:val="00B6594D"/>
    <w:rsid w:val="00B65B77"/>
    <w:rsid w:val="00B65F3C"/>
    <w:rsid w:val="00B666B3"/>
    <w:rsid w:val="00B66B75"/>
    <w:rsid w:val="00B66F6C"/>
    <w:rsid w:val="00B67074"/>
    <w:rsid w:val="00B6736F"/>
    <w:rsid w:val="00B676B2"/>
    <w:rsid w:val="00B67908"/>
    <w:rsid w:val="00B70160"/>
    <w:rsid w:val="00B703C0"/>
    <w:rsid w:val="00B7071C"/>
    <w:rsid w:val="00B709A8"/>
    <w:rsid w:val="00B70C4C"/>
    <w:rsid w:val="00B7142F"/>
    <w:rsid w:val="00B71C7F"/>
    <w:rsid w:val="00B71CB1"/>
    <w:rsid w:val="00B71CF3"/>
    <w:rsid w:val="00B71EC2"/>
    <w:rsid w:val="00B72221"/>
    <w:rsid w:val="00B7236D"/>
    <w:rsid w:val="00B72453"/>
    <w:rsid w:val="00B72AA0"/>
    <w:rsid w:val="00B72AAD"/>
    <w:rsid w:val="00B72B90"/>
    <w:rsid w:val="00B733F4"/>
    <w:rsid w:val="00B7370E"/>
    <w:rsid w:val="00B73814"/>
    <w:rsid w:val="00B73AE1"/>
    <w:rsid w:val="00B73E6C"/>
    <w:rsid w:val="00B742CB"/>
    <w:rsid w:val="00B74BB6"/>
    <w:rsid w:val="00B74CE4"/>
    <w:rsid w:val="00B74D61"/>
    <w:rsid w:val="00B74FEB"/>
    <w:rsid w:val="00B7502E"/>
    <w:rsid w:val="00B752D1"/>
    <w:rsid w:val="00B752E8"/>
    <w:rsid w:val="00B75551"/>
    <w:rsid w:val="00B757EA"/>
    <w:rsid w:val="00B75DC6"/>
    <w:rsid w:val="00B76342"/>
    <w:rsid w:val="00B76773"/>
    <w:rsid w:val="00B76B14"/>
    <w:rsid w:val="00B77016"/>
    <w:rsid w:val="00B7702A"/>
    <w:rsid w:val="00B77554"/>
    <w:rsid w:val="00B776C8"/>
    <w:rsid w:val="00B777C7"/>
    <w:rsid w:val="00B77801"/>
    <w:rsid w:val="00B80393"/>
    <w:rsid w:val="00B803AB"/>
    <w:rsid w:val="00B803E3"/>
    <w:rsid w:val="00B80444"/>
    <w:rsid w:val="00B80773"/>
    <w:rsid w:val="00B80A60"/>
    <w:rsid w:val="00B80CA0"/>
    <w:rsid w:val="00B80FDE"/>
    <w:rsid w:val="00B81199"/>
    <w:rsid w:val="00B8130F"/>
    <w:rsid w:val="00B81407"/>
    <w:rsid w:val="00B81AE3"/>
    <w:rsid w:val="00B81B22"/>
    <w:rsid w:val="00B81C66"/>
    <w:rsid w:val="00B81D98"/>
    <w:rsid w:val="00B81EAE"/>
    <w:rsid w:val="00B82630"/>
    <w:rsid w:val="00B82648"/>
    <w:rsid w:val="00B826CC"/>
    <w:rsid w:val="00B82702"/>
    <w:rsid w:val="00B8278E"/>
    <w:rsid w:val="00B829C0"/>
    <w:rsid w:val="00B82AD0"/>
    <w:rsid w:val="00B83349"/>
    <w:rsid w:val="00B83420"/>
    <w:rsid w:val="00B83447"/>
    <w:rsid w:val="00B83557"/>
    <w:rsid w:val="00B835D2"/>
    <w:rsid w:val="00B83922"/>
    <w:rsid w:val="00B83A0F"/>
    <w:rsid w:val="00B83BAC"/>
    <w:rsid w:val="00B83D53"/>
    <w:rsid w:val="00B83E46"/>
    <w:rsid w:val="00B84605"/>
    <w:rsid w:val="00B84885"/>
    <w:rsid w:val="00B84EF8"/>
    <w:rsid w:val="00B85226"/>
    <w:rsid w:val="00B85651"/>
    <w:rsid w:val="00B85774"/>
    <w:rsid w:val="00B862F3"/>
    <w:rsid w:val="00B86A97"/>
    <w:rsid w:val="00B86AAA"/>
    <w:rsid w:val="00B873DB"/>
    <w:rsid w:val="00B8740E"/>
    <w:rsid w:val="00B87558"/>
    <w:rsid w:val="00B875BB"/>
    <w:rsid w:val="00B875CE"/>
    <w:rsid w:val="00B87A9B"/>
    <w:rsid w:val="00B9015C"/>
    <w:rsid w:val="00B905D8"/>
    <w:rsid w:val="00B9065E"/>
    <w:rsid w:val="00B90F24"/>
    <w:rsid w:val="00B914FC"/>
    <w:rsid w:val="00B915B1"/>
    <w:rsid w:val="00B91C07"/>
    <w:rsid w:val="00B91D36"/>
    <w:rsid w:val="00B92687"/>
    <w:rsid w:val="00B92F65"/>
    <w:rsid w:val="00B9368D"/>
    <w:rsid w:val="00B93755"/>
    <w:rsid w:val="00B939EF"/>
    <w:rsid w:val="00B93D11"/>
    <w:rsid w:val="00B94076"/>
    <w:rsid w:val="00B944DE"/>
    <w:rsid w:val="00B94720"/>
    <w:rsid w:val="00B94749"/>
    <w:rsid w:val="00B94775"/>
    <w:rsid w:val="00B94DC2"/>
    <w:rsid w:val="00B954C5"/>
    <w:rsid w:val="00B956CE"/>
    <w:rsid w:val="00B95CE8"/>
    <w:rsid w:val="00B95D9D"/>
    <w:rsid w:val="00B95EAD"/>
    <w:rsid w:val="00B95EF8"/>
    <w:rsid w:val="00B964EB"/>
    <w:rsid w:val="00B96FF9"/>
    <w:rsid w:val="00B97361"/>
    <w:rsid w:val="00B974D8"/>
    <w:rsid w:val="00B97624"/>
    <w:rsid w:val="00B978A3"/>
    <w:rsid w:val="00B97AEC"/>
    <w:rsid w:val="00BA0355"/>
    <w:rsid w:val="00BA0357"/>
    <w:rsid w:val="00BA0551"/>
    <w:rsid w:val="00BA0A07"/>
    <w:rsid w:val="00BA0AE6"/>
    <w:rsid w:val="00BA0D83"/>
    <w:rsid w:val="00BA0F04"/>
    <w:rsid w:val="00BA1031"/>
    <w:rsid w:val="00BA10B3"/>
    <w:rsid w:val="00BA115E"/>
    <w:rsid w:val="00BA1835"/>
    <w:rsid w:val="00BA19E0"/>
    <w:rsid w:val="00BA1DB6"/>
    <w:rsid w:val="00BA2250"/>
    <w:rsid w:val="00BA23CD"/>
    <w:rsid w:val="00BA249F"/>
    <w:rsid w:val="00BA26DF"/>
    <w:rsid w:val="00BA26EE"/>
    <w:rsid w:val="00BA2A75"/>
    <w:rsid w:val="00BA2EEB"/>
    <w:rsid w:val="00BA36D5"/>
    <w:rsid w:val="00BA36FD"/>
    <w:rsid w:val="00BA385A"/>
    <w:rsid w:val="00BA3B2A"/>
    <w:rsid w:val="00BA3BCD"/>
    <w:rsid w:val="00BA3BD5"/>
    <w:rsid w:val="00BA3CE8"/>
    <w:rsid w:val="00BA3D52"/>
    <w:rsid w:val="00BA4438"/>
    <w:rsid w:val="00BA446A"/>
    <w:rsid w:val="00BA4489"/>
    <w:rsid w:val="00BA4849"/>
    <w:rsid w:val="00BA4953"/>
    <w:rsid w:val="00BA4BFE"/>
    <w:rsid w:val="00BA5204"/>
    <w:rsid w:val="00BA530E"/>
    <w:rsid w:val="00BA536E"/>
    <w:rsid w:val="00BA5FBC"/>
    <w:rsid w:val="00BA6506"/>
    <w:rsid w:val="00BA66F9"/>
    <w:rsid w:val="00BA6E49"/>
    <w:rsid w:val="00BA7000"/>
    <w:rsid w:val="00BA701D"/>
    <w:rsid w:val="00BA712C"/>
    <w:rsid w:val="00BA712E"/>
    <w:rsid w:val="00BA71DE"/>
    <w:rsid w:val="00BA764D"/>
    <w:rsid w:val="00BA777E"/>
    <w:rsid w:val="00BA79B5"/>
    <w:rsid w:val="00BA79F4"/>
    <w:rsid w:val="00BA7F87"/>
    <w:rsid w:val="00BB0047"/>
    <w:rsid w:val="00BB018B"/>
    <w:rsid w:val="00BB0356"/>
    <w:rsid w:val="00BB0362"/>
    <w:rsid w:val="00BB057B"/>
    <w:rsid w:val="00BB0967"/>
    <w:rsid w:val="00BB0A1D"/>
    <w:rsid w:val="00BB0D06"/>
    <w:rsid w:val="00BB0FAE"/>
    <w:rsid w:val="00BB1658"/>
    <w:rsid w:val="00BB166B"/>
    <w:rsid w:val="00BB166F"/>
    <w:rsid w:val="00BB198C"/>
    <w:rsid w:val="00BB1A9D"/>
    <w:rsid w:val="00BB1B4B"/>
    <w:rsid w:val="00BB1C86"/>
    <w:rsid w:val="00BB1F15"/>
    <w:rsid w:val="00BB201C"/>
    <w:rsid w:val="00BB26F4"/>
    <w:rsid w:val="00BB2816"/>
    <w:rsid w:val="00BB2D98"/>
    <w:rsid w:val="00BB313D"/>
    <w:rsid w:val="00BB37DC"/>
    <w:rsid w:val="00BB3AD9"/>
    <w:rsid w:val="00BB448C"/>
    <w:rsid w:val="00BB4791"/>
    <w:rsid w:val="00BB4C12"/>
    <w:rsid w:val="00BB521F"/>
    <w:rsid w:val="00BB5562"/>
    <w:rsid w:val="00BB56C8"/>
    <w:rsid w:val="00BB580C"/>
    <w:rsid w:val="00BB618A"/>
    <w:rsid w:val="00BB698A"/>
    <w:rsid w:val="00BB6A9D"/>
    <w:rsid w:val="00BB6ABC"/>
    <w:rsid w:val="00BB6C60"/>
    <w:rsid w:val="00BB6C64"/>
    <w:rsid w:val="00BB6C97"/>
    <w:rsid w:val="00BB71F3"/>
    <w:rsid w:val="00BB7568"/>
    <w:rsid w:val="00BB76E3"/>
    <w:rsid w:val="00BB7786"/>
    <w:rsid w:val="00BB7AD1"/>
    <w:rsid w:val="00BB7D06"/>
    <w:rsid w:val="00BB7FC1"/>
    <w:rsid w:val="00BC04EB"/>
    <w:rsid w:val="00BC0510"/>
    <w:rsid w:val="00BC0536"/>
    <w:rsid w:val="00BC05A8"/>
    <w:rsid w:val="00BC064F"/>
    <w:rsid w:val="00BC0847"/>
    <w:rsid w:val="00BC0C32"/>
    <w:rsid w:val="00BC0DF8"/>
    <w:rsid w:val="00BC13B1"/>
    <w:rsid w:val="00BC172F"/>
    <w:rsid w:val="00BC1967"/>
    <w:rsid w:val="00BC1ACB"/>
    <w:rsid w:val="00BC1D73"/>
    <w:rsid w:val="00BC1E2D"/>
    <w:rsid w:val="00BC1E3E"/>
    <w:rsid w:val="00BC2917"/>
    <w:rsid w:val="00BC2E0E"/>
    <w:rsid w:val="00BC30A6"/>
    <w:rsid w:val="00BC325B"/>
    <w:rsid w:val="00BC348E"/>
    <w:rsid w:val="00BC36AD"/>
    <w:rsid w:val="00BC3750"/>
    <w:rsid w:val="00BC3B39"/>
    <w:rsid w:val="00BC3B42"/>
    <w:rsid w:val="00BC3E48"/>
    <w:rsid w:val="00BC3EE8"/>
    <w:rsid w:val="00BC4041"/>
    <w:rsid w:val="00BC473D"/>
    <w:rsid w:val="00BC47EF"/>
    <w:rsid w:val="00BC4BC6"/>
    <w:rsid w:val="00BC4F70"/>
    <w:rsid w:val="00BC50AE"/>
    <w:rsid w:val="00BC50C5"/>
    <w:rsid w:val="00BC5193"/>
    <w:rsid w:val="00BC568E"/>
    <w:rsid w:val="00BC574E"/>
    <w:rsid w:val="00BC5760"/>
    <w:rsid w:val="00BC5920"/>
    <w:rsid w:val="00BC5A3D"/>
    <w:rsid w:val="00BC5B69"/>
    <w:rsid w:val="00BC5BA0"/>
    <w:rsid w:val="00BC5DFF"/>
    <w:rsid w:val="00BC63B5"/>
    <w:rsid w:val="00BC6434"/>
    <w:rsid w:val="00BC65F0"/>
    <w:rsid w:val="00BC6801"/>
    <w:rsid w:val="00BC6820"/>
    <w:rsid w:val="00BC6902"/>
    <w:rsid w:val="00BC6BB5"/>
    <w:rsid w:val="00BC6DFA"/>
    <w:rsid w:val="00BC6EC4"/>
    <w:rsid w:val="00BC7206"/>
    <w:rsid w:val="00BC728D"/>
    <w:rsid w:val="00BC7363"/>
    <w:rsid w:val="00BC756F"/>
    <w:rsid w:val="00BC78FA"/>
    <w:rsid w:val="00BC7B9F"/>
    <w:rsid w:val="00BC7CA3"/>
    <w:rsid w:val="00BD03A6"/>
    <w:rsid w:val="00BD0F17"/>
    <w:rsid w:val="00BD12A4"/>
    <w:rsid w:val="00BD1415"/>
    <w:rsid w:val="00BD14EA"/>
    <w:rsid w:val="00BD1665"/>
    <w:rsid w:val="00BD1786"/>
    <w:rsid w:val="00BD1810"/>
    <w:rsid w:val="00BD1954"/>
    <w:rsid w:val="00BD1B06"/>
    <w:rsid w:val="00BD2822"/>
    <w:rsid w:val="00BD2A24"/>
    <w:rsid w:val="00BD2CB9"/>
    <w:rsid w:val="00BD2D92"/>
    <w:rsid w:val="00BD2DF8"/>
    <w:rsid w:val="00BD3290"/>
    <w:rsid w:val="00BD36E4"/>
    <w:rsid w:val="00BD3993"/>
    <w:rsid w:val="00BD414C"/>
    <w:rsid w:val="00BD4333"/>
    <w:rsid w:val="00BD4691"/>
    <w:rsid w:val="00BD4827"/>
    <w:rsid w:val="00BD49C4"/>
    <w:rsid w:val="00BD4B0A"/>
    <w:rsid w:val="00BD4E9E"/>
    <w:rsid w:val="00BD5002"/>
    <w:rsid w:val="00BD51B6"/>
    <w:rsid w:val="00BD51F1"/>
    <w:rsid w:val="00BD52EC"/>
    <w:rsid w:val="00BD564E"/>
    <w:rsid w:val="00BD58BC"/>
    <w:rsid w:val="00BD5C6F"/>
    <w:rsid w:val="00BD5E2A"/>
    <w:rsid w:val="00BD6011"/>
    <w:rsid w:val="00BD6826"/>
    <w:rsid w:val="00BD6AB5"/>
    <w:rsid w:val="00BD6C7F"/>
    <w:rsid w:val="00BD6FD5"/>
    <w:rsid w:val="00BD7018"/>
    <w:rsid w:val="00BD7261"/>
    <w:rsid w:val="00BD7392"/>
    <w:rsid w:val="00BD7503"/>
    <w:rsid w:val="00BD7546"/>
    <w:rsid w:val="00BD779F"/>
    <w:rsid w:val="00BD7896"/>
    <w:rsid w:val="00BE0101"/>
    <w:rsid w:val="00BE04CC"/>
    <w:rsid w:val="00BE0724"/>
    <w:rsid w:val="00BE09CE"/>
    <w:rsid w:val="00BE134B"/>
    <w:rsid w:val="00BE1B28"/>
    <w:rsid w:val="00BE1BF4"/>
    <w:rsid w:val="00BE1CC8"/>
    <w:rsid w:val="00BE24C9"/>
    <w:rsid w:val="00BE24D6"/>
    <w:rsid w:val="00BE29A0"/>
    <w:rsid w:val="00BE300E"/>
    <w:rsid w:val="00BE3773"/>
    <w:rsid w:val="00BE3B67"/>
    <w:rsid w:val="00BE41B9"/>
    <w:rsid w:val="00BE4373"/>
    <w:rsid w:val="00BE44CB"/>
    <w:rsid w:val="00BE4853"/>
    <w:rsid w:val="00BE49DD"/>
    <w:rsid w:val="00BE4ADA"/>
    <w:rsid w:val="00BE4E9C"/>
    <w:rsid w:val="00BE4F8E"/>
    <w:rsid w:val="00BE5A1A"/>
    <w:rsid w:val="00BE5A62"/>
    <w:rsid w:val="00BE5B01"/>
    <w:rsid w:val="00BE5D0B"/>
    <w:rsid w:val="00BE60ED"/>
    <w:rsid w:val="00BE6157"/>
    <w:rsid w:val="00BE6252"/>
    <w:rsid w:val="00BE6275"/>
    <w:rsid w:val="00BE6415"/>
    <w:rsid w:val="00BE66BC"/>
    <w:rsid w:val="00BE686F"/>
    <w:rsid w:val="00BE6871"/>
    <w:rsid w:val="00BE6910"/>
    <w:rsid w:val="00BE72AC"/>
    <w:rsid w:val="00BE73E4"/>
    <w:rsid w:val="00BE766C"/>
    <w:rsid w:val="00BE78A5"/>
    <w:rsid w:val="00BE78EE"/>
    <w:rsid w:val="00BE790F"/>
    <w:rsid w:val="00BE7F9E"/>
    <w:rsid w:val="00BF052F"/>
    <w:rsid w:val="00BF05F6"/>
    <w:rsid w:val="00BF087C"/>
    <w:rsid w:val="00BF17E3"/>
    <w:rsid w:val="00BF187F"/>
    <w:rsid w:val="00BF1ADD"/>
    <w:rsid w:val="00BF227D"/>
    <w:rsid w:val="00BF241E"/>
    <w:rsid w:val="00BF2495"/>
    <w:rsid w:val="00BF26D2"/>
    <w:rsid w:val="00BF29DE"/>
    <w:rsid w:val="00BF2AA5"/>
    <w:rsid w:val="00BF3449"/>
    <w:rsid w:val="00BF352C"/>
    <w:rsid w:val="00BF3ADE"/>
    <w:rsid w:val="00BF3D1A"/>
    <w:rsid w:val="00BF442E"/>
    <w:rsid w:val="00BF484B"/>
    <w:rsid w:val="00BF4A60"/>
    <w:rsid w:val="00BF529F"/>
    <w:rsid w:val="00BF543E"/>
    <w:rsid w:val="00BF57FF"/>
    <w:rsid w:val="00BF5843"/>
    <w:rsid w:val="00BF5A2F"/>
    <w:rsid w:val="00BF5AED"/>
    <w:rsid w:val="00BF5E45"/>
    <w:rsid w:val="00BF5ED5"/>
    <w:rsid w:val="00BF648C"/>
    <w:rsid w:val="00BF6491"/>
    <w:rsid w:val="00BF680C"/>
    <w:rsid w:val="00BF6E7C"/>
    <w:rsid w:val="00BF72DD"/>
    <w:rsid w:val="00BF7544"/>
    <w:rsid w:val="00BF76CE"/>
    <w:rsid w:val="00BF7B04"/>
    <w:rsid w:val="00BF7C2A"/>
    <w:rsid w:val="00BF7F0C"/>
    <w:rsid w:val="00C002C2"/>
    <w:rsid w:val="00C00326"/>
    <w:rsid w:val="00C00426"/>
    <w:rsid w:val="00C0070C"/>
    <w:rsid w:val="00C007B0"/>
    <w:rsid w:val="00C00837"/>
    <w:rsid w:val="00C008E7"/>
    <w:rsid w:val="00C00B83"/>
    <w:rsid w:val="00C00C1F"/>
    <w:rsid w:val="00C00C90"/>
    <w:rsid w:val="00C01457"/>
    <w:rsid w:val="00C017A9"/>
    <w:rsid w:val="00C01C9A"/>
    <w:rsid w:val="00C01CE8"/>
    <w:rsid w:val="00C02CDB"/>
    <w:rsid w:val="00C02DF7"/>
    <w:rsid w:val="00C02E72"/>
    <w:rsid w:val="00C02F31"/>
    <w:rsid w:val="00C030A4"/>
    <w:rsid w:val="00C034D0"/>
    <w:rsid w:val="00C03859"/>
    <w:rsid w:val="00C03DA5"/>
    <w:rsid w:val="00C03E31"/>
    <w:rsid w:val="00C03EA9"/>
    <w:rsid w:val="00C03F18"/>
    <w:rsid w:val="00C03F42"/>
    <w:rsid w:val="00C0403A"/>
    <w:rsid w:val="00C04830"/>
    <w:rsid w:val="00C04CFA"/>
    <w:rsid w:val="00C050C0"/>
    <w:rsid w:val="00C05193"/>
    <w:rsid w:val="00C059BA"/>
    <w:rsid w:val="00C05E3A"/>
    <w:rsid w:val="00C06196"/>
    <w:rsid w:val="00C06718"/>
    <w:rsid w:val="00C0672B"/>
    <w:rsid w:val="00C06969"/>
    <w:rsid w:val="00C06993"/>
    <w:rsid w:val="00C069BB"/>
    <w:rsid w:val="00C07184"/>
    <w:rsid w:val="00C072F0"/>
    <w:rsid w:val="00C075B8"/>
    <w:rsid w:val="00C07694"/>
    <w:rsid w:val="00C077E1"/>
    <w:rsid w:val="00C0794F"/>
    <w:rsid w:val="00C07B44"/>
    <w:rsid w:val="00C07DEE"/>
    <w:rsid w:val="00C10196"/>
    <w:rsid w:val="00C106B8"/>
    <w:rsid w:val="00C109E2"/>
    <w:rsid w:val="00C10A51"/>
    <w:rsid w:val="00C10A94"/>
    <w:rsid w:val="00C114D0"/>
    <w:rsid w:val="00C119B7"/>
    <w:rsid w:val="00C11BE4"/>
    <w:rsid w:val="00C11DDA"/>
    <w:rsid w:val="00C12708"/>
    <w:rsid w:val="00C1273A"/>
    <w:rsid w:val="00C12F70"/>
    <w:rsid w:val="00C131B1"/>
    <w:rsid w:val="00C134D1"/>
    <w:rsid w:val="00C1352F"/>
    <w:rsid w:val="00C138F9"/>
    <w:rsid w:val="00C13E81"/>
    <w:rsid w:val="00C14067"/>
    <w:rsid w:val="00C146AA"/>
    <w:rsid w:val="00C1473C"/>
    <w:rsid w:val="00C14A5C"/>
    <w:rsid w:val="00C15247"/>
    <w:rsid w:val="00C152AC"/>
    <w:rsid w:val="00C152D6"/>
    <w:rsid w:val="00C154AB"/>
    <w:rsid w:val="00C15A65"/>
    <w:rsid w:val="00C15C6C"/>
    <w:rsid w:val="00C15D43"/>
    <w:rsid w:val="00C15DC7"/>
    <w:rsid w:val="00C15E48"/>
    <w:rsid w:val="00C15F9A"/>
    <w:rsid w:val="00C15FE0"/>
    <w:rsid w:val="00C164B3"/>
    <w:rsid w:val="00C16584"/>
    <w:rsid w:val="00C1678C"/>
    <w:rsid w:val="00C169BE"/>
    <w:rsid w:val="00C16A91"/>
    <w:rsid w:val="00C16D2A"/>
    <w:rsid w:val="00C17226"/>
    <w:rsid w:val="00C17511"/>
    <w:rsid w:val="00C17BF5"/>
    <w:rsid w:val="00C17E8F"/>
    <w:rsid w:val="00C20089"/>
    <w:rsid w:val="00C205A2"/>
    <w:rsid w:val="00C20799"/>
    <w:rsid w:val="00C20809"/>
    <w:rsid w:val="00C20FD2"/>
    <w:rsid w:val="00C21052"/>
    <w:rsid w:val="00C212F2"/>
    <w:rsid w:val="00C21685"/>
    <w:rsid w:val="00C21761"/>
    <w:rsid w:val="00C21EA2"/>
    <w:rsid w:val="00C22247"/>
    <w:rsid w:val="00C2245B"/>
    <w:rsid w:val="00C226EC"/>
    <w:rsid w:val="00C22736"/>
    <w:rsid w:val="00C22BEB"/>
    <w:rsid w:val="00C22BEC"/>
    <w:rsid w:val="00C22E34"/>
    <w:rsid w:val="00C22E9D"/>
    <w:rsid w:val="00C22F01"/>
    <w:rsid w:val="00C22FAF"/>
    <w:rsid w:val="00C2323C"/>
    <w:rsid w:val="00C23315"/>
    <w:rsid w:val="00C2352C"/>
    <w:rsid w:val="00C237B6"/>
    <w:rsid w:val="00C23A7F"/>
    <w:rsid w:val="00C23ADB"/>
    <w:rsid w:val="00C23E00"/>
    <w:rsid w:val="00C2400C"/>
    <w:rsid w:val="00C24963"/>
    <w:rsid w:val="00C25198"/>
    <w:rsid w:val="00C25516"/>
    <w:rsid w:val="00C256A0"/>
    <w:rsid w:val="00C25886"/>
    <w:rsid w:val="00C258C5"/>
    <w:rsid w:val="00C25F6C"/>
    <w:rsid w:val="00C26868"/>
    <w:rsid w:val="00C26A1B"/>
    <w:rsid w:val="00C26A32"/>
    <w:rsid w:val="00C27014"/>
    <w:rsid w:val="00C277C2"/>
    <w:rsid w:val="00C277C5"/>
    <w:rsid w:val="00C27878"/>
    <w:rsid w:val="00C27CEA"/>
    <w:rsid w:val="00C300E6"/>
    <w:rsid w:val="00C301F0"/>
    <w:rsid w:val="00C3177D"/>
    <w:rsid w:val="00C32137"/>
    <w:rsid w:val="00C328A3"/>
    <w:rsid w:val="00C32A3F"/>
    <w:rsid w:val="00C32B1A"/>
    <w:rsid w:val="00C3327E"/>
    <w:rsid w:val="00C337A7"/>
    <w:rsid w:val="00C33C66"/>
    <w:rsid w:val="00C3456E"/>
    <w:rsid w:val="00C345CE"/>
    <w:rsid w:val="00C3466C"/>
    <w:rsid w:val="00C347B4"/>
    <w:rsid w:val="00C34A1F"/>
    <w:rsid w:val="00C35097"/>
    <w:rsid w:val="00C35184"/>
    <w:rsid w:val="00C3544B"/>
    <w:rsid w:val="00C35969"/>
    <w:rsid w:val="00C35BD6"/>
    <w:rsid w:val="00C36BDE"/>
    <w:rsid w:val="00C37D29"/>
    <w:rsid w:val="00C405A1"/>
    <w:rsid w:val="00C4096F"/>
    <w:rsid w:val="00C40A9D"/>
    <w:rsid w:val="00C40AF4"/>
    <w:rsid w:val="00C40BE6"/>
    <w:rsid w:val="00C4110F"/>
    <w:rsid w:val="00C4116F"/>
    <w:rsid w:val="00C411C5"/>
    <w:rsid w:val="00C413A5"/>
    <w:rsid w:val="00C414C2"/>
    <w:rsid w:val="00C41501"/>
    <w:rsid w:val="00C416E9"/>
    <w:rsid w:val="00C41A9E"/>
    <w:rsid w:val="00C42498"/>
    <w:rsid w:val="00C426A2"/>
    <w:rsid w:val="00C429D0"/>
    <w:rsid w:val="00C42EF4"/>
    <w:rsid w:val="00C4314E"/>
    <w:rsid w:val="00C431E1"/>
    <w:rsid w:val="00C43376"/>
    <w:rsid w:val="00C43644"/>
    <w:rsid w:val="00C43740"/>
    <w:rsid w:val="00C4380D"/>
    <w:rsid w:val="00C43DDE"/>
    <w:rsid w:val="00C44188"/>
    <w:rsid w:val="00C442E3"/>
    <w:rsid w:val="00C4434B"/>
    <w:rsid w:val="00C44837"/>
    <w:rsid w:val="00C44C46"/>
    <w:rsid w:val="00C4525D"/>
    <w:rsid w:val="00C4531B"/>
    <w:rsid w:val="00C45570"/>
    <w:rsid w:val="00C45911"/>
    <w:rsid w:val="00C45944"/>
    <w:rsid w:val="00C45986"/>
    <w:rsid w:val="00C45A5E"/>
    <w:rsid w:val="00C460F0"/>
    <w:rsid w:val="00C4635B"/>
    <w:rsid w:val="00C463A4"/>
    <w:rsid w:val="00C4643C"/>
    <w:rsid w:val="00C469B7"/>
    <w:rsid w:val="00C46DC1"/>
    <w:rsid w:val="00C46EDD"/>
    <w:rsid w:val="00C47001"/>
    <w:rsid w:val="00C4718D"/>
    <w:rsid w:val="00C47BE5"/>
    <w:rsid w:val="00C47F4A"/>
    <w:rsid w:val="00C50022"/>
    <w:rsid w:val="00C50051"/>
    <w:rsid w:val="00C50535"/>
    <w:rsid w:val="00C50B00"/>
    <w:rsid w:val="00C51589"/>
    <w:rsid w:val="00C51E5A"/>
    <w:rsid w:val="00C51FAA"/>
    <w:rsid w:val="00C52442"/>
    <w:rsid w:val="00C52948"/>
    <w:rsid w:val="00C52A10"/>
    <w:rsid w:val="00C52B10"/>
    <w:rsid w:val="00C52C0A"/>
    <w:rsid w:val="00C52C20"/>
    <w:rsid w:val="00C52D51"/>
    <w:rsid w:val="00C52F58"/>
    <w:rsid w:val="00C53283"/>
    <w:rsid w:val="00C534C4"/>
    <w:rsid w:val="00C5362F"/>
    <w:rsid w:val="00C53642"/>
    <w:rsid w:val="00C53F34"/>
    <w:rsid w:val="00C54062"/>
    <w:rsid w:val="00C5408B"/>
    <w:rsid w:val="00C543DA"/>
    <w:rsid w:val="00C5457C"/>
    <w:rsid w:val="00C54CD2"/>
    <w:rsid w:val="00C5513E"/>
    <w:rsid w:val="00C554A1"/>
    <w:rsid w:val="00C55566"/>
    <w:rsid w:val="00C556C1"/>
    <w:rsid w:val="00C55740"/>
    <w:rsid w:val="00C55921"/>
    <w:rsid w:val="00C55AE3"/>
    <w:rsid w:val="00C55F14"/>
    <w:rsid w:val="00C5633C"/>
    <w:rsid w:val="00C56520"/>
    <w:rsid w:val="00C567A0"/>
    <w:rsid w:val="00C56825"/>
    <w:rsid w:val="00C56E6A"/>
    <w:rsid w:val="00C57425"/>
    <w:rsid w:val="00C5742B"/>
    <w:rsid w:val="00C57556"/>
    <w:rsid w:val="00C57963"/>
    <w:rsid w:val="00C57A4A"/>
    <w:rsid w:val="00C57D5D"/>
    <w:rsid w:val="00C57EB7"/>
    <w:rsid w:val="00C60CFD"/>
    <w:rsid w:val="00C60F7B"/>
    <w:rsid w:val="00C610BA"/>
    <w:rsid w:val="00C61A48"/>
    <w:rsid w:val="00C61CEB"/>
    <w:rsid w:val="00C61E56"/>
    <w:rsid w:val="00C61F48"/>
    <w:rsid w:val="00C620DF"/>
    <w:rsid w:val="00C62198"/>
    <w:rsid w:val="00C621D5"/>
    <w:rsid w:val="00C622A8"/>
    <w:rsid w:val="00C627B2"/>
    <w:rsid w:val="00C62991"/>
    <w:rsid w:val="00C62E94"/>
    <w:rsid w:val="00C62F09"/>
    <w:rsid w:val="00C630CD"/>
    <w:rsid w:val="00C63670"/>
    <w:rsid w:val="00C6386C"/>
    <w:rsid w:val="00C639F6"/>
    <w:rsid w:val="00C63E7B"/>
    <w:rsid w:val="00C6438F"/>
    <w:rsid w:val="00C643F0"/>
    <w:rsid w:val="00C644D8"/>
    <w:rsid w:val="00C6475F"/>
    <w:rsid w:val="00C64E1F"/>
    <w:rsid w:val="00C64FB7"/>
    <w:rsid w:val="00C65022"/>
    <w:rsid w:val="00C65217"/>
    <w:rsid w:val="00C65A96"/>
    <w:rsid w:val="00C65AFE"/>
    <w:rsid w:val="00C65CF0"/>
    <w:rsid w:val="00C661BC"/>
    <w:rsid w:val="00C663AE"/>
    <w:rsid w:val="00C666ED"/>
    <w:rsid w:val="00C667B8"/>
    <w:rsid w:val="00C667ED"/>
    <w:rsid w:val="00C667F2"/>
    <w:rsid w:val="00C66EFD"/>
    <w:rsid w:val="00C67367"/>
    <w:rsid w:val="00C675D2"/>
    <w:rsid w:val="00C67988"/>
    <w:rsid w:val="00C67ACD"/>
    <w:rsid w:val="00C67DD3"/>
    <w:rsid w:val="00C70113"/>
    <w:rsid w:val="00C702A4"/>
    <w:rsid w:val="00C70468"/>
    <w:rsid w:val="00C705EE"/>
    <w:rsid w:val="00C70634"/>
    <w:rsid w:val="00C70754"/>
    <w:rsid w:val="00C709DC"/>
    <w:rsid w:val="00C70CBD"/>
    <w:rsid w:val="00C70EC4"/>
    <w:rsid w:val="00C70ED3"/>
    <w:rsid w:val="00C7158B"/>
    <w:rsid w:val="00C71C70"/>
    <w:rsid w:val="00C71E62"/>
    <w:rsid w:val="00C71E81"/>
    <w:rsid w:val="00C71F54"/>
    <w:rsid w:val="00C720FB"/>
    <w:rsid w:val="00C72113"/>
    <w:rsid w:val="00C722C6"/>
    <w:rsid w:val="00C7262E"/>
    <w:rsid w:val="00C72A58"/>
    <w:rsid w:val="00C73CC9"/>
    <w:rsid w:val="00C74174"/>
    <w:rsid w:val="00C74245"/>
    <w:rsid w:val="00C742F6"/>
    <w:rsid w:val="00C74B5E"/>
    <w:rsid w:val="00C74C27"/>
    <w:rsid w:val="00C74C91"/>
    <w:rsid w:val="00C75F7F"/>
    <w:rsid w:val="00C75F9B"/>
    <w:rsid w:val="00C760CA"/>
    <w:rsid w:val="00C76314"/>
    <w:rsid w:val="00C76555"/>
    <w:rsid w:val="00C765AA"/>
    <w:rsid w:val="00C76913"/>
    <w:rsid w:val="00C76EEF"/>
    <w:rsid w:val="00C7717D"/>
    <w:rsid w:val="00C776FD"/>
    <w:rsid w:val="00C77CB8"/>
    <w:rsid w:val="00C80796"/>
    <w:rsid w:val="00C80B2C"/>
    <w:rsid w:val="00C80FD4"/>
    <w:rsid w:val="00C81177"/>
    <w:rsid w:val="00C81377"/>
    <w:rsid w:val="00C81402"/>
    <w:rsid w:val="00C8146F"/>
    <w:rsid w:val="00C816F3"/>
    <w:rsid w:val="00C81D56"/>
    <w:rsid w:val="00C81DA4"/>
    <w:rsid w:val="00C8200F"/>
    <w:rsid w:val="00C823C4"/>
    <w:rsid w:val="00C82887"/>
    <w:rsid w:val="00C82D0F"/>
    <w:rsid w:val="00C830A1"/>
    <w:rsid w:val="00C8332E"/>
    <w:rsid w:val="00C83AD5"/>
    <w:rsid w:val="00C83FAC"/>
    <w:rsid w:val="00C8413D"/>
    <w:rsid w:val="00C8414B"/>
    <w:rsid w:val="00C84BFA"/>
    <w:rsid w:val="00C84D86"/>
    <w:rsid w:val="00C851DA"/>
    <w:rsid w:val="00C853DA"/>
    <w:rsid w:val="00C85623"/>
    <w:rsid w:val="00C85769"/>
    <w:rsid w:val="00C85825"/>
    <w:rsid w:val="00C85836"/>
    <w:rsid w:val="00C85B5E"/>
    <w:rsid w:val="00C85DEC"/>
    <w:rsid w:val="00C85F10"/>
    <w:rsid w:val="00C8600A"/>
    <w:rsid w:val="00C86029"/>
    <w:rsid w:val="00C8605D"/>
    <w:rsid w:val="00C86197"/>
    <w:rsid w:val="00C86274"/>
    <w:rsid w:val="00C86353"/>
    <w:rsid w:val="00C86608"/>
    <w:rsid w:val="00C86C1E"/>
    <w:rsid w:val="00C86F87"/>
    <w:rsid w:val="00C86FE5"/>
    <w:rsid w:val="00C8720D"/>
    <w:rsid w:val="00C87705"/>
    <w:rsid w:val="00C87DC1"/>
    <w:rsid w:val="00C87DF4"/>
    <w:rsid w:val="00C87FEF"/>
    <w:rsid w:val="00C90028"/>
    <w:rsid w:val="00C90066"/>
    <w:rsid w:val="00C9008C"/>
    <w:rsid w:val="00C90575"/>
    <w:rsid w:val="00C906CD"/>
    <w:rsid w:val="00C90934"/>
    <w:rsid w:val="00C90A8D"/>
    <w:rsid w:val="00C90BF9"/>
    <w:rsid w:val="00C90EB0"/>
    <w:rsid w:val="00C91134"/>
    <w:rsid w:val="00C913A9"/>
    <w:rsid w:val="00C91797"/>
    <w:rsid w:val="00C91836"/>
    <w:rsid w:val="00C9196E"/>
    <w:rsid w:val="00C919FA"/>
    <w:rsid w:val="00C91AAA"/>
    <w:rsid w:val="00C91FAB"/>
    <w:rsid w:val="00C921DC"/>
    <w:rsid w:val="00C92257"/>
    <w:rsid w:val="00C9256D"/>
    <w:rsid w:val="00C926FA"/>
    <w:rsid w:val="00C927DA"/>
    <w:rsid w:val="00C928B1"/>
    <w:rsid w:val="00C92A4E"/>
    <w:rsid w:val="00C92C2D"/>
    <w:rsid w:val="00C9329A"/>
    <w:rsid w:val="00C9369E"/>
    <w:rsid w:val="00C936D1"/>
    <w:rsid w:val="00C93BE6"/>
    <w:rsid w:val="00C9404C"/>
    <w:rsid w:val="00C942BC"/>
    <w:rsid w:val="00C943AA"/>
    <w:rsid w:val="00C9451D"/>
    <w:rsid w:val="00C94856"/>
    <w:rsid w:val="00C949DD"/>
    <w:rsid w:val="00C94A54"/>
    <w:rsid w:val="00C94C68"/>
    <w:rsid w:val="00C94D00"/>
    <w:rsid w:val="00C94FD8"/>
    <w:rsid w:val="00C94FFF"/>
    <w:rsid w:val="00C95315"/>
    <w:rsid w:val="00C9532D"/>
    <w:rsid w:val="00C95AFC"/>
    <w:rsid w:val="00C95E6B"/>
    <w:rsid w:val="00C9624D"/>
    <w:rsid w:val="00C963B9"/>
    <w:rsid w:val="00C968A1"/>
    <w:rsid w:val="00C96DF0"/>
    <w:rsid w:val="00C970E0"/>
    <w:rsid w:val="00C97A08"/>
    <w:rsid w:val="00C97B35"/>
    <w:rsid w:val="00C97C81"/>
    <w:rsid w:val="00C97CFD"/>
    <w:rsid w:val="00C97DCC"/>
    <w:rsid w:val="00CA01E9"/>
    <w:rsid w:val="00CA0358"/>
    <w:rsid w:val="00CA037B"/>
    <w:rsid w:val="00CA05B4"/>
    <w:rsid w:val="00CA0699"/>
    <w:rsid w:val="00CA095E"/>
    <w:rsid w:val="00CA0B9A"/>
    <w:rsid w:val="00CA0C4D"/>
    <w:rsid w:val="00CA15B1"/>
    <w:rsid w:val="00CA1A0D"/>
    <w:rsid w:val="00CA1B06"/>
    <w:rsid w:val="00CA1B69"/>
    <w:rsid w:val="00CA2134"/>
    <w:rsid w:val="00CA2834"/>
    <w:rsid w:val="00CA2C3D"/>
    <w:rsid w:val="00CA2E3E"/>
    <w:rsid w:val="00CA35FC"/>
    <w:rsid w:val="00CA3AA6"/>
    <w:rsid w:val="00CA41B9"/>
    <w:rsid w:val="00CA4642"/>
    <w:rsid w:val="00CA4BB0"/>
    <w:rsid w:val="00CA4D55"/>
    <w:rsid w:val="00CA5237"/>
    <w:rsid w:val="00CA52BA"/>
    <w:rsid w:val="00CA57D4"/>
    <w:rsid w:val="00CA5EBD"/>
    <w:rsid w:val="00CA5EF8"/>
    <w:rsid w:val="00CA5F78"/>
    <w:rsid w:val="00CA601D"/>
    <w:rsid w:val="00CA6202"/>
    <w:rsid w:val="00CA69FB"/>
    <w:rsid w:val="00CA6ADA"/>
    <w:rsid w:val="00CA6C48"/>
    <w:rsid w:val="00CA6F79"/>
    <w:rsid w:val="00CA7276"/>
    <w:rsid w:val="00CA72F7"/>
    <w:rsid w:val="00CA74A9"/>
    <w:rsid w:val="00CA74C8"/>
    <w:rsid w:val="00CA7574"/>
    <w:rsid w:val="00CA7621"/>
    <w:rsid w:val="00CA79DA"/>
    <w:rsid w:val="00CA7A7C"/>
    <w:rsid w:val="00CA7F83"/>
    <w:rsid w:val="00CA7FF9"/>
    <w:rsid w:val="00CB0795"/>
    <w:rsid w:val="00CB0C7D"/>
    <w:rsid w:val="00CB0DA9"/>
    <w:rsid w:val="00CB0F6F"/>
    <w:rsid w:val="00CB1079"/>
    <w:rsid w:val="00CB115D"/>
    <w:rsid w:val="00CB1A1D"/>
    <w:rsid w:val="00CB1AF1"/>
    <w:rsid w:val="00CB1C04"/>
    <w:rsid w:val="00CB1D25"/>
    <w:rsid w:val="00CB1FA7"/>
    <w:rsid w:val="00CB21D9"/>
    <w:rsid w:val="00CB2236"/>
    <w:rsid w:val="00CB23BC"/>
    <w:rsid w:val="00CB2BB2"/>
    <w:rsid w:val="00CB2E7E"/>
    <w:rsid w:val="00CB319C"/>
    <w:rsid w:val="00CB3556"/>
    <w:rsid w:val="00CB3557"/>
    <w:rsid w:val="00CB3C76"/>
    <w:rsid w:val="00CB3E46"/>
    <w:rsid w:val="00CB446C"/>
    <w:rsid w:val="00CB44B2"/>
    <w:rsid w:val="00CB47C2"/>
    <w:rsid w:val="00CB48B6"/>
    <w:rsid w:val="00CB49E5"/>
    <w:rsid w:val="00CB4A6A"/>
    <w:rsid w:val="00CB4E4C"/>
    <w:rsid w:val="00CB54F6"/>
    <w:rsid w:val="00CB5709"/>
    <w:rsid w:val="00CB5719"/>
    <w:rsid w:val="00CB58DB"/>
    <w:rsid w:val="00CB5AA2"/>
    <w:rsid w:val="00CB5CBA"/>
    <w:rsid w:val="00CB5CCB"/>
    <w:rsid w:val="00CB6305"/>
    <w:rsid w:val="00CB6350"/>
    <w:rsid w:val="00CB6706"/>
    <w:rsid w:val="00CB6745"/>
    <w:rsid w:val="00CB6EC9"/>
    <w:rsid w:val="00CB73AD"/>
    <w:rsid w:val="00CB74CB"/>
    <w:rsid w:val="00CB7529"/>
    <w:rsid w:val="00CB760A"/>
    <w:rsid w:val="00CB7B82"/>
    <w:rsid w:val="00CB7DAC"/>
    <w:rsid w:val="00CC0373"/>
    <w:rsid w:val="00CC06BD"/>
    <w:rsid w:val="00CC089E"/>
    <w:rsid w:val="00CC0959"/>
    <w:rsid w:val="00CC0BF0"/>
    <w:rsid w:val="00CC0F9E"/>
    <w:rsid w:val="00CC129E"/>
    <w:rsid w:val="00CC1577"/>
    <w:rsid w:val="00CC158A"/>
    <w:rsid w:val="00CC1C42"/>
    <w:rsid w:val="00CC1CA4"/>
    <w:rsid w:val="00CC242D"/>
    <w:rsid w:val="00CC2463"/>
    <w:rsid w:val="00CC25DE"/>
    <w:rsid w:val="00CC27F9"/>
    <w:rsid w:val="00CC2A4D"/>
    <w:rsid w:val="00CC2D55"/>
    <w:rsid w:val="00CC2E2B"/>
    <w:rsid w:val="00CC2E7A"/>
    <w:rsid w:val="00CC3024"/>
    <w:rsid w:val="00CC3259"/>
    <w:rsid w:val="00CC351B"/>
    <w:rsid w:val="00CC3C57"/>
    <w:rsid w:val="00CC3D18"/>
    <w:rsid w:val="00CC41F2"/>
    <w:rsid w:val="00CC44D3"/>
    <w:rsid w:val="00CC475A"/>
    <w:rsid w:val="00CC48FE"/>
    <w:rsid w:val="00CC4904"/>
    <w:rsid w:val="00CC49F9"/>
    <w:rsid w:val="00CC4AA2"/>
    <w:rsid w:val="00CC4E3E"/>
    <w:rsid w:val="00CC513F"/>
    <w:rsid w:val="00CC5467"/>
    <w:rsid w:val="00CC5480"/>
    <w:rsid w:val="00CC57C9"/>
    <w:rsid w:val="00CC5828"/>
    <w:rsid w:val="00CC58AA"/>
    <w:rsid w:val="00CC5AE8"/>
    <w:rsid w:val="00CC5E00"/>
    <w:rsid w:val="00CC624F"/>
    <w:rsid w:val="00CC6295"/>
    <w:rsid w:val="00CC6421"/>
    <w:rsid w:val="00CC6485"/>
    <w:rsid w:val="00CC6605"/>
    <w:rsid w:val="00CC6748"/>
    <w:rsid w:val="00CC6BAB"/>
    <w:rsid w:val="00CC6D25"/>
    <w:rsid w:val="00CC6E64"/>
    <w:rsid w:val="00CC6E87"/>
    <w:rsid w:val="00CC7095"/>
    <w:rsid w:val="00CC75DF"/>
    <w:rsid w:val="00CC7885"/>
    <w:rsid w:val="00CD006F"/>
    <w:rsid w:val="00CD02D0"/>
    <w:rsid w:val="00CD0769"/>
    <w:rsid w:val="00CD08C1"/>
    <w:rsid w:val="00CD0A96"/>
    <w:rsid w:val="00CD0DE3"/>
    <w:rsid w:val="00CD0E80"/>
    <w:rsid w:val="00CD0FA3"/>
    <w:rsid w:val="00CD11DE"/>
    <w:rsid w:val="00CD11E8"/>
    <w:rsid w:val="00CD125B"/>
    <w:rsid w:val="00CD1953"/>
    <w:rsid w:val="00CD1A2A"/>
    <w:rsid w:val="00CD1C2D"/>
    <w:rsid w:val="00CD1CA5"/>
    <w:rsid w:val="00CD21CD"/>
    <w:rsid w:val="00CD281E"/>
    <w:rsid w:val="00CD291C"/>
    <w:rsid w:val="00CD2D92"/>
    <w:rsid w:val="00CD32F2"/>
    <w:rsid w:val="00CD3375"/>
    <w:rsid w:val="00CD3450"/>
    <w:rsid w:val="00CD36BA"/>
    <w:rsid w:val="00CD3823"/>
    <w:rsid w:val="00CD3BC1"/>
    <w:rsid w:val="00CD3FC9"/>
    <w:rsid w:val="00CD40DE"/>
    <w:rsid w:val="00CD44DA"/>
    <w:rsid w:val="00CD4609"/>
    <w:rsid w:val="00CD470B"/>
    <w:rsid w:val="00CD4E2B"/>
    <w:rsid w:val="00CD4EF3"/>
    <w:rsid w:val="00CD4F14"/>
    <w:rsid w:val="00CD52FB"/>
    <w:rsid w:val="00CD55E4"/>
    <w:rsid w:val="00CD588A"/>
    <w:rsid w:val="00CD5CAF"/>
    <w:rsid w:val="00CD5E68"/>
    <w:rsid w:val="00CD69B6"/>
    <w:rsid w:val="00CD6C01"/>
    <w:rsid w:val="00CD6F71"/>
    <w:rsid w:val="00CD7254"/>
    <w:rsid w:val="00CD743A"/>
    <w:rsid w:val="00CD788F"/>
    <w:rsid w:val="00CD79BC"/>
    <w:rsid w:val="00CD7B93"/>
    <w:rsid w:val="00CD7E84"/>
    <w:rsid w:val="00CE0092"/>
    <w:rsid w:val="00CE01A6"/>
    <w:rsid w:val="00CE01D7"/>
    <w:rsid w:val="00CE0291"/>
    <w:rsid w:val="00CE0429"/>
    <w:rsid w:val="00CE04F4"/>
    <w:rsid w:val="00CE0B0E"/>
    <w:rsid w:val="00CE17B0"/>
    <w:rsid w:val="00CE1AA1"/>
    <w:rsid w:val="00CE1F88"/>
    <w:rsid w:val="00CE2051"/>
    <w:rsid w:val="00CE285B"/>
    <w:rsid w:val="00CE29E6"/>
    <w:rsid w:val="00CE2CC5"/>
    <w:rsid w:val="00CE2DFE"/>
    <w:rsid w:val="00CE2FD3"/>
    <w:rsid w:val="00CE317B"/>
    <w:rsid w:val="00CE3249"/>
    <w:rsid w:val="00CE3304"/>
    <w:rsid w:val="00CE355A"/>
    <w:rsid w:val="00CE3583"/>
    <w:rsid w:val="00CE3ACC"/>
    <w:rsid w:val="00CE3B64"/>
    <w:rsid w:val="00CE3F25"/>
    <w:rsid w:val="00CE42FF"/>
    <w:rsid w:val="00CE4B68"/>
    <w:rsid w:val="00CE4CBD"/>
    <w:rsid w:val="00CE4D0C"/>
    <w:rsid w:val="00CE4E31"/>
    <w:rsid w:val="00CE4ED8"/>
    <w:rsid w:val="00CE502E"/>
    <w:rsid w:val="00CE5087"/>
    <w:rsid w:val="00CE519B"/>
    <w:rsid w:val="00CE5614"/>
    <w:rsid w:val="00CE56E4"/>
    <w:rsid w:val="00CE592C"/>
    <w:rsid w:val="00CE5D5B"/>
    <w:rsid w:val="00CE5EA1"/>
    <w:rsid w:val="00CE5F80"/>
    <w:rsid w:val="00CE615A"/>
    <w:rsid w:val="00CE64A3"/>
    <w:rsid w:val="00CE67B2"/>
    <w:rsid w:val="00CE698F"/>
    <w:rsid w:val="00CE738D"/>
    <w:rsid w:val="00CE7BAF"/>
    <w:rsid w:val="00CE7C0E"/>
    <w:rsid w:val="00CF00E3"/>
    <w:rsid w:val="00CF04F7"/>
    <w:rsid w:val="00CF0670"/>
    <w:rsid w:val="00CF09F8"/>
    <w:rsid w:val="00CF0B53"/>
    <w:rsid w:val="00CF0DB4"/>
    <w:rsid w:val="00CF182F"/>
    <w:rsid w:val="00CF194B"/>
    <w:rsid w:val="00CF1B73"/>
    <w:rsid w:val="00CF1EA3"/>
    <w:rsid w:val="00CF1EC2"/>
    <w:rsid w:val="00CF2093"/>
    <w:rsid w:val="00CF22FF"/>
    <w:rsid w:val="00CF2742"/>
    <w:rsid w:val="00CF2B7B"/>
    <w:rsid w:val="00CF2DBF"/>
    <w:rsid w:val="00CF2E18"/>
    <w:rsid w:val="00CF2E58"/>
    <w:rsid w:val="00CF2F7E"/>
    <w:rsid w:val="00CF3292"/>
    <w:rsid w:val="00CF3315"/>
    <w:rsid w:val="00CF3316"/>
    <w:rsid w:val="00CF338D"/>
    <w:rsid w:val="00CF3534"/>
    <w:rsid w:val="00CF3AF1"/>
    <w:rsid w:val="00CF3D02"/>
    <w:rsid w:val="00CF3E96"/>
    <w:rsid w:val="00CF48BA"/>
    <w:rsid w:val="00CF504D"/>
    <w:rsid w:val="00CF51B5"/>
    <w:rsid w:val="00CF5469"/>
    <w:rsid w:val="00CF59F1"/>
    <w:rsid w:val="00CF5B26"/>
    <w:rsid w:val="00CF5FBB"/>
    <w:rsid w:val="00CF5FC3"/>
    <w:rsid w:val="00CF6038"/>
    <w:rsid w:val="00CF607D"/>
    <w:rsid w:val="00CF701A"/>
    <w:rsid w:val="00CF769C"/>
    <w:rsid w:val="00CF7B86"/>
    <w:rsid w:val="00CF7F1F"/>
    <w:rsid w:val="00CF7FC2"/>
    <w:rsid w:val="00D003F3"/>
    <w:rsid w:val="00D00603"/>
    <w:rsid w:val="00D008C8"/>
    <w:rsid w:val="00D00919"/>
    <w:rsid w:val="00D00A9F"/>
    <w:rsid w:val="00D00BBF"/>
    <w:rsid w:val="00D00DF7"/>
    <w:rsid w:val="00D01148"/>
    <w:rsid w:val="00D014C0"/>
    <w:rsid w:val="00D01871"/>
    <w:rsid w:val="00D019BE"/>
    <w:rsid w:val="00D01CB8"/>
    <w:rsid w:val="00D01D84"/>
    <w:rsid w:val="00D01F27"/>
    <w:rsid w:val="00D02398"/>
    <w:rsid w:val="00D02613"/>
    <w:rsid w:val="00D0278C"/>
    <w:rsid w:val="00D029B3"/>
    <w:rsid w:val="00D02B52"/>
    <w:rsid w:val="00D02BD1"/>
    <w:rsid w:val="00D02D1D"/>
    <w:rsid w:val="00D02E36"/>
    <w:rsid w:val="00D02F1D"/>
    <w:rsid w:val="00D02F53"/>
    <w:rsid w:val="00D02FE0"/>
    <w:rsid w:val="00D03B0C"/>
    <w:rsid w:val="00D03D6B"/>
    <w:rsid w:val="00D04262"/>
    <w:rsid w:val="00D0441C"/>
    <w:rsid w:val="00D04707"/>
    <w:rsid w:val="00D04889"/>
    <w:rsid w:val="00D04AE9"/>
    <w:rsid w:val="00D04B96"/>
    <w:rsid w:val="00D04C35"/>
    <w:rsid w:val="00D056F3"/>
    <w:rsid w:val="00D0571E"/>
    <w:rsid w:val="00D05A80"/>
    <w:rsid w:val="00D06194"/>
    <w:rsid w:val="00D0619D"/>
    <w:rsid w:val="00D06709"/>
    <w:rsid w:val="00D06A95"/>
    <w:rsid w:val="00D06DA4"/>
    <w:rsid w:val="00D06EDC"/>
    <w:rsid w:val="00D0721D"/>
    <w:rsid w:val="00D07294"/>
    <w:rsid w:val="00D07480"/>
    <w:rsid w:val="00D07B17"/>
    <w:rsid w:val="00D1050C"/>
    <w:rsid w:val="00D10AA3"/>
    <w:rsid w:val="00D10B2F"/>
    <w:rsid w:val="00D10EE5"/>
    <w:rsid w:val="00D10FE5"/>
    <w:rsid w:val="00D113CB"/>
    <w:rsid w:val="00D114EC"/>
    <w:rsid w:val="00D11574"/>
    <w:rsid w:val="00D118DC"/>
    <w:rsid w:val="00D1191F"/>
    <w:rsid w:val="00D11942"/>
    <w:rsid w:val="00D11F6A"/>
    <w:rsid w:val="00D125B4"/>
    <w:rsid w:val="00D12A7F"/>
    <w:rsid w:val="00D12E76"/>
    <w:rsid w:val="00D13344"/>
    <w:rsid w:val="00D1350D"/>
    <w:rsid w:val="00D13C0E"/>
    <w:rsid w:val="00D13D60"/>
    <w:rsid w:val="00D13D7E"/>
    <w:rsid w:val="00D13E2D"/>
    <w:rsid w:val="00D14165"/>
    <w:rsid w:val="00D1434D"/>
    <w:rsid w:val="00D1435B"/>
    <w:rsid w:val="00D143F5"/>
    <w:rsid w:val="00D14456"/>
    <w:rsid w:val="00D146E0"/>
    <w:rsid w:val="00D14C98"/>
    <w:rsid w:val="00D14CB8"/>
    <w:rsid w:val="00D156C9"/>
    <w:rsid w:val="00D1578A"/>
    <w:rsid w:val="00D15A0D"/>
    <w:rsid w:val="00D15B4E"/>
    <w:rsid w:val="00D167B7"/>
    <w:rsid w:val="00D169C5"/>
    <w:rsid w:val="00D16BE6"/>
    <w:rsid w:val="00D16D52"/>
    <w:rsid w:val="00D170F1"/>
    <w:rsid w:val="00D17129"/>
    <w:rsid w:val="00D176D7"/>
    <w:rsid w:val="00D17B0F"/>
    <w:rsid w:val="00D17D5A"/>
    <w:rsid w:val="00D202A5"/>
    <w:rsid w:val="00D202C3"/>
    <w:rsid w:val="00D203E7"/>
    <w:rsid w:val="00D2043B"/>
    <w:rsid w:val="00D2069D"/>
    <w:rsid w:val="00D20A45"/>
    <w:rsid w:val="00D20DFB"/>
    <w:rsid w:val="00D213F9"/>
    <w:rsid w:val="00D215B1"/>
    <w:rsid w:val="00D21DC0"/>
    <w:rsid w:val="00D2219E"/>
    <w:rsid w:val="00D2276D"/>
    <w:rsid w:val="00D227F2"/>
    <w:rsid w:val="00D228C1"/>
    <w:rsid w:val="00D22BA2"/>
    <w:rsid w:val="00D22BB3"/>
    <w:rsid w:val="00D22CEA"/>
    <w:rsid w:val="00D22F6F"/>
    <w:rsid w:val="00D230CB"/>
    <w:rsid w:val="00D231FA"/>
    <w:rsid w:val="00D2330E"/>
    <w:rsid w:val="00D23441"/>
    <w:rsid w:val="00D235DD"/>
    <w:rsid w:val="00D23A10"/>
    <w:rsid w:val="00D23A9D"/>
    <w:rsid w:val="00D23B7A"/>
    <w:rsid w:val="00D23C29"/>
    <w:rsid w:val="00D24113"/>
    <w:rsid w:val="00D248F6"/>
    <w:rsid w:val="00D24B37"/>
    <w:rsid w:val="00D24C91"/>
    <w:rsid w:val="00D25092"/>
    <w:rsid w:val="00D25198"/>
    <w:rsid w:val="00D252D4"/>
    <w:rsid w:val="00D25966"/>
    <w:rsid w:val="00D25C88"/>
    <w:rsid w:val="00D25CB8"/>
    <w:rsid w:val="00D263F7"/>
    <w:rsid w:val="00D26A28"/>
    <w:rsid w:val="00D26B97"/>
    <w:rsid w:val="00D26E67"/>
    <w:rsid w:val="00D2706E"/>
    <w:rsid w:val="00D27745"/>
    <w:rsid w:val="00D278E4"/>
    <w:rsid w:val="00D27910"/>
    <w:rsid w:val="00D27946"/>
    <w:rsid w:val="00D279B1"/>
    <w:rsid w:val="00D27B0B"/>
    <w:rsid w:val="00D27D82"/>
    <w:rsid w:val="00D27F84"/>
    <w:rsid w:val="00D27FD8"/>
    <w:rsid w:val="00D306AC"/>
    <w:rsid w:val="00D30A9A"/>
    <w:rsid w:val="00D30AFA"/>
    <w:rsid w:val="00D30B25"/>
    <w:rsid w:val="00D30D72"/>
    <w:rsid w:val="00D30FDF"/>
    <w:rsid w:val="00D31173"/>
    <w:rsid w:val="00D31561"/>
    <w:rsid w:val="00D316F5"/>
    <w:rsid w:val="00D31B93"/>
    <w:rsid w:val="00D31BEA"/>
    <w:rsid w:val="00D3219B"/>
    <w:rsid w:val="00D3233B"/>
    <w:rsid w:val="00D324A7"/>
    <w:rsid w:val="00D332A6"/>
    <w:rsid w:val="00D33385"/>
    <w:rsid w:val="00D33C98"/>
    <w:rsid w:val="00D33DF4"/>
    <w:rsid w:val="00D33F76"/>
    <w:rsid w:val="00D34243"/>
    <w:rsid w:val="00D3489E"/>
    <w:rsid w:val="00D34BA1"/>
    <w:rsid w:val="00D34BA3"/>
    <w:rsid w:val="00D34F51"/>
    <w:rsid w:val="00D354F4"/>
    <w:rsid w:val="00D358D9"/>
    <w:rsid w:val="00D3594F"/>
    <w:rsid w:val="00D35DBD"/>
    <w:rsid w:val="00D36170"/>
    <w:rsid w:val="00D362FA"/>
    <w:rsid w:val="00D36304"/>
    <w:rsid w:val="00D36941"/>
    <w:rsid w:val="00D36C26"/>
    <w:rsid w:val="00D36C8D"/>
    <w:rsid w:val="00D370F0"/>
    <w:rsid w:val="00D37422"/>
    <w:rsid w:val="00D37464"/>
    <w:rsid w:val="00D37504"/>
    <w:rsid w:val="00D37BF3"/>
    <w:rsid w:val="00D40060"/>
    <w:rsid w:val="00D40109"/>
    <w:rsid w:val="00D40866"/>
    <w:rsid w:val="00D40AB9"/>
    <w:rsid w:val="00D40B75"/>
    <w:rsid w:val="00D40DC4"/>
    <w:rsid w:val="00D4146A"/>
    <w:rsid w:val="00D416AC"/>
    <w:rsid w:val="00D41D5E"/>
    <w:rsid w:val="00D41EBC"/>
    <w:rsid w:val="00D4236A"/>
    <w:rsid w:val="00D4241A"/>
    <w:rsid w:val="00D4294C"/>
    <w:rsid w:val="00D42959"/>
    <w:rsid w:val="00D42C3B"/>
    <w:rsid w:val="00D43158"/>
    <w:rsid w:val="00D4317B"/>
    <w:rsid w:val="00D432F2"/>
    <w:rsid w:val="00D43C50"/>
    <w:rsid w:val="00D43EAA"/>
    <w:rsid w:val="00D43FB4"/>
    <w:rsid w:val="00D44191"/>
    <w:rsid w:val="00D44203"/>
    <w:rsid w:val="00D443EF"/>
    <w:rsid w:val="00D445E3"/>
    <w:rsid w:val="00D4479A"/>
    <w:rsid w:val="00D448CA"/>
    <w:rsid w:val="00D4498C"/>
    <w:rsid w:val="00D45029"/>
    <w:rsid w:val="00D450F7"/>
    <w:rsid w:val="00D452B1"/>
    <w:rsid w:val="00D456AE"/>
    <w:rsid w:val="00D45D47"/>
    <w:rsid w:val="00D45F3E"/>
    <w:rsid w:val="00D45F6D"/>
    <w:rsid w:val="00D4632C"/>
    <w:rsid w:val="00D4636F"/>
    <w:rsid w:val="00D46397"/>
    <w:rsid w:val="00D464FE"/>
    <w:rsid w:val="00D4650E"/>
    <w:rsid w:val="00D46625"/>
    <w:rsid w:val="00D46686"/>
    <w:rsid w:val="00D46CC5"/>
    <w:rsid w:val="00D473B8"/>
    <w:rsid w:val="00D47461"/>
    <w:rsid w:val="00D47701"/>
    <w:rsid w:val="00D477FF"/>
    <w:rsid w:val="00D47AC8"/>
    <w:rsid w:val="00D47C9E"/>
    <w:rsid w:val="00D47FC6"/>
    <w:rsid w:val="00D5046C"/>
    <w:rsid w:val="00D505E2"/>
    <w:rsid w:val="00D5062D"/>
    <w:rsid w:val="00D509E5"/>
    <w:rsid w:val="00D50A7D"/>
    <w:rsid w:val="00D50FDB"/>
    <w:rsid w:val="00D51438"/>
    <w:rsid w:val="00D51817"/>
    <w:rsid w:val="00D51988"/>
    <w:rsid w:val="00D519D9"/>
    <w:rsid w:val="00D51A77"/>
    <w:rsid w:val="00D51AA6"/>
    <w:rsid w:val="00D51CEE"/>
    <w:rsid w:val="00D51ECC"/>
    <w:rsid w:val="00D5258A"/>
    <w:rsid w:val="00D5280F"/>
    <w:rsid w:val="00D52B4F"/>
    <w:rsid w:val="00D52F2E"/>
    <w:rsid w:val="00D530F1"/>
    <w:rsid w:val="00D541D7"/>
    <w:rsid w:val="00D549A0"/>
    <w:rsid w:val="00D55B03"/>
    <w:rsid w:val="00D55C6A"/>
    <w:rsid w:val="00D5630B"/>
    <w:rsid w:val="00D5632C"/>
    <w:rsid w:val="00D566F5"/>
    <w:rsid w:val="00D5698C"/>
    <w:rsid w:val="00D56A92"/>
    <w:rsid w:val="00D57060"/>
    <w:rsid w:val="00D574FA"/>
    <w:rsid w:val="00D578EE"/>
    <w:rsid w:val="00D57910"/>
    <w:rsid w:val="00D5797B"/>
    <w:rsid w:val="00D57C22"/>
    <w:rsid w:val="00D57CD3"/>
    <w:rsid w:val="00D57DF2"/>
    <w:rsid w:val="00D57E68"/>
    <w:rsid w:val="00D601B2"/>
    <w:rsid w:val="00D6024A"/>
    <w:rsid w:val="00D6025D"/>
    <w:rsid w:val="00D60751"/>
    <w:rsid w:val="00D60994"/>
    <w:rsid w:val="00D614E0"/>
    <w:rsid w:val="00D61577"/>
    <w:rsid w:val="00D615AA"/>
    <w:rsid w:val="00D617DF"/>
    <w:rsid w:val="00D618E4"/>
    <w:rsid w:val="00D61AAA"/>
    <w:rsid w:val="00D61B05"/>
    <w:rsid w:val="00D61D22"/>
    <w:rsid w:val="00D620FA"/>
    <w:rsid w:val="00D62284"/>
    <w:rsid w:val="00D62859"/>
    <w:rsid w:val="00D62F59"/>
    <w:rsid w:val="00D6321E"/>
    <w:rsid w:val="00D6397C"/>
    <w:rsid w:val="00D63EA1"/>
    <w:rsid w:val="00D640A6"/>
    <w:rsid w:val="00D645B6"/>
    <w:rsid w:val="00D64B3C"/>
    <w:rsid w:val="00D65381"/>
    <w:rsid w:val="00D6578C"/>
    <w:rsid w:val="00D6580D"/>
    <w:rsid w:val="00D66512"/>
    <w:rsid w:val="00D66BB0"/>
    <w:rsid w:val="00D66D73"/>
    <w:rsid w:val="00D66F9C"/>
    <w:rsid w:val="00D6705D"/>
    <w:rsid w:val="00D67130"/>
    <w:rsid w:val="00D67789"/>
    <w:rsid w:val="00D67C02"/>
    <w:rsid w:val="00D702EF"/>
    <w:rsid w:val="00D707DD"/>
    <w:rsid w:val="00D708A3"/>
    <w:rsid w:val="00D709E5"/>
    <w:rsid w:val="00D70C40"/>
    <w:rsid w:val="00D7103C"/>
    <w:rsid w:val="00D7177B"/>
    <w:rsid w:val="00D71A37"/>
    <w:rsid w:val="00D71A99"/>
    <w:rsid w:val="00D71B93"/>
    <w:rsid w:val="00D71CBD"/>
    <w:rsid w:val="00D71DA4"/>
    <w:rsid w:val="00D71DC4"/>
    <w:rsid w:val="00D71E07"/>
    <w:rsid w:val="00D720D3"/>
    <w:rsid w:val="00D721AF"/>
    <w:rsid w:val="00D722AE"/>
    <w:rsid w:val="00D72365"/>
    <w:rsid w:val="00D72A98"/>
    <w:rsid w:val="00D72CA6"/>
    <w:rsid w:val="00D72DC4"/>
    <w:rsid w:val="00D72FA2"/>
    <w:rsid w:val="00D73DE7"/>
    <w:rsid w:val="00D73F7A"/>
    <w:rsid w:val="00D74060"/>
    <w:rsid w:val="00D74387"/>
    <w:rsid w:val="00D74446"/>
    <w:rsid w:val="00D74E62"/>
    <w:rsid w:val="00D74F7A"/>
    <w:rsid w:val="00D750EE"/>
    <w:rsid w:val="00D7574B"/>
    <w:rsid w:val="00D757D0"/>
    <w:rsid w:val="00D759DA"/>
    <w:rsid w:val="00D75E8E"/>
    <w:rsid w:val="00D75FD9"/>
    <w:rsid w:val="00D769DB"/>
    <w:rsid w:val="00D76FAF"/>
    <w:rsid w:val="00D77050"/>
    <w:rsid w:val="00D77591"/>
    <w:rsid w:val="00D7774D"/>
    <w:rsid w:val="00D77A20"/>
    <w:rsid w:val="00D77C10"/>
    <w:rsid w:val="00D802EF"/>
    <w:rsid w:val="00D80331"/>
    <w:rsid w:val="00D80C44"/>
    <w:rsid w:val="00D81017"/>
    <w:rsid w:val="00D810C2"/>
    <w:rsid w:val="00D810F4"/>
    <w:rsid w:val="00D81108"/>
    <w:rsid w:val="00D816C4"/>
    <w:rsid w:val="00D81A11"/>
    <w:rsid w:val="00D82163"/>
    <w:rsid w:val="00D823BE"/>
    <w:rsid w:val="00D82400"/>
    <w:rsid w:val="00D82686"/>
    <w:rsid w:val="00D829CF"/>
    <w:rsid w:val="00D82CD5"/>
    <w:rsid w:val="00D82E3B"/>
    <w:rsid w:val="00D83008"/>
    <w:rsid w:val="00D831D6"/>
    <w:rsid w:val="00D83FD5"/>
    <w:rsid w:val="00D84278"/>
    <w:rsid w:val="00D84633"/>
    <w:rsid w:val="00D846C3"/>
    <w:rsid w:val="00D847CB"/>
    <w:rsid w:val="00D84EAB"/>
    <w:rsid w:val="00D8505F"/>
    <w:rsid w:val="00D85282"/>
    <w:rsid w:val="00D853F5"/>
    <w:rsid w:val="00D85537"/>
    <w:rsid w:val="00D856FF"/>
    <w:rsid w:val="00D8588F"/>
    <w:rsid w:val="00D858DF"/>
    <w:rsid w:val="00D85A99"/>
    <w:rsid w:val="00D85BB8"/>
    <w:rsid w:val="00D85BEC"/>
    <w:rsid w:val="00D85D83"/>
    <w:rsid w:val="00D85FB4"/>
    <w:rsid w:val="00D85FD5"/>
    <w:rsid w:val="00D862CF"/>
    <w:rsid w:val="00D86A1A"/>
    <w:rsid w:val="00D87515"/>
    <w:rsid w:val="00D8792B"/>
    <w:rsid w:val="00D87B6C"/>
    <w:rsid w:val="00D87D78"/>
    <w:rsid w:val="00D87EBA"/>
    <w:rsid w:val="00D900F5"/>
    <w:rsid w:val="00D90433"/>
    <w:rsid w:val="00D90510"/>
    <w:rsid w:val="00D90567"/>
    <w:rsid w:val="00D90A49"/>
    <w:rsid w:val="00D90A5E"/>
    <w:rsid w:val="00D911DF"/>
    <w:rsid w:val="00D916EC"/>
    <w:rsid w:val="00D9187E"/>
    <w:rsid w:val="00D91A49"/>
    <w:rsid w:val="00D91BB1"/>
    <w:rsid w:val="00D92190"/>
    <w:rsid w:val="00D9232C"/>
    <w:rsid w:val="00D924F8"/>
    <w:rsid w:val="00D926A8"/>
    <w:rsid w:val="00D927C0"/>
    <w:rsid w:val="00D92951"/>
    <w:rsid w:val="00D92A2D"/>
    <w:rsid w:val="00D92B83"/>
    <w:rsid w:val="00D92FAE"/>
    <w:rsid w:val="00D930C7"/>
    <w:rsid w:val="00D93124"/>
    <w:rsid w:val="00D932EC"/>
    <w:rsid w:val="00D932ED"/>
    <w:rsid w:val="00D9332A"/>
    <w:rsid w:val="00D93677"/>
    <w:rsid w:val="00D9392F"/>
    <w:rsid w:val="00D939A5"/>
    <w:rsid w:val="00D93CC0"/>
    <w:rsid w:val="00D93E04"/>
    <w:rsid w:val="00D9444D"/>
    <w:rsid w:val="00D947FD"/>
    <w:rsid w:val="00D94884"/>
    <w:rsid w:val="00D949B0"/>
    <w:rsid w:val="00D949F1"/>
    <w:rsid w:val="00D94BE4"/>
    <w:rsid w:val="00D94C00"/>
    <w:rsid w:val="00D94ECD"/>
    <w:rsid w:val="00D9553F"/>
    <w:rsid w:val="00D95998"/>
    <w:rsid w:val="00D959B7"/>
    <w:rsid w:val="00D95AEA"/>
    <w:rsid w:val="00D95F68"/>
    <w:rsid w:val="00D9635A"/>
    <w:rsid w:val="00D96479"/>
    <w:rsid w:val="00D96BF5"/>
    <w:rsid w:val="00D96E3E"/>
    <w:rsid w:val="00D97212"/>
    <w:rsid w:val="00D97252"/>
    <w:rsid w:val="00D9737A"/>
    <w:rsid w:val="00D9767C"/>
    <w:rsid w:val="00D97813"/>
    <w:rsid w:val="00D97890"/>
    <w:rsid w:val="00D97B56"/>
    <w:rsid w:val="00D97BC8"/>
    <w:rsid w:val="00D97E80"/>
    <w:rsid w:val="00D97F35"/>
    <w:rsid w:val="00D97F9A"/>
    <w:rsid w:val="00D97FA6"/>
    <w:rsid w:val="00DA019E"/>
    <w:rsid w:val="00DA0449"/>
    <w:rsid w:val="00DA0A22"/>
    <w:rsid w:val="00DA0B50"/>
    <w:rsid w:val="00DA10D3"/>
    <w:rsid w:val="00DA1174"/>
    <w:rsid w:val="00DA1821"/>
    <w:rsid w:val="00DA1AA7"/>
    <w:rsid w:val="00DA1B5F"/>
    <w:rsid w:val="00DA1C62"/>
    <w:rsid w:val="00DA21B5"/>
    <w:rsid w:val="00DA2366"/>
    <w:rsid w:val="00DA2392"/>
    <w:rsid w:val="00DA257D"/>
    <w:rsid w:val="00DA2ACF"/>
    <w:rsid w:val="00DA2CD3"/>
    <w:rsid w:val="00DA3066"/>
    <w:rsid w:val="00DA322C"/>
    <w:rsid w:val="00DA32C9"/>
    <w:rsid w:val="00DA3DA2"/>
    <w:rsid w:val="00DA3F37"/>
    <w:rsid w:val="00DA3F50"/>
    <w:rsid w:val="00DA41BA"/>
    <w:rsid w:val="00DA41E5"/>
    <w:rsid w:val="00DA4222"/>
    <w:rsid w:val="00DA425F"/>
    <w:rsid w:val="00DA4351"/>
    <w:rsid w:val="00DA4359"/>
    <w:rsid w:val="00DA4B55"/>
    <w:rsid w:val="00DA4C3D"/>
    <w:rsid w:val="00DA4DFB"/>
    <w:rsid w:val="00DA506A"/>
    <w:rsid w:val="00DA529F"/>
    <w:rsid w:val="00DA538C"/>
    <w:rsid w:val="00DA549F"/>
    <w:rsid w:val="00DA54EE"/>
    <w:rsid w:val="00DA5BE5"/>
    <w:rsid w:val="00DA5BE7"/>
    <w:rsid w:val="00DA5C49"/>
    <w:rsid w:val="00DA5F1E"/>
    <w:rsid w:val="00DA626B"/>
    <w:rsid w:val="00DA631F"/>
    <w:rsid w:val="00DA699C"/>
    <w:rsid w:val="00DA6AAD"/>
    <w:rsid w:val="00DA6F86"/>
    <w:rsid w:val="00DA72C3"/>
    <w:rsid w:val="00DA77C1"/>
    <w:rsid w:val="00DA7C36"/>
    <w:rsid w:val="00DB092E"/>
    <w:rsid w:val="00DB0B13"/>
    <w:rsid w:val="00DB0D5D"/>
    <w:rsid w:val="00DB0F07"/>
    <w:rsid w:val="00DB1381"/>
    <w:rsid w:val="00DB1C16"/>
    <w:rsid w:val="00DB1C54"/>
    <w:rsid w:val="00DB1CAD"/>
    <w:rsid w:val="00DB24A3"/>
    <w:rsid w:val="00DB27D5"/>
    <w:rsid w:val="00DB2849"/>
    <w:rsid w:val="00DB30CA"/>
    <w:rsid w:val="00DB328F"/>
    <w:rsid w:val="00DB39EE"/>
    <w:rsid w:val="00DB3B1E"/>
    <w:rsid w:val="00DB3C11"/>
    <w:rsid w:val="00DB3F87"/>
    <w:rsid w:val="00DB43B0"/>
    <w:rsid w:val="00DB445E"/>
    <w:rsid w:val="00DB46AF"/>
    <w:rsid w:val="00DB47C6"/>
    <w:rsid w:val="00DB483D"/>
    <w:rsid w:val="00DB4867"/>
    <w:rsid w:val="00DB5058"/>
    <w:rsid w:val="00DB535B"/>
    <w:rsid w:val="00DB5A16"/>
    <w:rsid w:val="00DB62A9"/>
    <w:rsid w:val="00DB63C2"/>
    <w:rsid w:val="00DB6A32"/>
    <w:rsid w:val="00DB7208"/>
    <w:rsid w:val="00DB754C"/>
    <w:rsid w:val="00DB7DFF"/>
    <w:rsid w:val="00DB7F89"/>
    <w:rsid w:val="00DB7F9E"/>
    <w:rsid w:val="00DC0C43"/>
    <w:rsid w:val="00DC0C55"/>
    <w:rsid w:val="00DC0C65"/>
    <w:rsid w:val="00DC0FED"/>
    <w:rsid w:val="00DC12F2"/>
    <w:rsid w:val="00DC152E"/>
    <w:rsid w:val="00DC1C6A"/>
    <w:rsid w:val="00DC1D2A"/>
    <w:rsid w:val="00DC1E0C"/>
    <w:rsid w:val="00DC2297"/>
    <w:rsid w:val="00DC2440"/>
    <w:rsid w:val="00DC2471"/>
    <w:rsid w:val="00DC2999"/>
    <w:rsid w:val="00DC2CA9"/>
    <w:rsid w:val="00DC2CAA"/>
    <w:rsid w:val="00DC3140"/>
    <w:rsid w:val="00DC3423"/>
    <w:rsid w:val="00DC35B1"/>
    <w:rsid w:val="00DC36B6"/>
    <w:rsid w:val="00DC396B"/>
    <w:rsid w:val="00DC3A5F"/>
    <w:rsid w:val="00DC3B54"/>
    <w:rsid w:val="00DC3DD0"/>
    <w:rsid w:val="00DC3FD9"/>
    <w:rsid w:val="00DC4043"/>
    <w:rsid w:val="00DC4181"/>
    <w:rsid w:val="00DC4433"/>
    <w:rsid w:val="00DC4460"/>
    <w:rsid w:val="00DC45FB"/>
    <w:rsid w:val="00DC47CB"/>
    <w:rsid w:val="00DC508F"/>
    <w:rsid w:val="00DC51C7"/>
    <w:rsid w:val="00DC5CEC"/>
    <w:rsid w:val="00DC5D64"/>
    <w:rsid w:val="00DC5F66"/>
    <w:rsid w:val="00DC692C"/>
    <w:rsid w:val="00DC7102"/>
    <w:rsid w:val="00DC7757"/>
    <w:rsid w:val="00DC7E51"/>
    <w:rsid w:val="00DD02C1"/>
    <w:rsid w:val="00DD0384"/>
    <w:rsid w:val="00DD0CF4"/>
    <w:rsid w:val="00DD1137"/>
    <w:rsid w:val="00DD11E5"/>
    <w:rsid w:val="00DD1867"/>
    <w:rsid w:val="00DD1B64"/>
    <w:rsid w:val="00DD203A"/>
    <w:rsid w:val="00DD2185"/>
    <w:rsid w:val="00DD228F"/>
    <w:rsid w:val="00DD23ED"/>
    <w:rsid w:val="00DD24D9"/>
    <w:rsid w:val="00DD25FC"/>
    <w:rsid w:val="00DD2687"/>
    <w:rsid w:val="00DD26E1"/>
    <w:rsid w:val="00DD2DAC"/>
    <w:rsid w:val="00DD2EDD"/>
    <w:rsid w:val="00DD30AB"/>
    <w:rsid w:val="00DD338A"/>
    <w:rsid w:val="00DD39F8"/>
    <w:rsid w:val="00DD3ADA"/>
    <w:rsid w:val="00DD3D07"/>
    <w:rsid w:val="00DD3E3D"/>
    <w:rsid w:val="00DD431C"/>
    <w:rsid w:val="00DD48FC"/>
    <w:rsid w:val="00DD493F"/>
    <w:rsid w:val="00DD4A85"/>
    <w:rsid w:val="00DD4AC0"/>
    <w:rsid w:val="00DD4C6A"/>
    <w:rsid w:val="00DD4E08"/>
    <w:rsid w:val="00DD5019"/>
    <w:rsid w:val="00DD5853"/>
    <w:rsid w:val="00DD5A23"/>
    <w:rsid w:val="00DD5D11"/>
    <w:rsid w:val="00DD6716"/>
    <w:rsid w:val="00DD6B63"/>
    <w:rsid w:val="00DD6BB1"/>
    <w:rsid w:val="00DD6BE7"/>
    <w:rsid w:val="00DD6D00"/>
    <w:rsid w:val="00DD6DFB"/>
    <w:rsid w:val="00DD6EDC"/>
    <w:rsid w:val="00DD7332"/>
    <w:rsid w:val="00DD74E7"/>
    <w:rsid w:val="00DD756D"/>
    <w:rsid w:val="00DD7909"/>
    <w:rsid w:val="00DD7961"/>
    <w:rsid w:val="00DD7981"/>
    <w:rsid w:val="00DD7B69"/>
    <w:rsid w:val="00DD7DAB"/>
    <w:rsid w:val="00DE041D"/>
    <w:rsid w:val="00DE0760"/>
    <w:rsid w:val="00DE0822"/>
    <w:rsid w:val="00DE0BD5"/>
    <w:rsid w:val="00DE152C"/>
    <w:rsid w:val="00DE1626"/>
    <w:rsid w:val="00DE17B8"/>
    <w:rsid w:val="00DE1B3C"/>
    <w:rsid w:val="00DE1FFF"/>
    <w:rsid w:val="00DE20BF"/>
    <w:rsid w:val="00DE2BA5"/>
    <w:rsid w:val="00DE33E0"/>
    <w:rsid w:val="00DE34E3"/>
    <w:rsid w:val="00DE3556"/>
    <w:rsid w:val="00DE3995"/>
    <w:rsid w:val="00DE3A31"/>
    <w:rsid w:val="00DE3BA2"/>
    <w:rsid w:val="00DE3C0A"/>
    <w:rsid w:val="00DE3D07"/>
    <w:rsid w:val="00DE3D86"/>
    <w:rsid w:val="00DE3EB7"/>
    <w:rsid w:val="00DE3EE4"/>
    <w:rsid w:val="00DE40C3"/>
    <w:rsid w:val="00DE48CE"/>
    <w:rsid w:val="00DE4D03"/>
    <w:rsid w:val="00DE5147"/>
    <w:rsid w:val="00DE5541"/>
    <w:rsid w:val="00DE555C"/>
    <w:rsid w:val="00DE5606"/>
    <w:rsid w:val="00DE59EE"/>
    <w:rsid w:val="00DE5B38"/>
    <w:rsid w:val="00DE5D62"/>
    <w:rsid w:val="00DE61C1"/>
    <w:rsid w:val="00DE62E4"/>
    <w:rsid w:val="00DE62F5"/>
    <w:rsid w:val="00DE62FB"/>
    <w:rsid w:val="00DE6608"/>
    <w:rsid w:val="00DE6C46"/>
    <w:rsid w:val="00DE6CFB"/>
    <w:rsid w:val="00DE6D7D"/>
    <w:rsid w:val="00DE6E0A"/>
    <w:rsid w:val="00DE7260"/>
    <w:rsid w:val="00DE730C"/>
    <w:rsid w:val="00DE7A5C"/>
    <w:rsid w:val="00DF02F9"/>
    <w:rsid w:val="00DF0571"/>
    <w:rsid w:val="00DF08C1"/>
    <w:rsid w:val="00DF0A65"/>
    <w:rsid w:val="00DF103D"/>
    <w:rsid w:val="00DF1428"/>
    <w:rsid w:val="00DF1F53"/>
    <w:rsid w:val="00DF22F4"/>
    <w:rsid w:val="00DF2A99"/>
    <w:rsid w:val="00DF2B17"/>
    <w:rsid w:val="00DF2BC9"/>
    <w:rsid w:val="00DF2C3E"/>
    <w:rsid w:val="00DF30CC"/>
    <w:rsid w:val="00DF3175"/>
    <w:rsid w:val="00DF322B"/>
    <w:rsid w:val="00DF32E2"/>
    <w:rsid w:val="00DF382D"/>
    <w:rsid w:val="00DF3986"/>
    <w:rsid w:val="00DF3B7A"/>
    <w:rsid w:val="00DF4983"/>
    <w:rsid w:val="00DF4A86"/>
    <w:rsid w:val="00DF4C99"/>
    <w:rsid w:val="00DF50CA"/>
    <w:rsid w:val="00DF51FC"/>
    <w:rsid w:val="00DF52BF"/>
    <w:rsid w:val="00DF59C0"/>
    <w:rsid w:val="00DF5EC5"/>
    <w:rsid w:val="00DF6038"/>
    <w:rsid w:val="00DF608C"/>
    <w:rsid w:val="00DF6540"/>
    <w:rsid w:val="00DF6568"/>
    <w:rsid w:val="00DF666F"/>
    <w:rsid w:val="00DF66F1"/>
    <w:rsid w:val="00DF6CA0"/>
    <w:rsid w:val="00DF6D4B"/>
    <w:rsid w:val="00DF6E89"/>
    <w:rsid w:val="00DF7658"/>
    <w:rsid w:val="00DF7D55"/>
    <w:rsid w:val="00DF7D5F"/>
    <w:rsid w:val="00E0031A"/>
    <w:rsid w:val="00E003DB"/>
    <w:rsid w:val="00E00818"/>
    <w:rsid w:val="00E0099C"/>
    <w:rsid w:val="00E00A54"/>
    <w:rsid w:val="00E00B26"/>
    <w:rsid w:val="00E00B38"/>
    <w:rsid w:val="00E00BE8"/>
    <w:rsid w:val="00E00CA6"/>
    <w:rsid w:val="00E00D0A"/>
    <w:rsid w:val="00E0179D"/>
    <w:rsid w:val="00E01ACE"/>
    <w:rsid w:val="00E01D0F"/>
    <w:rsid w:val="00E01D3C"/>
    <w:rsid w:val="00E01F7D"/>
    <w:rsid w:val="00E021C3"/>
    <w:rsid w:val="00E02444"/>
    <w:rsid w:val="00E025CC"/>
    <w:rsid w:val="00E0278E"/>
    <w:rsid w:val="00E02BD1"/>
    <w:rsid w:val="00E02D11"/>
    <w:rsid w:val="00E02E87"/>
    <w:rsid w:val="00E02EF6"/>
    <w:rsid w:val="00E02FCD"/>
    <w:rsid w:val="00E03166"/>
    <w:rsid w:val="00E03177"/>
    <w:rsid w:val="00E0328D"/>
    <w:rsid w:val="00E034F2"/>
    <w:rsid w:val="00E03BC0"/>
    <w:rsid w:val="00E03CAE"/>
    <w:rsid w:val="00E03CBB"/>
    <w:rsid w:val="00E04056"/>
    <w:rsid w:val="00E047DC"/>
    <w:rsid w:val="00E04A23"/>
    <w:rsid w:val="00E04A81"/>
    <w:rsid w:val="00E04B7F"/>
    <w:rsid w:val="00E04C5D"/>
    <w:rsid w:val="00E04CA7"/>
    <w:rsid w:val="00E04E6F"/>
    <w:rsid w:val="00E04EBB"/>
    <w:rsid w:val="00E04F82"/>
    <w:rsid w:val="00E052C0"/>
    <w:rsid w:val="00E0539C"/>
    <w:rsid w:val="00E05787"/>
    <w:rsid w:val="00E0579F"/>
    <w:rsid w:val="00E05B27"/>
    <w:rsid w:val="00E05E2C"/>
    <w:rsid w:val="00E05E3E"/>
    <w:rsid w:val="00E06389"/>
    <w:rsid w:val="00E06B12"/>
    <w:rsid w:val="00E06B87"/>
    <w:rsid w:val="00E07427"/>
    <w:rsid w:val="00E0751E"/>
    <w:rsid w:val="00E076B1"/>
    <w:rsid w:val="00E079F7"/>
    <w:rsid w:val="00E07AAD"/>
    <w:rsid w:val="00E07D2A"/>
    <w:rsid w:val="00E07DD4"/>
    <w:rsid w:val="00E07DE6"/>
    <w:rsid w:val="00E102B7"/>
    <w:rsid w:val="00E104EA"/>
    <w:rsid w:val="00E109CF"/>
    <w:rsid w:val="00E10AB1"/>
    <w:rsid w:val="00E10D20"/>
    <w:rsid w:val="00E10DC2"/>
    <w:rsid w:val="00E10E0E"/>
    <w:rsid w:val="00E10F5C"/>
    <w:rsid w:val="00E10FB8"/>
    <w:rsid w:val="00E111D7"/>
    <w:rsid w:val="00E11288"/>
    <w:rsid w:val="00E11AEB"/>
    <w:rsid w:val="00E12883"/>
    <w:rsid w:val="00E13CE5"/>
    <w:rsid w:val="00E14364"/>
    <w:rsid w:val="00E145E4"/>
    <w:rsid w:val="00E1469A"/>
    <w:rsid w:val="00E14708"/>
    <w:rsid w:val="00E147CF"/>
    <w:rsid w:val="00E1483B"/>
    <w:rsid w:val="00E14C1E"/>
    <w:rsid w:val="00E14D24"/>
    <w:rsid w:val="00E14D6C"/>
    <w:rsid w:val="00E150E4"/>
    <w:rsid w:val="00E153D9"/>
    <w:rsid w:val="00E154DB"/>
    <w:rsid w:val="00E154FB"/>
    <w:rsid w:val="00E15697"/>
    <w:rsid w:val="00E157D1"/>
    <w:rsid w:val="00E15843"/>
    <w:rsid w:val="00E15948"/>
    <w:rsid w:val="00E15A9D"/>
    <w:rsid w:val="00E15BA6"/>
    <w:rsid w:val="00E15CF1"/>
    <w:rsid w:val="00E15D94"/>
    <w:rsid w:val="00E1620F"/>
    <w:rsid w:val="00E162F3"/>
    <w:rsid w:val="00E16307"/>
    <w:rsid w:val="00E163CF"/>
    <w:rsid w:val="00E16625"/>
    <w:rsid w:val="00E1668D"/>
    <w:rsid w:val="00E1682E"/>
    <w:rsid w:val="00E16DB3"/>
    <w:rsid w:val="00E170CF"/>
    <w:rsid w:val="00E17242"/>
    <w:rsid w:val="00E17AA0"/>
    <w:rsid w:val="00E17B00"/>
    <w:rsid w:val="00E17B65"/>
    <w:rsid w:val="00E17D66"/>
    <w:rsid w:val="00E17F69"/>
    <w:rsid w:val="00E20501"/>
    <w:rsid w:val="00E20FE5"/>
    <w:rsid w:val="00E21E50"/>
    <w:rsid w:val="00E21F83"/>
    <w:rsid w:val="00E21FB3"/>
    <w:rsid w:val="00E21FE7"/>
    <w:rsid w:val="00E22389"/>
    <w:rsid w:val="00E22D1E"/>
    <w:rsid w:val="00E23100"/>
    <w:rsid w:val="00E23148"/>
    <w:rsid w:val="00E2341D"/>
    <w:rsid w:val="00E23427"/>
    <w:rsid w:val="00E23C07"/>
    <w:rsid w:val="00E24819"/>
    <w:rsid w:val="00E24C36"/>
    <w:rsid w:val="00E24EDC"/>
    <w:rsid w:val="00E25046"/>
    <w:rsid w:val="00E2509B"/>
    <w:rsid w:val="00E25574"/>
    <w:rsid w:val="00E25700"/>
    <w:rsid w:val="00E2591D"/>
    <w:rsid w:val="00E25BA2"/>
    <w:rsid w:val="00E260EA"/>
    <w:rsid w:val="00E26390"/>
    <w:rsid w:val="00E26A38"/>
    <w:rsid w:val="00E26B09"/>
    <w:rsid w:val="00E27059"/>
    <w:rsid w:val="00E271B9"/>
    <w:rsid w:val="00E2727A"/>
    <w:rsid w:val="00E27318"/>
    <w:rsid w:val="00E275D7"/>
    <w:rsid w:val="00E2765B"/>
    <w:rsid w:val="00E276D5"/>
    <w:rsid w:val="00E27963"/>
    <w:rsid w:val="00E27A9F"/>
    <w:rsid w:val="00E27FA8"/>
    <w:rsid w:val="00E30514"/>
    <w:rsid w:val="00E30945"/>
    <w:rsid w:val="00E309CC"/>
    <w:rsid w:val="00E30A23"/>
    <w:rsid w:val="00E30A2E"/>
    <w:rsid w:val="00E30CFC"/>
    <w:rsid w:val="00E3138F"/>
    <w:rsid w:val="00E31835"/>
    <w:rsid w:val="00E319D3"/>
    <w:rsid w:val="00E31A32"/>
    <w:rsid w:val="00E31A9E"/>
    <w:rsid w:val="00E31B8F"/>
    <w:rsid w:val="00E31D71"/>
    <w:rsid w:val="00E31E31"/>
    <w:rsid w:val="00E32037"/>
    <w:rsid w:val="00E329BA"/>
    <w:rsid w:val="00E32DE1"/>
    <w:rsid w:val="00E3306B"/>
    <w:rsid w:val="00E330D5"/>
    <w:rsid w:val="00E3352A"/>
    <w:rsid w:val="00E336A8"/>
    <w:rsid w:val="00E3377A"/>
    <w:rsid w:val="00E33AC4"/>
    <w:rsid w:val="00E33B39"/>
    <w:rsid w:val="00E33BB6"/>
    <w:rsid w:val="00E33DA5"/>
    <w:rsid w:val="00E33F9C"/>
    <w:rsid w:val="00E34D40"/>
    <w:rsid w:val="00E34FA6"/>
    <w:rsid w:val="00E357FC"/>
    <w:rsid w:val="00E358C3"/>
    <w:rsid w:val="00E35D9F"/>
    <w:rsid w:val="00E3600A"/>
    <w:rsid w:val="00E3630A"/>
    <w:rsid w:val="00E36B02"/>
    <w:rsid w:val="00E36C9F"/>
    <w:rsid w:val="00E37381"/>
    <w:rsid w:val="00E37392"/>
    <w:rsid w:val="00E37837"/>
    <w:rsid w:val="00E379DF"/>
    <w:rsid w:val="00E37A2B"/>
    <w:rsid w:val="00E37C52"/>
    <w:rsid w:val="00E37E89"/>
    <w:rsid w:val="00E37F0D"/>
    <w:rsid w:val="00E402DC"/>
    <w:rsid w:val="00E403D5"/>
    <w:rsid w:val="00E40C07"/>
    <w:rsid w:val="00E40D54"/>
    <w:rsid w:val="00E4125E"/>
    <w:rsid w:val="00E4159C"/>
    <w:rsid w:val="00E41719"/>
    <w:rsid w:val="00E41A94"/>
    <w:rsid w:val="00E41B5A"/>
    <w:rsid w:val="00E42158"/>
    <w:rsid w:val="00E42542"/>
    <w:rsid w:val="00E4279E"/>
    <w:rsid w:val="00E428F4"/>
    <w:rsid w:val="00E42D9C"/>
    <w:rsid w:val="00E4305D"/>
    <w:rsid w:val="00E43A96"/>
    <w:rsid w:val="00E4458C"/>
    <w:rsid w:val="00E445A6"/>
    <w:rsid w:val="00E44DA7"/>
    <w:rsid w:val="00E44F5A"/>
    <w:rsid w:val="00E44FDD"/>
    <w:rsid w:val="00E452A0"/>
    <w:rsid w:val="00E453A3"/>
    <w:rsid w:val="00E4554C"/>
    <w:rsid w:val="00E4574A"/>
    <w:rsid w:val="00E45977"/>
    <w:rsid w:val="00E45A16"/>
    <w:rsid w:val="00E45A45"/>
    <w:rsid w:val="00E45C4C"/>
    <w:rsid w:val="00E45D6E"/>
    <w:rsid w:val="00E45E6E"/>
    <w:rsid w:val="00E460D6"/>
    <w:rsid w:val="00E460D9"/>
    <w:rsid w:val="00E463AD"/>
    <w:rsid w:val="00E4645B"/>
    <w:rsid w:val="00E464C7"/>
    <w:rsid w:val="00E464ED"/>
    <w:rsid w:val="00E4657C"/>
    <w:rsid w:val="00E466F4"/>
    <w:rsid w:val="00E466FF"/>
    <w:rsid w:val="00E46B44"/>
    <w:rsid w:val="00E46FCA"/>
    <w:rsid w:val="00E47409"/>
    <w:rsid w:val="00E47678"/>
    <w:rsid w:val="00E47BAF"/>
    <w:rsid w:val="00E50CE7"/>
    <w:rsid w:val="00E50DB5"/>
    <w:rsid w:val="00E51261"/>
    <w:rsid w:val="00E51659"/>
    <w:rsid w:val="00E5197F"/>
    <w:rsid w:val="00E51EE0"/>
    <w:rsid w:val="00E51F52"/>
    <w:rsid w:val="00E5214D"/>
    <w:rsid w:val="00E52183"/>
    <w:rsid w:val="00E5222A"/>
    <w:rsid w:val="00E526F6"/>
    <w:rsid w:val="00E52999"/>
    <w:rsid w:val="00E52AA0"/>
    <w:rsid w:val="00E52BD7"/>
    <w:rsid w:val="00E52DE7"/>
    <w:rsid w:val="00E5335D"/>
    <w:rsid w:val="00E53555"/>
    <w:rsid w:val="00E53562"/>
    <w:rsid w:val="00E536AB"/>
    <w:rsid w:val="00E53733"/>
    <w:rsid w:val="00E538CC"/>
    <w:rsid w:val="00E53B60"/>
    <w:rsid w:val="00E53C3B"/>
    <w:rsid w:val="00E53F40"/>
    <w:rsid w:val="00E54250"/>
    <w:rsid w:val="00E542C5"/>
    <w:rsid w:val="00E54382"/>
    <w:rsid w:val="00E543EA"/>
    <w:rsid w:val="00E54816"/>
    <w:rsid w:val="00E54A5D"/>
    <w:rsid w:val="00E54ACC"/>
    <w:rsid w:val="00E54B10"/>
    <w:rsid w:val="00E54DCD"/>
    <w:rsid w:val="00E54FB4"/>
    <w:rsid w:val="00E55671"/>
    <w:rsid w:val="00E55A96"/>
    <w:rsid w:val="00E55DFF"/>
    <w:rsid w:val="00E55E86"/>
    <w:rsid w:val="00E56006"/>
    <w:rsid w:val="00E5613C"/>
    <w:rsid w:val="00E56171"/>
    <w:rsid w:val="00E56606"/>
    <w:rsid w:val="00E56801"/>
    <w:rsid w:val="00E56AE8"/>
    <w:rsid w:val="00E56DF2"/>
    <w:rsid w:val="00E56E18"/>
    <w:rsid w:val="00E56EBB"/>
    <w:rsid w:val="00E576C9"/>
    <w:rsid w:val="00E57886"/>
    <w:rsid w:val="00E57FE5"/>
    <w:rsid w:val="00E60388"/>
    <w:rsid w:val="00E60570"/>
    <w:rsid w:val="00E6057C"/>
    <w:rsid w:val="00E605B5"/>
    <w:rsid w:val="00E605BB"/>
    <w:rsid w:val="00E60732"/>
    <w:rsid w:val="00E60773"/>
    <w:rsid w:val="00E60962"/>
    <w:rsid w:val="00E60A46"/>
    <w:rsid w:val="00E60C43"/>
    <w:rsid w:val="00E60FCD"/>
    <w:rsid w:val="00E613CE"/>
    <w:rsid w:val="00E61411"/>
    <w:rsid w:val="00E616D9"/>
    <w:rsid w:val="00E61A6E"/>
    <w:rsid w:val="00E622E8"/>
    <w:rsid w:val="00E62402"/>
    <w:rsid w:val="00E624EA"/>
    <w:rsid w:val="00E62569"/>
    <w:rsid w:val="00E6290E"/>
    <w:rsid w:val="00E62A47"/>
    <w:rsid w:val="00E6386E"/>
    <w:rsid w:val="00E638BA"/>
    <w:rsid w:val="00E64636"/>
    <w:rsid w:val="00E64974"/>
    <w:rsid w:val="00E649C4"/>
    <w:rsid w:val="00E64C86"/>
    <w:rsid w:val="00E65080"/>
    <w:rsid w:val="00E654C8"/>
    <w:rsid w:val="00E65711"/>
    <w:rsid w:val="00E65907"/>
    <w:rsid w:val="00E65B45"/>
    <w:rsid w:val="00E65CD2"/>
    <w:rsid w:val="00E66009"/>
    <w:rsid w:val="00E66855"/>
    <w:rsid w:val="00E6686E"/>
    <w:rsid w:val="00E66D7D"/>
    <w:rsid w:val="00E66E17"/>
    <w:rsid w:val="00E66E40"/>
    <w:rsid w:val="00E6728F"/>
    <w:rsid w:val="00E674D2"/>
    <w:rsid w:val="00E67500"/>
    <w:rsid w:val="00E67860"/>
    <w:rsid w:val="00E6793B"/>
    <w:rsid w:val="00E67E10"/>
    <w:rsid w:val="00E67F66"/>
    <w:rsid w:val="00E70141"/>
    <w:rsid w:val="00E7061F"/>
    <w:rsid w:val="00E706F4"/>
    <w:rsid w:val="00E70AE1"/>
    <w:rsid w:val="00E7140C"/>
    <w:rsid w:val="00E714B4"/>
    <w:rsid w:val="00E71547"/>
    <w:rsid w:val="00E719EC"/>
    <w:rsid w:val="00E71B4D"/>
    <w:rsid w:val="00E71BF7"/>
    <w:rsid w:val="00E71C25"/>
    <w:rsid w:val="00E71EA8"/>
    <w:rsid w:val="00E720E6"/>
    <w:rsid w:val="00E72389"/>
    <w:rsid w:val="00E72686"/>
    <w:rsid w:val="00E728F3"/>
    <w:rsid w:val="00E72C73"/>
    <w:rsid w:val="00E731A5"/>
    <w:rsid w:val="00E732AD"/>
    <w:rsid w:val="00E734A4"/>
    <w:rsid w:val="00E7364F"/>
    <w:rsid w:val="00E739F7"/>
    <w:rsid w:val="00E73B88"/>
    <w:rsid w:val="00E743C7"/>
    <w:rsid w:val="00E7446A"/>
    <w:rsid w:val="00E74914"/>
    <w:rsid w:val="00E74AFA"/>
    <w:rsid w:val="00E74C09"/>
    <w:rsid w:val="00E750C7"/>
    <w:rsid w:val="00E7545C"/>
    <w:rsid w:val="00E75EC8"/>
    <w:rsid w:val="00E75F0D"/>
    <w:rsid w:val="00E75F1F"/>
    <w:rsid w:val="00E760BF"/>
    <w:rsid w:val="00E7665B"/>
    <w:rsid w:val="00E767F8"/>
    <w:rsid w:val="00E7684A"/>
    <w:rsid w:val="00E768D3"/>
    <w:rsid w:val="00E7694A"/>
    <w:rsid w:val="00E76D9B"/>
    <w:rsid w:val="00E77172"/>
    <w:rsid w:val="00E7748E"/>
    <w:rsid w:val="00E778F4"/>
    <w:rsid w:val="00E77ACC"/>
    <w:rsid w:val="00E77DC3"/>
    <w:rsid w:val="00E8020A"/>
    <w:rsid w:val="00E809A0"/>
    <w:rsid w:val="00E80E68"/>
    <w:rsid w:val="00E8132E"/>
    <w:rsid w:val="00E814B2"/>
    <w:rsid w:val="00E81810"/>
    <w:rsid w:val="00E8193A"/>
    <w:rsid w:val="00E81B63"/>
    <w:rsid w:val="00E81BD4"/>
    <w:rsid w:val="00E81F2A"/>
    <w:rsid w:val="00E81F58"/>
    <w:rsid w:val="00E81FA9"/>
    <w:rsid w:val="00E82169"/>
    <w:rsid w:val="00E82290"/>
    <w:rsid w:val="00E8281D"/>
    <w:rsid w:val="00E829D9"/>
    <w:rsid w:val="00E82A64"/>
    <w:rsid w:val="00E82A79"/>
    <w:rsid w:val="00E82C90"/>
    <w:rsid w:val="00E82D02"/>
    <w:rsid w:val="00E8301F"/>
    <w:rsid w:val="00E8348B"/>
    <w:rsid w:val="00E8368D"/>
    <w:rsid w:val="00E83791"/>
    <w:rsid w:val="00E83A29"/>
    <w:rsid w:val="00E84856"/>
    <w:rsid w:val="00E84C0F"/>
    <w:rsid w:val="00E84C63"/>
    <w:rsid w:val="00E856A7"/>
    <w:rsid w:val="00E85730"/>
    <w:rsid w:val="00E8595E"/>
    <w:rsid w:val="00E860A9"/>
    <w:rsid w:val="00E860B3"/>
    <w:rsid w:val="00E86222"/>
    <w:rsid w:val="00E86511"/>
    <w:rsid w:val="00E87CEF"/>
    <w:rsid w:val="00E87D65"/>
    <w:rsid w:val="00E87D94"/>
    <w:rsid w:val="00E87DB8"/>
    <w:rsid w:val="00E90625"/>
    <w:rsid w:val="00E90641"/>
    <w:rsid w:val="00E90B18"/>
    <w:rsid w:val="00E91013"/>
    <w:rsid w:val="00E91051"/>
    <w:rsid w:val="00E91ED0"/>
    <w:rsid w:val="00E92334"/>
    <w:rsid w:val="00E924AE"/>
    <w:rsid w:val="00E9259A"/>
    <w:rsid w:val="00E927D0"/>
    <w:rsid w:val="00E92841"/>
    <w:rsid w:val="00E928B9"/>
    <w:rsid w:val="00E932FC"/>
    <w:rsid w:val="00E93397"/>
    <w:rsid w:val="00E93582"/>
    <w:rsid w:val="00E9394B"/>
    <w:rsid w:val="00E93ACA"/>
    <w:rsid w:val="00E93AEC"/>
    <w:rsid w:val="00E93E35"/>
    <w:rsid w:val="00E94397"/>
    <w:rsid w:val="00E94411"/>
    <w:rsid w:val="00E945F4"/>
    <w:rsid w:val="00E94A0B"/>
    <w:rsid w:val="00E94E4F"/>
    <w:rsid w:val="00E951F4"/>
    <w:rsid w:val="00E953A6"/>
    <w:rsid w:val="00E95814"/>
    <w:rsid w:val="00E961CC"/>
    <w:rsid w:val="00E964DF"/>
    <w:rsid w:val="00E96505"/>
    <w:rsid w:val="00E9661D"/>
    <w:rsid w:val="00E9669A"/>
    <w:rsid w:val="00E966E9"/>
    <w:rsid w:val="00E968E2"/>
    <w:rsid w:val="00E96C60"/>
    <w:rsid w:val="00E977E0"/>
    <w:rsid w:val="00E9780D"/>
    <w:rsid w:val="00E97C29"/>
    <w:rsid w:val="00EA0049"/>
    <w:rsid w:val="00EA0F98"/>
    <w:rsid w:val="00EA127C"/>
    <w:rsid w:val="00EA154C"/>
    <w:rsid w:val="00EA1681"/>
    <w:rsid w:val="00EA17D4"/>
    <w:rsid w:val="00EA19F4"/>
    <w:rsid w:val="00EA1D38"/>
    <w:rsid w:val="00EA1D3C"/>
    <w:rsid w:val="00EA2315"/>
    <w:rsid w:val="00EA2779"/>
    <w:rsid w:val="00EA281F"/>
    <w:rsid w:val="00EA2BA1"/>
    <w:rsid w:val="00EA2E92"/>
    <w:rsid w:val="00EA31A3"/>
    <w:rsid w:val="00EA3520"/>
    <w:rsid w:val="00EA3993"/>
    <w:rsid w:val="00EA3A10"/>
    <w:rsid w:val="00EA3AC5"/>
    <w:rsid w:val="00EA3D74"/>
    <w:rsid w:val="00EA3D8A"/>
    <w:rsid w:val="00EA3F08"/>
    <w:rsid w:val="00EA3F11"/>
    <w:rsid w:val="00EA43C8"/>
    <w:rsid w:val="00EA441D"/>
    <w:rsid w:val="00EA47DA"/>
    <w:rsid w:val="00EA4803"/>
    <w:rsid w:val="00EA4A18"/>
    <w:rsid w:val="00EA4E07"/>
    <w:rsid w:val="00EA502A"/>
    <w:rsid w:val="00EA5491"/>
    <w:rsid w:val="00EA58AB"/>
    <w:rsid w:val="00EA62E4"/>
    <w:rsid w:val="00EA657A"/>
    <w:rsid w:val="00EA6699"/>
    <w:rsid w:val="00EA6A78"/>
    <w:rsid w:val="00EA6A90"/>
    <w:rsid w:val="00EA6C21"/>
    <w:rsid w:val="00EA6C30"/>
    <w:rsid w:val="00EA73CE"/>
    <w:rsid w:val="00EA75E8"/>
    <w:rsid w:val="00EA7B71"/>
    <w:rsid w:val="00EA7C48"/>
    <w:rsid w:val="00EA7EA1"/>
    <w:rsid w:val="00EB01B4"/>
    <w:rsid w:val="00EB02BE"/>
    <w:rsid w:val="00EB0571"/>
    <w:rsid w:val="00EB0800"/>
    <w:rsid w:val="00EB0B11"/>
    <w:rsid w:val="00EB0B6B"/>
    <w:rsid w:val="00EB0F9D"/>
    <w:rsid w:val="00EB10E9"/>
    <w:rsid w:val="00EB1529"/>
    <w:rsid w:val="00EB178D"/>
    <w:rsid w:val="00EB1B85"/>
    <w:rsid w:val="00EB1D05"/>
    <w:rsid w:val="00EB1F71"/>
    <w:rsid w:val="00EB223A"/>
    <w:rsid w:val="00EB224A"/>
    <w:rsid w:val="00EB2560"/>
    <w:rsid w:val="00EB260C"/>
    <w:rsid w:val="00EB2A4A"/>
    <w:rsid w:val="00EB2A96"/>
    <w:rsid w:val="00EB2BA0"/>
    <w:rsid w:val="00EB2CEA"/>
    <w:rsid w:val="00EB2D28"/>
    <w:rsid w:val="00EB2F75"/>
    <w:rsid w:val="00EB3345"/>
    <w:rsid w:val="00EB3410"/>
    <w:rsid w:val="00EB4933"/>
    <w:rsid w:val="00EB4CA8"/>
    <w:rsid w:val="00EB4EBD"/>
    <w:rsid w:val="00EB532D"/>
    <w:rsid w:val="00EB54D3"/>
    <w:rsid w:val="00EB54F8"/>
    <w:rsid w:val="00EB556C"/>
    <w:rsid w:val="00EB556D"/>
    <w:rsid w:val="00EB62E2"/>
    <w:rsid w:val="00EB6870"/>
    <w:rsid w:val="00EB6B02"/>
    <w:rsid w:val="00EB6BA1"/>
    <w:rsid w:val="00EB6E0A"/>
    <w:rsid w:val="00EB73F2"/>
    <w:rsid w:val="00EB743E"/>
    <w:rsid w:val="00EB771D"/>
    <w:rsid w:val="00EB77DF"/>
    <w:rsid w:val="00EB7933"/>
    <w:rsid w:val="00EB7B1B"/>
    <w:rsid w:val="00EB7B72"/>
    <w:rsid w:val="00EB7F33"/>
    <w:rsid w:val="00EC0980"/>
    <w:rsid w:val="00EC0B23"/>
    <w:rsid w:val="00EC0E8A"/>
    <w:rsid w:val="00EC1008"/>
    <w:rsid w:val="00EC1335"/>
    <w:rsid w:val="00EC14C7"/>
    <w:rsid w:val="00EC152E"/>
    <w:rsid w:val="00EC15C3"/>
    <w:rsid w:val="00EC1BDC"/>
    <w:rsid w:val="00EC1D53"/>
    <w:rsid w:val="00EC1DA3"/>
    <w:rsid w:val="00EC1EA0"/>
    <w:rsid w:val="00EC1EF9"/>
    <w:rsid w:val="00EC22F0"/>
    <w:rsid w:val="00EC24A1"/>
    <w:rsid w:val="00EC25A1"/>
    <w:rsid w:val="00EC29CC"/>
    <w:rsid w:val="00EC2A7F"/>
    <w:rsid w:val="00EC2BD6"/>
    <w:rsid w:val="00EC2BEA"/>
    <w:rsid w:val="00EC301F"/>
    <w:rsid w:val="00EC31B3"/>
    <w:rsid w:val="00EC33E4"/>
    <w:rsid w:val="00EC39FB"/>
    <w:rsid w:val="00EC3CB0"/>
    <w:rsid w:val="00EC3F24"/>
    <w:rsid w:val="00EC453D"/>
    <w:rsid w:val="00EC45EC"/>
    <w:rsid w:val="00EC47EC"/>
    <w:rsid w:val="00EC5407"/>
    <w:rsid w:val="00EC5CC4"/>
    <w:rsid w:val="00EC5DDE"/>
    <w:rsid w:val="00EC5E2B"/>
    <w:rsid w:val="00EC61F1"/>
    <w:rsid w:val="00EC624C"/>
    <w:rsid w:val="00EC6A23"/>
    <w:rsid w:val="00EC747A"/>
    <w:rsid w:val="00EC7623"/>
    <w:rsid w:val="00EC78C3"/>
    <w:rsid w:val="00EC7B5D"/>
    <w:rsid w:val="00EC7C1F"/>
    <w:rsid w:val="00EC7C73"/>
    <w:rsid w:val="00ED003A"/>
    <w:rsid w:val="00ED0167"/>
    <w:rsid w:val="00ED01C5"/>
    <w:rsid w:val="00ED02D8"/>
    <w:rsid w:val="00ED080D"/>
    <w:rsid w:val="00ED09A1"/>
    <w:rsid w:val="00ED09C3"/>
    <w:rsid w:val="00ED0A16"/>
    <w:rsid w:val="00ED0ED2"/>
    <w:rsid w:val="00ED130B"/>
    <w:rsid w:val="00ED1A4D"/>
    <w:rsid w:val="00ED1A6A"/>
    <w:rsid w:val="00ED2529"/>
    <w:rsid w:val="00ED2562"/>
    <w:rsid w:val="00ED28F9"/>
    <w:rsid w:val="00ED2BC3"/>
    <w:rsid w:val="00ED2DAC"/>
    <w:rsid w:val="00ED2E8E"/>
    <w:rsid w:val="00ED2F34"/>
    <w:rsid w:val="00ED323D"/>
    <w:rsid w:val="00ED32A0"/>
    <w:rsid w:val="00ED36A7"/>
    <w:rsid w:val="00ED371A"/>
    <w:rsid w:val="00ED3F4A"/>
    <w:rsid w:val="00ED419C"/>
    <w:rsid w:val="00ED41DA"/>
    <w:rsid w:val="00ED440B"/>
    <w:rsid w:val="00ED45EB"/>
    <w:rsid w:val="00ED4F11"/>
    <w:rsid w:val="00ED513A"/>
    <w:rsid w:val="00ED52A4"/>
    <w:rsid w:val="00ED5363"/>
    <w:rsid w:val="00ED54B8"/>
    <w:rsid w:val="00ED5792"/>
    <w:rsid w:val="00ED57E1"/>
    <w:rsid w:val="00ED581E"/>
    <w:rsid w:val="00ED594A"/>
    <w:rsid w:val="00ED5C6A"/>
    <w:rsid w:val="00ED5FB2"/>
    <w:rsid w:val="00ED619B"/>
    <w:rsid w:val="00ED6214"/>
    <w:rsid w:val="00ED6356"/>
    <w:rsid w:val="00ED637C"/>
    <w:rsid w:val="00ED665A"/>
    <w:rsid w:val="00ED67B2"/>
    <w:rsid w:val="00ED6AC4"/>
    <w:rsid w:val="00ED75C7"/>
    <w:rsid w:val="00ED781A"/>
    <w:rsid w:val="00ED78C2"/>
    <w:rsid w:val="00ED7C87"/>
    <w:rsid w:val="00ED7FB8"/>
    <w:rsid w:val="00EE02E9"/>
    <w:rsid w:val="00EE0FDE"/>
    <w:rsid w:val="00EE1088"/>
    <w:rsid w:val="00EE10D4"/>
    <w:rsid w:val="00EE1328"/>
    <w:rsid w:val="00EE14F6"/>
    <w:rsid w:val="00EE16D0"/>
    <w:rsid w:val="00EE173F"/>
    <w:rsid w:val="00EE180B"/>
    <w:rsid w:val="00EE1B22"/>
    <w:rsid w:val="00EE1D0B"/>
    <w:rsid w:val="00EE1DF2"/>
    <w:rsid w:val="00EE20F9"/>
    <w:rsid w:val="00EE219E"/>
    <w:rsid w:val="00EE2553"/>
    <w:rsid w:val="00EE270B"/>
    <w:rsid w:val="00EE2EEA"/>
    <w:rsid w:val="00EE37FA"/>
    <w:rsid w:val="00EE3B62"/>
    <w:rsid w:val="00EE3B66"/>
    <w:rsid w:val="00EE439E"/>
    <w:rsid w:val="00EE4A60"/>
    <w:rsid w:val="00EE5592"/>
    <w:rsid w:val="00EE5636"/>
    <w:rsid w:val="00EE572C"/>
    <w:rsid w:val="00EE5738"/>
    <w:rsid w:val="00EE5C6D"/>
    <w:rsid w:val="00EE5CDC"/>
    <w:rsid w:val="00EE5FB9"/>
    <w:rsid w:val="00EE6112"/>
    <w:rsid w:val="00EE6751"/>
    <w:rsid w:val="00EE6DE6"/>
    <w:rsid w:val="00EE6F43"/>
    <w:rsid w:val="00EE70F6"/>
    <w:rsid w:val="00EE7156"/>
    <w:rsid w:val="00EE783E"/>
    <w:rsid w:val="00EE786C"/>
    <w:rsid w:val="00EF03DE"/>
    <w:rsid w:val="00EF042F"/>
    <w:rsid w:val="00EF08C8"/>
    <w:rsid w:val="00EF1042"/>
    <w:rsid w:val="00EF114C"/>
    <w:rsid w:val="00EF1809"/>
    <w:rsid w:val="00EF182C"/>
    <w:rsid w:val="00EF189B"/>
    <w:rsid w:val="00EF1BF5"/>
    <w:rsid w:val="00EF1DA3"/>
    <w:rsid w:val="00EF1DE7"/>
    <w:rsid w:val="00EF1EFE"/>
    <w:rsid w:val="00EF2554"/>
    <w:rsid w:val="00EF2617"/>
    <w:rsid w:val="00EF2757"/>
    <w:rsid w:val="00EF2F8C"/>
    <w:rsid w:val="00EF2FDD"/>
    <w:rsid w:val="00EF31E1"/>
    <w:rsid w:val="00EF35D1"/>
    <w:rsid w:val="00EF37C9"/>
    <w:rsid w:val="00EF3CBB"/>
    <w:rsid w:val="00EF40DA"/>
    <w:rsid w:val="00EF426C"/>
    <w:rsid w:val="00EF43CE"/>
    <w:rsid w:val="00EF442D"/>
    <w:rsid w:val="00EF4C50"/>
    <w:rsid w:val="00EF4EF2"/>
    <w:rsid w:val="00EF516A"/>
    <w:rsid w:val="00EF550D"/>
    <w:rsid w:val="00EF5F35"/>
    <w:rsid w:val="00EF6025"/>
    <w:rsid w:val="00EF61D8"/>
    <w:rsid w:val="00EF643B"/>
    <w:rsid w:val="00EF6896"/>
    <w:rsid w:val="00EF6E7C"/>
    <w:rsid w:val="00EF70B8"/>
    <w:rsid w:val="00EF72BE"/>
    <w:rsid w:val="00EF73F3"/>
    <w:rsid w:val="00EF76AC"/>
    <w:rsid w:val="00EF7878"/>
    <w:rsid w:val="00EF7BF5"/>
    <w:rsid w:val="00F00180"/>
    <w:rsid w:val="00F001D5"/>
    <w:rsid w:val="00F00321"/>
    <w:rsid w:val="00F0060E"/>
    <w:rsid w:val="00F0072E"/>
    <w:rsid w:val="00F00859"/>
    <w:rsid w:val="00F00AAA"/>
    <w:rsid w:val="00F00FE5"/>
    <w:rsid w:val="00F0161E"/>
    <w:rsid w:val="00F01634"/>
    <w:rsid w:val="00F01792"/>
    <w:rsid w:val="00F018D7"/>
    <w:rsid w:val="00F01B5A"/>
    <w:rsid w:val="00F01CB0"/>
    <w:rsid w:val="00F01D01"/>
    <w:rsid w:val="00F01D1B"/>
    <w:rsid w:val="00F01DB1"/>
    <w:rsid w:val="00F01E43"/>
    <w:rsid w:val="00F021E7"/>
    <w:rsid w:val="00F0236C"/>
    <w:rsid w:val="00F02760"/>
    <w:rsid w:val="00F02C8A"/>
    <w:rsid w:val="00F031AA"/>
    <w:rsid w:val="00F0329E"/>
    <w:rsid w:val="00F03377"/>
    <w:rsid w:val="00F034C7"/>
    <w:rsid w:val="00F03552"/>
    <w:rsid w:val="00F03658"/>
    <w:rsid w:val="00F03ADC"/>
    <w:rsid w:val="00F03FC4"/>
    <w:rsid w:val="00F04080"/>
    <w:rsid w:val="00F04A7C"/>
    <w:rsid w:val="00F0520E"/>
    <w:rsid w:val="00F055D5"/>
    <w:rsid w:val="00F055F0"/>
    <w:rsid w:val="00F05CA0"/>
    <w:rsid w:val="00F0670F"/>
    <w:rsid w:val="00F06B02"/>
    <w:rsid w:val="00F06B19"/>
    <w:rsid w:val="00F06E83"/>
    <w:rsid w:val="00F06F48"/>
    <w:rsid w:val="00F06F79"/>
    <w:rsid w:val="00F0721F"/>
    <w:rsid w:val="00F07296"/>
    <w:rsid w:val="00F073A1"/>
    <w:rsid w:val="00F076C7"/>
    <w:rsid w:val="00F07BB8"/>
    <w:rsid w:val="00F07CA2"/>
    <w:rsid w:val="00F07EF9"/>
    <w:rsid w:val="00F10299"/>
    <w:rsid w:val="00F10490"/>
    <w:rsid w:val="00F10C06"/>
    <w:rsid w:val="00F1139A"/>
    <w:rsid w:val="00F117ED"/>
    <w:rsid w:val="00F1198F"/>
    <w:rsid w:val="00F11C72"/>
    <w:rsid w:val="00F124BF"/>
    <w:rsid w:val="00F125FC"/>
    <w:rsid w:val="00F13104"/>
    <w:rsid w:val="00F131C6"/>
    <w:rsid w:val="00F131E8"/>
    <w:rsid w:val="00F13317"/>
    <w:rsid w:val="00F13367"/>
    <w:rsid w:val="00F1396C"/>
    <w:rsid w:val="00F1398E"/>
    <w:rsid w:val="00F139A9"/>
    <w:rsid w:val="00F13A30"/>
    <w:rsid w:val="00F13DBE"/>
    <w:rsid w:val="00F140D3"/>
    <w:rsid w:val="00F143D8"/>
    <w:rsid w:val="00F1478C"/>
    <w:rsid w:val="00F149D8"/>
    <w:rsid w:val="00F152D7"/>
    <w:rsid w:val="00F15FEF"/>
    <w:rsid w:val="00F16087"/>
    <w:rsid w:val="00F1618E"/>
    <w:rsid w:val="00F16253"/>
    <w:rsid w:val="00F16829"/>
    <w:rsid w:val="00F169BF"/>
    <w:rsid w:val="00F16A08"/>
    <w:rsid w:val="00F16B62"/>
    <w:rsid w:val="00F174C0"/>
    <w:rsid w:val="00F17D48"/>
    <w:rsid w:val="00F17DD7"/>
    <w:rsid w:val="00F20170"/>
    <w:rsid w:val="00F201A7"/>
    <w:rsid w:val="00F203D4"/>
    <w:rsid w:val="00F20884"/>
    <w:rsid w:val="00F21371"/>
    <w:rsid w:val="00F214E1"/>
    <w:rsid w:val="00F21561"/>
    <w:rsid w:val="00F21A8F"/>
    <w:rsid w:val="00F21B43"/>
    <w:rsid w:val="00F21EC1"/>
    <w:rsid w:val="00F22033"/>
    <w:rsid w:val="00F22035"/>
    <w:rsid w:val="00F22141"/>
    <w:rsid w:val="00F22215"/>
    <w:rsid w:val="00F223FE"/>
    <w:rsid w:val="00F224AA"/>
    <w:rsid w:val="00F22641"/>
    <w:rsid w:val="00F22724"/>
    <w:rsid w:val="00F22BFD"/>
    <w:rsid w:val="00F22F32"/>
    <w:rsid w:val="00F22F63"/>
    <w:rsid w:val="00F235E4"/>
    <w:rsid w:val="00F237FF"/>
    <w:rsid w:val="00F23994"/>
    <w:rsid w:val="00F23E0C"/>
    <w:rsid w:val="00F240C4"/>
    <w:rsid w:val="00F2444C"/>
    <w:rsid w:val="00F246C9"/>
    <w:rsid w:val="00F24A6F"/>
    <w:rsid w:val="00F24B83"/>
    <w:rsid w:val="00F250C9"/>
    <w:rsid w:val="00F25336"/>
    <w:rsid w:val="00F2547D"/>
    <w:rsid w:val="00F255B6"/>
    <w:rsid w:val="00F25933"/>
    <w:rsid w:val="00F25971"/>
    <w:rsid w:val="00F259EC"/>
    <w:rsid w:val="00F25AF5"/>
    <w:rsid w:val="00F25B18"/>
    <w:rsid w:val="00F25E50"/>
    <w:rsid w:val="00F25E5F"/>
    <w:rsid w:val="00F25E8B"/>
    <w:rsid w:val="00F25F7A"/>
    <w:rsid w:val="00F25FB9"/>
    <w:rsid w:val="00F26232"/>
    <w:rsid w:val="00F26BA3"/>
    <w:rsid w:val="00F26C10"/>
    <w:rsid w:val="00F26D1E"/>
    <w:rsid w:val="00F26DB7"/>
    <w:rsid w:val="00F26F1B"/>
    <w:rsid w:val="00F26FCD"/>
    <w:rsid w:val="00F2723F"/>
    <w:rsid w:val="00F2724D"/>
    <w:rsid w:val="00F27271"/>
    <w:rsid w:val="00F2735A"/>
    <w:rsid w:val="00F27405"/>
    <w:rsid w:val="00F275F8"/>
    <w:rsid w:val="00F27622"/>
    <w:rsid w:val="00F27627"/>
    <w:rsid w:val="00F279E3"/>
    <w:rsid w:val="00F27A37"/>
    <w:rsid w:val="00F27CC2"/>
    <w:rsid w:val="00F27DF5"/>
    <w:rsid w:val="00F30138"/>
    <w:rsid w:val="00F302AE"/>
    <w:rsid w:val="00F30349"/>
    <w:rsid w:val="00F3050F"/>
    <w:rsid w:val="00F30559"/>
    <w:rsid w:val="00F30993"/>
    <w:rsid w:val="00F30AA3"/>
    <w:rsid w:val="00F30AFD"/>
    <w:rsid w:val="00F30C21"/>
    <w:rsid w:val="00F30DDC"/>
    <w:rsid w:val="00F30FEE"/>
    <w:rsid w:val="00F310A6"/>
    <w:rsid w:val="00F31179"/>
    <w:rsid w:val="00F31180"/>
    <w:rsid w:val="00F313A6"/>
    <w:rsid w:val="00F3144A"/>
    <w:rsid w:val="00F315B6"/>
    <w:rsid w:val="00F3169B"/>
    <w:rsid w:val="00F318CB"/>
    <w:rsid w:val="00F31911"/>
    <w:rsid w:val="00F31A35"/>
    <w:rsid w:val="00F31F33"/>
    <w:rsid w:val="00F31F3C"/>
    <w:rsid w:val="00F324C3"/>
    <w:rsid w:val="00F32664"/>
    <w:rsid w:val="00F32AFE"/>
    <w:rsid w:val="00F32B6E"/>
    <w:rsid w:val="00F32D31"/>
    <w:rsid w:val="00F32EF0"/>
    <w:rsid w:val="00F32F5F"/>
    <w:rsid w:val="00F331A9"/>
    <w:rsid w:val="00F33481"/>
    <w:rsid w:val="00F338B8"/>
    <w:rsid w:val="00F33C93"/>
    <w:rsid w:val="00F34ADB"/>
    <w:rsid w:val="00F34C9C"/>
    <w:rsid w:val="00F356AA"/>
    <w:rsid w:val="00F35BDF"/>
    <w:rsid w:val="00F35EDD"/>
    <w:rsid w:val="00F3605B"/>
    <w:rsid w:val="00F360E4"/>
    <w:rsid w:val="00F3614C"/>
    <w:rsid w:val="00F36501"/>
    <w:rsid w:val="00F365A9"/>
    <w:rsid w:val="00F3667D"/>
    <w:rsid w:val="00F36A14"/>
    <w:rsid w:val="00F36A1C"/>
    <w:rsid w:val="00F36CDF"/>
    <w:rsid w:val="00F36EB5"/>
    <w:rsid w:val="00F36F3F"/>
    <w:rsid w:val="00F373F4"/>
    <w:rsid w:val="00F374C2"/>
    <w:rsid w:val="00F375B8"/>
    <w:rsid w:val="00F3766A"/>
    <w:rsid w:val="00F3778D"/>
    <w:rsid w:val="00F37871"/>
    <w:rsid w:val="00F40058"/>
    <w:rsid w:val="00F40073"/>
    <w:rsid w:val="00F405D9"/>
    <w:rsid w:val="00F408BE"/>
    <w:rsid w:val="00F40B79"/>
    <w:rsid w:val="00F40D25"/>
    <w:rsid w:val="00F40DD7"/>
    <w:rsid w:val="00F40E02"/>
    <w:rsid w:val="00F41055"/>
    <w:rsid w:val="00F4151B"/>
    <w:rsid w:val="00F4151D"/>
    <w:rsid w:val="00F41540"/>
    <w:rsid w:val="00F41BAE"/>
    <w:rsid w:val="00F422D7"/>
    <w:rsid w:val="00F423D7"/>
    <w:rsid w:val="00F425D0"/>
    <w:rsid w:val="00F429AD"/>
    <w:rsid w:val="00F42AB2"/>
    <w:rsid w:val="00F42C1F"/>
    <w:rsid w:val="00F42CB9"/>
    <w:rsid w:val="00F42D23"/>
    <w:rsid w:val="00F42D40"/>
    <w:rsid w:val="00F42F41"/>
    <w:rsid w:val="00F4308C"/>
    <w:rsid w:val="00F430E1"/>
    <w:rsid w:val="00F43117"/>
    <w:rsid w:val="00F435B7"/>
    <w:rsid w:val="00F44159"/>
    <w:rsid w:val="00F441CB"/>
    <w:rsid w:val="00F445E4"/>
    <w:rsid w:val="00F44697"/>
    <w:rsid w:val="00F44767"/>
    <w:rsid w:val="00F44807"/>
    <w:rsid w:val="00F44AEF"/>
    <w:rsid w:val="00F45AE9"/>
    <w:rsid w:val="00F45BA3"/>
    <w:rsid w:val="00F45E90"/>
    <w:rsid w:val="00F4609C"/>
    <w:rsid w:val="00F465F1"/>
    <w:rsid w:val="00F46CF1"/>
    <w:rsid w:val="00F47190"/>
    <w:rsid w:val="00F47297"/>
    <w:rsid w:val="00F47331"/>
    <w:rsid w:val="00F47583"/>
    <w:rsid w:val="00F4795D"/>
    <w:rsid w:val="00F47E5B"/>
    <w:rsid w:val="00F50552"/>
    <w:rsid w:val="00F50862"/>
    <w:rsid w:val="00F51115"/>
    <w:rsid w:val="00F5123C"/>
    <w:rsid w:val="00F51692"/>
    <w:rsid w:val="00F5173D"/>
    <w:rsid w:val="00F51745"/>
    <w:rsid w:val="00F51C0A"/>
    <w:rsid w:val="00F52273"/>
    <w:rsid w:val="00F52305"/>
    <w:rsid w:val="00F52E42"/>
    <w:rsid w:val="00F52ED6"/>
    <w:rsid w:val="00F5303B"/>
    <w:rsid w:val="00F53113"/>
    <w:rsid w:val="00F53120"/>
    <w:rsid w:val="00F53A38"/>
    <w:rsid w:val="00F53A52"/>
    <w:rsid w:val="00F53E98"/>
    <w:rsid w:val="00F53F35"/>
    <w:rsid w:val="00F54798"/>
    <w:rsid w:val="00F54AA0"/>
    <w:rsid w:val="00F54AC5"/>
    <w:rsid w:val="00F54B93"/>
    <w:rsid w:val="00F54C37"/>
    <w:rsid w:val="00F55010"/>
    <w:rsid w:val="00F5570C"/>
    <w:rsid w:val="00F558A7"/>
    <w:rsid w:val="00F55F47"/>
    <w:rsid w:val="00F56313"/>
    <w:rsid w:val="00F56378"/>
    <w:rsid w:val="00F5662A"/>
    <w:rsid w:val="00F567CC"/>
    <w:rsid w:val="00F56D76"/>
    <w:rsid w:val="00F572C7"/>
    <w:rsid w:val="00F5747A"/>
    <w:rsid w:val="00F57557"/>
    <w:rsid w:val="00F57695"/>
    <w:rsid w:val="00F57860"/>
    <w:rsid w:val="00F5797A"/>
    <w:rsid w:val="00F6002F"/>
    <w:rsid w:val="00F60054"/>
    <w:rsid w:val="00F601E9"/>
    <w:rsid w:val="00F6042E"/>
    <w:rsid w:val="00F605C4"/>
    <w:rsid w:val="00F6079A"/>
    <w:rsid w:val="00F60B60"/>
    <w:rsid w:val="00F60ED5"/>
    <w:rsid w:val="00F610F3"/>
    <w:rsid w:val="00F61682"/>
    <w:rsid w:val="00F6181F"/>
    <w:rsid w:val="00F61F28"/>
    <w:rsid w:val="00F62091"/>
    <w:rsid w:val="00F620CF"/>
    <w:rsid w:val="00F62663"/>
    <w:rsid w:val="00F62A6E"/>
    <w:rsid w:val="00F62CB0"/>
    <w:rsid w:val="00F63243"/>
    <w:rsid w:val="00F632B2"/>
    <w:rsid w:val="00F632C0"/>
    <w:rsid w:val="00F632F3"/>
    <w:rsid w:val="00F636E1"/>
    <w:rsid w:val="00F63D86"/>
    <w:rsid w:val="00F6437C"/>
    <w:rsid w:val="00F64521"/>
    <w:rsid w:val="00F64620"/>
    <w:rsid w:val="00F64DFC"/>
    <w:rsid w:val="00F6554F"/>
    <w:rsid w:val="00F656B8"/>
    <w:rsid w:val="00F6591E"/>
    <w:rsid w:val="00F659D2"/>
    <w:rsid w:val="00F65ACE"/>
    <w:rsid w:val="00F65AD5"/>
    <w:rsid w:val="00F65B9D"/>
    <w:rsid w:val="00F65E11"/>
    <w:rsid w:val="00F660E8"/>
    <w:rsid w:val="00F661A5"/>
    <w:rsid w:val="00F662A6"/>
    <w:rsid w:val="00F662B9"/>
    <w:rsid w:val="00F6646E"/>
    <w:rsid w:val="00F66650"/>
    <w:rsid w:val="00F66687"/>
    <w:rsid w:val="00F667E8"/>
    <w:rsid w:val="00F669C9"/>
    <w:rsid w:val="00F66F1A"/>
    <w:rsid w:val="00F67172"/>
    <w:rsid w:val="00F67372"/>
    <w:rsid w:val="00F6752C"/>
    <w:rsid w:val="00F67773"/>
    <w:rsid w:val="00F67948"/>
    <w:rsid w:val="00F67AA2"/>
    <w:rsid w:val="00F67CBA"/>
    <w:rsid w:val="00F67E8B"/>
    <w:rsid w:val="00F703CF"/>
    <w:rsid w:val="00F70AE9"/>
    <w:rsid w:val="00F70D26"/>
    <w:rsid w:val="00F71573"/>
    <w:rsid w:val="00F715D5"/>
    <w:rsid w:val="00F715FF"/>
    <w:rsid w:val="00F716A3"/>
    <w:rsid w:val="00F71EDE"/>
    <w:rsid w:val="00F725CF"/>
    <w:rsid w:val="00F72A35"/>
    <w:rsid w:val="00F72C0D"/>
    <w:rsid w:val="00F73052"/>
    <w:rsid w:val="00F73122"/>
    <w:rsid w:val="00F73292"/>
    <w:rsid w:val="00F73360"/>
    <w:rsid w:val="00F73369"/>
    <w:rsid w:val="00F7355A"/>
    <w:rsid w:val="00F736FF"/>
    <w:rsid w:val="00F73839"/>
    <w:rsid w:val="00F73C6F"/>
    <w:rsid w:val="00F740C3"/>
    <w:rsid w:val="00F7422F"/>
    <w:rsid w:val="00F7435B"/>
    <w:rsid w:val="00F74728"/>
    <w:rsid w:val="00F74C2E"/>
    <w:rsid w:val="00F74F54"/>
    <w:rsid w:val="00F7522F"/>
    <w:rsid w:val="00F755A3"/>
    <w:rsid w:val="00F75FCB"/>
    <w:rsid w:val="00F75FE4"/>
    <w:rsid w:val="00F762D5"/>
    <w:rsid w:val="00F76385"/>
    <w:rsid w:val="00F763F8"/>
    <w:rsid w:val="00F7647A"/>
    <w:rsid w:val="00F77468"/>
    <w:rsid w:val="00F776F4"/>
    <w:rsid w:val="00F7775B"/>
    <w:rsid w:val="00F77B0D"/>
    <w:rsid w:val="00F77BAE"/>
    <w:rsid w:val="00F77BCF"/>
    <w:rsid w:val="00F77CA9"/>
    <w:rsid w:val="00F804A3"/>
    <w:rsid w:val="00F80531"/>
    <w:rsid w:val="00F80619"/>
    <w:rsid w:val="00F80FA2"/>
    <w:rsid w:val="00F810E9"/>
    <w:rsid w:val="00F81162"/>
    <w:rsid w:val="00F8123D"/>
    <w:rsid w:val="00F815D5"/>
    <w:rsid w:val="00F8164A"/>
    <w:rsid w:val="00F816BC"/>
    <w:rsid w:val="00F8189F"/>
    <w:rsid w:val="00F819F5"/>
    <w:rsid w:val="00F819F9"/>
    <w:rsid w:val="00F81F05"/>
    <w:rsid w:val="00F81F8A"/>
    <w:rsid w:val="00F8214E"/>
    <w:rsid w:val="00F8215B"/>
    <w:rsid w:val="00F82988"/>
    <w:rsid w:val="00F8320F"/>
    <w:rsid w:val="00F83806"/>
    <w:rsid w:val="00F83DF5"/>
    <w:rsid w:val="00F83E31"/>
    <w:rsid w:val="00F8414C"/>
    <w:rsid w:val="00F84613"/>
    <w:rsid w:val="00F849BB"/>
    <w:rsid w:val="00F84C73"/>
    <w:rsid w:val="00F84FEA"/>
    <w:rsid w:val="00F856A7"/>
    <w:rsid w:val="00F856DA"/>
    <w:rsid w:val="00F8586F"/>
    <w:rsid w:val="00F858A7"/>
    <w:rsid w:val="00F85A01"/>
    <w:rsid w:val="00F85A1A"/>
    <w:rsid w:val="00F8618B"/>
    <w:rsid w:val="00F8650B"/>
    <w:rsid w:val="00F86817"/>
    <w:rsid w:val="00F86943"/>
    <w:rsid w:val="00F869F7"/>
    <w:rsid w:val="00F86B4B"/>
    <w:rsid w:val="00F86BB5"/>
    <w:rsid w:val="00F86CCE"/>
    <w:rsid w:val="00F86D9C"/>
    <w:rsid w:val="00F87197"/>
    <w:rsid w:val="00F871E5"/>
    <w:rsid w:val="00F876F2"/>
    <w:rsid w:val="00F87A80"/>
    <w:rsid w:val="00F87BE2"/>
    <w:rsid w:val="00F9002B"/>
    <w:rsid w:val="00F90083"/>
    <w:rsid w:val="00F9019B"/>
    <w:rsid w:val="00F901C4"/>
    <w:rsid w:val="00F90711"/>
    <w:rsid w:val="00F909CA"/>
    <w:rsid w:val="00F90C8B"/>
    <w:rsid w:val="00F90D81"/>
    <w:rsid w:val="00F916F8"/>
    <w:rsid w:val="00F92299"/>
    <w:rsid w:val="00F92460"/>
    <w:rsid w:val="00F92538"/>
    <w:rsid w:val="00F92C78"/>
    <w:rsid w:val="00F92CBC"/>
    <w:rsid w:val="00F92CC5"/>
    <w:rsid w:val="00F92D36"/>
    <w:rsid w:val="00F9306F"/>
    <w:rsid w:val="00F938B9"/>
    <w:rsid w:val="00F939D3"/>
    <w:rsid w:val="00F93BD0"/>
    <w:rsid w:val="00F93F7D"/>
    <w:rsid w:val="00F940A3"/>
    <w:rsid w:val="00F947B9"/>
    <w:rsid w:val="00F948F6"/>
    <w:rsid w:val="00F94FBE"/>
    <w:rsid w:val="00F956EC"/>
    <w:rsid w:val="00F95CB0"/>
    <w:rsid w:val="00F9605C"/>
    <w:rsid w:val="00F962A5"/>
    <w:rsid w:val="00F9695A"/>
    <w:rsid w:val="00F96DF7"/>
    <w:rsid w:val="00F96E59"/>
    <w:rsid w:val="00F974B2"/>
    <w:rsid w:val="00F9792A"/>
    <w:rsid w:val="00F97AF2"/>
    <w:rsid w:val="00F97D3C"/>
    <w:rsid w:val="00FA0173"/>
    <w:rsid w:val="00FA03F7"/>
    <w:rsid w:val="00FA0493"/>
    <w:rsid w:val="00FA0A87"/>
    <w:rsid w:val="00FA11D0"/>
    <w:rsid w:val="00FA1221"/>
    <w:rsid w:val="00FA129F"/>
    <w:rsid w:val="00FA134E"/>
    <w:rsid w:val="00FA1372"/>
    <w:rsid w:val="00FA1421"/>
    <w:rsid w:val="00FA14D2"/>
    <w:rsid w:val="00FA14FB"/>
    <w:rsid w:val="00FA168B"/>
    <w:rsid w:val="00FA194C"/>
    <w:rsid w:val="00FA195E"/>
    <w:rsid w:val="00FA1B89"/>
    <w:rsid w:val="00FA1D16"/>
    <w:rsid w:val="00FA1FDE"/>
    <w:rsid w:val="00FA20BB"/>
    <w:rsid w:val="00FA2337"/>
    <w:rsid w:val="00FA23B2"/>
    <w:rsid w:val="00FA2473"/>
    <w:rsid w:val="00FA25C5"/>
    <w:rsid w:val="00FA25E3"/>
    <w:rsid w:val="00FA2DD2"/>
    <w:rsid w:val="00FA2E5A"/>
    <w:rsid w:val="00FA386B"/>
    <w:rsid w:val="00FA3F64"/>
    <w:rsid w:val="00FA4141"/>
    <w:rsid w:val="00FA450C"/>
    <w:rsid w:val="00FA4BF7"/>
    <w:rsid w:val="00FA4E39"/>
    <w:rsid w:val="00FA4FD3"/>
    <w:rsid w:val="00FA5113"/>
    <w:rsid w:val="00FA51FA"/>
    <w:rsid w:val="00FA57E8"/>
    <w:rsid w:val="00FA5B8B"/>
    <w:rsid w:val="00FA6202"/>
    <w:rsid w:val="00FA64A3"/>
    <w:rsid w:val="00FA6D11"/>
    <w:rsid w:val="00FA6D90"/>
    <w:rsid w:val="00FA74DA"/>
    <w:rsid w:val="00FA7B09"/>
    <w:rsid w:val="00FA7DB4"/>
    <w:rsid w:val="00FA7E05"/>
    <w:rsid w:val="00FB00FF"/>
    <w:rsid w:val="00FB0397"/>
    <w:rsid w:val="00FB0565"/>
    <w:rsid w:val="00FB06D2"/>
    <w:rsid w:val="00FB0C0B"/>
    <w:rsid w:val="00FB0D8A"/>
    <w:rsid w:val="00FB0E63"/>
    <w:rsid w:val="00FB0E75"/>
    <w:rsid w:val="00FB0F2F"/>
    <w:rsid w:val="00FB14C2"/>
    <w:rsid w:val="00FB1CD5"/>
    <w:rsid w:val="00FB22E0"/>
    <w:rsid w:val="00FB2575"/>
    <w:rsid w:val="00FB2618"/>
    <w:rsid w:val="00FB26B0"/>
    <w:rsid w:val="00FB2E99"/>
    <w:rsid w:val="00FB3854"/>
    <w:rsid w:val="00FB3B94"/>
    <w:rsid w:val="00FB410C"/>
    <w:rsid w:val="00FB45CF"/>
    <w:rsid w:val="00FB477E"/>
    <w:rsid w:val="00FB4D03"/>
    <w:rsid w:val="00FB4DAE"/>
    <w:rsid w:val="00FB4EE5"/>
    <w:rsid w:val="00FB4FFD"/>
    <w:rsid w:val="00FB50C0"/>
    <w:rsid w:val="00FB513F"/>
    <w:rsid w:val="00FB57D6"/>
    <w:rsid w:val="00FB58F5"/>
    <w:rsid w:val="00FB592D"/>
    <w:rsid w:val="00FB5A35"/>
    <w:rsid w:val="00FB5B17"/>
    <w:rsid w:val="00FB5EFF"/>
    <w:rsid w:val="00FB6416"/>
    <w:rsid w:val="00FB65A1"/>
    <w:rsid w:val="00FB6687"/>
    <w:rsid w:val="00FB67EB"/>
    <w:rsid w:val="00FB69C9"/>
    <w:rsid w:val="00FB7391"/>
    <w:rsid w:val="00FB77A2"/>
    <w:rsid w:val="00FB7B79"/>
    <w:rsid w:val="00FB7EFD"/>
    <w:rsid w:val="00FB7FED"/>
    <w:rsid w:val="00FC0280"/>
    <w:rsid w:val="00FC0AB0"/>
    <w:rsid w:val="00FC117D"/>
    <w:rsid w:val="00FC11F7"/>
    <w:rsid w:val="00FC16F0"/>
    <w:rsid w:val="00FC1777"/>
    <w:rsid w:val="00FC1D49"/>
    <w:rsid w:val="00FC1DED"/>
    <w:rsid w:val="00FC23B6"/>
    <w:rsid w:val="00FC2541"/>
    <w:rsid w:val="00FC28C7"/>
    <w:rsid w:val="00FC299B"/>
    <w:rsid w:val="00FC3438"/>
    <w:rsid w:val="00FC3846"/>
    <w:rsid w:val="00FC3A34"/>
    <w:rsid w:val="00FC3A41"/>
    <w:rsid w:val="00FC3AFF"/>
    <w:rsid w:val="00FC3CEA"/>
    <w:rsid w:val="00FC3FBF"/>
    <w:rsid w:val="00FC4106"/>
    <w:rsid w:val="00FC42BA"/>
    <w:rsid w:val="00FC444A"/>
    <w:rsid w:val="00FC4499"/>
    <w:rsid w:val="00FC457D"/>
    <w:rsid w:val="00FC469F"/>
    <w:rsid w:val="00FC485C"/>
    <w:rsid w:val="00FC4E5A"/>
    <w:rsid w:val="00FC4E8F"/>
    <w:rsid w:val="00FC5141"/>
    <w:rsid w:val="00FC596F"/>
    <w:rsid w:val="00FC5AF4"/>
    <w:rsid w:val="00FC5CD6"/>
    <w:rsid w:val="00FC61D6"/>
    <w:rsid w:val="00FC63DE"/>
    <w:rsid w:val="00FC6BED"/>
    <w:rsid w:val="00FC6FE4"/>
    <w:rsid w:val="00FC730B"/>
    <w:rsid w:val="00FC7398"/>
    <w:rsid w:val="00FC7453"/>
    <w:rsid w:val="00FC75D1"/>
    <w:rsid w:val="00FC79BF"/>
    <w:rsid w:val="00FC7C44"/>
    <w:rsid w:val="00FD06D0"/>
    <w:rsid w:val="00FD0718"/>
    <w:rsid w:val="00FD08B5"/>
    <w:rsid w:val="00FD0C72"/>
    <w:rsid w:val="00FD10F2"/>
    <w:rsid w:val="00FD13EA"/>
    <w:rsid w:val="00FD144D"/>
    <w:rsid w:val="00FD14CF"/>
    <w:rsid w:val="00FD1649"/>
    <w:rsid w:val="00FD197D"/>
    <w:rsid w:val="00FD1EAE"/>
    <w:rsid w:val="00FD1F8B"/>
    <w:rsid w:val="00FD24ED"/>
    <w:rsid w:val="00FD271A"/>
    <w:rsid w:val="00FD2810"/>
    <w:rsid w:val="00FD29D7"/>
    <w:rsid w:val="00FD2AE9"/>
    <w:rsid w:val="00FD2B3B"/>
    <w:rsid w:val="00FD2F13"/>
    <w:rsid w:val="00FD3608"/>
    <w:rsid w:val="00FD3644"/>
    <w:rsid w:val="00FD380B"/>
    <w:rsid w:val="00FD3BDE"/>
    <w:rsid w:val="00FD3F94"/>
    <w:rsid w:val="00FD42FE"/>
    <w:rsid w:val="00FD431D"/>
    <w:rsid w:val="00FD43D3"/>
    <w:rsid w:val="00FD44E5"/>
    <w:rsid w:val="00FD4788"/>
    <w:rsid w:val="00FD4BA0"/>
    <w:rsid w:val="00FD4FEF"/>
    <w:rsid w:val="00FD570F"/>
    <w:rsid w:val="00FD63EF"/>
    <w:rsid w:val="00FD6CAB"/>
    <w:rsid w:val="00FD6DFD"/>
    <w:rsid w:val="00FD6E79"/>
    <w:rsid w:val="00FD71C3"/>
    <w:rsid w:val="00FD72F5"/>
    <w:rsid w:val="00FD74BF"/>
    <w:rsid w:val="00FD7F46"/>
    <w:rsid w:val="00FE0314"/>
    <w:rsid w:val="00FE04A5"/>
    <w:rsid w:val="00FE05D3"/>
    <w:rsid w:val="00FE06AC"/>
    <w:rsid w:val="00FE077D"/>
    <w:rsid w:val="00FE0B66"/>
    <w:rsid w:val="00FE0DE3"/>
    <w:rsid w:val="00FE1411"/>
    <w:rsid w:val="00FE1612"/>
    <w:rsid w:val="00FE1B25"/>
    <w:rsid w:val="00FE21AC"/>
    <w:rsid w:val="00FE2249"/>
    <w:rsid w:val="00FE237F"/>
    <w:rsid w:val="00FE23A9"/>
    <w:rsid w:val="00FE25E0"/>
    <w:rsid w:val="00FE3264"/>
    <w:rsid w:val="00FE342C"/>
    <w:rsid w:val="00FE3B10"/>
    <w:rsid w:val="00FE3CA0"/>
    <w:rsid w:val="00FE3E5F"/>
    <w:rsid w:val="00FE3FD1"/>
    <w:rsid w:val="00FE409F"/>
    <w:rsid w:val="00FE45BD"/>
    <w:rsid w:val="00FE4931"/>
    <w:rsid w:val="00FE4A7E"/>
    <w:rsid w:val="00FE4BC0"/>
    <w:rsid w:val="00FE4F67"/>
    <w:rsid w:val="00FE5415"/>
    <w:rsid w:val="00FE5937"/>
    <w:rsid w:val="00FE5D68"/>
    <w:rsid w:val="00FE5DFD"/>
    <w:rsid w:val="00FE5F1D"/>
    <w:rsid w:val="00FE6B14"/>
    <w:rsid w:val="00FE7459"/>
    <w:rsid w:val="00FE751C"/>
    <w:rsid w:val="00FE7A69"/>
    <w:rsid w:val="00FE7A71"/>
    <w:rsid w:val="00FE7D84"/>
    <w:rsid w:val="00FE7D96"/>
    <w:rsid w:val="00FF00B5"/>
    <w:rsid w:val="00FF038E"/>
    <w:rsid w:val="00FF07E4"/>
    <w:rsid w:val="00FF086A"/>
    <w:rsid w:val="00FF128A"/>
    <w:rsid w:val="00FF1459"/>
    <w:rsid w:val="00FF14C6"/>
    <w:rsid w:val="00FF1538"/>
    <w:rsid w:val="00FF15B7"/>
    <w:rsid w:val="00FF1607"/>
    <w:rsid w:val="00FF1C11"/>
    <w:rsid w:val="00FF25DE"/>
    <w:rsid w:val="00FF2785"/>
    <w:rsid w:val="00FF2D2A"/>
    <w:rsid w:val="00FF2E14"/>
    <w:rsid w:val="00FF31A1"/>
    <w:rsid w:val="00FF31AC"/>
    <w:rsid w:val="00FF3EC3"/>
    <w:rsid w:val="00FF4147"/>
    <w:rsid w:val="00FF42E5"/>
    <w:rsid w:val="00FF43D3"/>
    <w:rsid w:val="00FF4EB5"/>
    <w:rsid w:val="00FF4F0B"/>
    <w:rsid w:val="00FF5252"/>
    <w:rsid w:val="00FF53E0"/>
    <w:rsid w:val="00FF5493"/>
    <w:rsid w:val="00FF5531"/>
    <w:rsid w:val="00FF5E30"/>
    <w:rsid w:val="00FF6DC1"/>
    <w:rsid w:val="00FF6E0B"/>
    <w:rsid w:val="00FF6F31"/>
    <w:rsid w:val="00FF7063"/>
    <w:rsid w:val="00FF7466"/>
    <w:rsid w:val="00FF7540"/>
    <w:rsid w:val="00FF775E"/>
    <w:rsid w:val="00FF7982"/>
    <w:rsid w:val="00FF7A85"/>
    <w:rsid w:val="00FF7B6C"/>
    <w:rsid w:val="016A1660"/>
    <w:rsid w:val="0179546C"/>
    <w:rsid w:val="01A55B1C"/>
    <w:rsid w:val="01E6443F"/>
    <w:rsid w:val="01EA5991"/>
    <w:rsid w:val="03761410"/>
    <w:rsid w:val="045B39AD"/>
    <w:rsid w:val="04912ACD"/>
    <w:rsid w:val="04A13B46"/>
    <w:rsid w:val="04A15406"/>
    <w:rsid w:val="059071DE"/>
    <w:rsid w:val="072E5A65"/>
    <w:rsid w:val="07EC5AE7"/>
    <w:rsid w:val="07F631D1"/>
    <w:rsid w:val="08BB45BC"/>
    <w:rsid w:val="093A1985"/>
    <w:rsid w:val="0A9D47E0"/>
    <w:rsid w:val="0B4C599F"/>
    <w:rsid w:val="0BA13F3D"/>
    <w:rsid w:val="0C455357"/>
    <w:rsid w:val="0C4A1184"/>
    <w:rsid w:val="0CCC22EB"/>
    <w:rsid w:val="0DB55A7E"/>
    <w:rsid w:val="0DC768EC"/>
    <w:rsid w:val="0DF90DB1"/>
    <w:rsid w:val="0E533281"/>
    <w:rsid w:val="0EA44FAB"/>
    <w:rsid w:val="0EB775A3"/>
    <w:rsid w:val="10174316"/>
    <w:rsid w:val="10256388"/>
    <w:rsid w:val="10AA73F0"/>
    <w:rsid w:val="10C304B2"/>
    <w:rsid w:val="10F863AD"/>
    <w:rsid w:val="11755C50"/>
    <w:rsid w:val="11DD12BD"/>
    <w:rsid w:val="11FD79F3"/>
    <w:rsid w:val="12530CCC"/>
    <w:rsid w:val="127759F8"/>
    <w:rsid w:val="12810624"/>
    <w:rsid w:val="12BB3514"/>
    <w:rsid w:val="12DB4D5B"/>
    <w:rsid w:val="13E57CC1"/>
    <w:rsid w:val="14457A7C"/>
    <w:rsid w:val="14467C07"/>
    <w:rsid w:val="145F04F1"/>
    <w:rsid w:val="149C7998"/>
    <w:rsid w:val="15D82D20"/>
    <w:rsid w:val="16CD3E38"/>
    <w:rsid w:val="17A56B63"/>
    <w:rsid w:val="17E22640"/>
    <w:rsid w:val="18902F97"/>
    <w:rsid w:val="1891615A"/>
    <w:rsid w:val="18C82B09"/>
    <w:rsid w:val="18E8176B"/>
    <w:rsid w:val="190E3737"/>
    <w:rsid w:val="19243587"/>
    <w:rsid w:val="1A472B8C"/>
    <w:rsid w:val="1AD124DC"/>
    <w:rsid w:val="1B503118"/>
    <w:rsid w:val="1B676A58"/>
    <w:rsid w:val="1BE063BC"/>
    <w:rsid w:val="1BFB31F6"/>
    <w:rsid w:val="1C4D2833"/>
    <w:rsid w:val="1D540E0F"/>
    <w:rsid w:val="1D9456B0"/>
    <w:rsid w:val="1D9751A0"/>
    <w:rsid w:val="1D9E208B"/>
    <w:rsid w:val="1DCC554F"/>
    <w:rsid w:val="1DEE36F3"/>
    <w:rsid w:val="1EE75CB3"/>
    <w:rsid w:val="1F040AE2"/>
    <w:rsid w:val="1F3A4035"/>
    <w:rsid w:val="1F680515"/>
    <w:rsid w:val="202316F8"/>
    <w:rsid w:val="204A2C1F"/>
    <w:rsid w:val="20DD2C3A"/>
    <w:rsid w:val="211851B4"/>
    <w:rsid w:val="21771570"/>
    <w:rsid w:val="21D50045"/>
    <w:rsid w:val="21EE1ECC"/>
    <w:rsid w:val="223732B4"/>
    <w:rsid w:val="23626302"/>
    <w:rsid w:val="23CD5478"/>
    <w:rsid w:val="24816925"/>
    <w:rsid w:val="259D7DED"/>
    <w:rsid w:val="25E9677D"/>
    <w:rsid w:val="264C360F"/>
    <w:rsid w:val="27362CE4"/>
    <w:rsid w:val="27E72880"/>
    <w:rsid w:val="27F956CD"/>
    <w:rsid w:val="281B7DE6"/>
    <w:rsid w:val="287700A8"/>
    <w:rsid w:val="28FB09AD"/>
    <w:rsid w:val="29096867"/>
    <w:rsid w:val="293B3CB2"/>
    <w:rsid w:val="296A3769"/>
    <w:rsid w:val="29890093"/>
    <w:rsid w:val="29A71223"/>
    <w:rsid w:val="2AF754D0"/>
    <w:rsid w:val="2B0D1F81"/>
    <w:rsid w:val="2B41674B"/>
    <w:rsid w:val="2B7733E2"/>
    <w:rsid w:val="2C55425C"/>
    <w:rsid w:val="2C7C0B29"/>
    <w:rsid w:val="2CA455C9"/>
    <w:rsid w:val="2CD21D51"/>
    <w:rsid w:val="2D897C8D"/>
    <w:rsid w:val="2DBE4083"/>
    <w:rsid w:val="2E2A66CA"/>
    <w:rsid w:val="2E9F2106"/>
    <w:rsid w:val="2FF257BD"/>
    <w:rsid w:val="2FF330EE"/>
    <w:rsid w:val="300761B5"/>
    <w:rsid w:val="30085A89"/>
    <w:rsid w:val="30A11834"/>
    <w:rsid w:val="30EE0767"/>
    <w:rsid w:val="313872C0"/>
    <w:rsid w:val="316A69FC"/>
    <w:rsid w:val="31EA3590"/>
    <w:rsid w:val="32035B01"/>
    <w:rsid w:val="32492F37"/>
    <w:rsid w:val="32537490"/>
    <w:rsid w:val="327337EB"/>
    <w:rsid w:val="32940808"/>
    <w:rsid w:val="33087C08"/>
    <w:rsid w:val="33617221"/>
    <w:rsid w:val="33A6689E"/>
    <w:rsid w:val="33C63C91"/>
    <w:rsid w:val="341D307C"/>
    <w:rsid w:val="344156BE"/>
    <w:rsid w:val="35292F17"/>
    <w:rsid w:val="35494B7A"/>
    <w:rsid w:val="35831F07"/>
    <w:rsid w:val="35912AD9"/>
    <w:rsid w:val="366217B8"/>
    <w:rsid w:val="370263E9"/>
    <w:rsid w:val="37712166"/>
    <w:rsid w:val="38146732"/>
    <w:rsid w:val="38997BC6"/>
    <w:rsid w:val="38A10B77"/>
    <w:rsid w:val="38D86941"/>
    <w:rsid w:val="39316051"/>
    <w:rsid w:val="39A049F2"/>
    <w:rsid w:val="3A0C2C49"/>
    <w:rsid w:val="3A195B58"/>
    <w:rsid w:val="3A571D95"/>
    <w:rsid w:val="3A5A1688"/>
    <w:rsid w:val="3AFE57A6"/>
    <w:rsid w:val="3BD7674E"/>
    <w:rsid w:val="3BE71627"/>
    <w:rsid w:val="3BFD27AF"/>
    <w:rsid w:val="3C3519B4"/>
    <w:rsid w:val="3C4F16F9"/>
    <w:rsid w:val="3C90308E"/>
    <w:rsid w:val="3CB3510A"/>
    <w:rsid w:val="3CCC056A"/>
    <w:rsid w:val="3D406863"/>
    <w:rsid w:val="3D7601CE"/>
    <w:rsid w:val="3DBF59D9"/>
    <w:rsid w:val="3FC52C55"/>
    <w:rsid w:val="417411D1"/>
    <w:rsid w:val="41FD5263"/>
    <w:rsid w:val="42254279"/>
    <w:rsid w:val="42F36125"/>
    <w:rsid w:val="43340C18"/>
    <w:rsid w:val="436D5ED7"/>
    <w:rsid w:val="43713B45"/>
    <w:rsid w:val="437E00E5"/>
    <w:rsid w:val="44A45929"/>
    <w:rsid w:val="45A73923"/>
    <w:rsid w:val="45C65BB7"/>
    <w:rsid w:val="46937DB5"/>
    <w:rsid w:val="48147269"/>
    <w:rsid w:val="487B6CD6"/>
    <w:rsid w:val="48F45344"/>
    <w:rsid w:val="4903307E"/>
    <w:rsid w:val="49C12A41"/>
    <w:rsid w:val="4A456301"/>
    <w:rsid w:val="4A7C5E82"/>
    <w:rsid w:val="4C101D8F"/>
    <w:rsid w:val="4C5D11DF"/>
    <w:rsid w:val="4C9170DB"/>
    <w:rsid w:val="4CA30BBC"/>
    <w:rsid w:val="4CFE3102"/>
    <w:rsid w:val="4D057181"/>
    <w:rsid w:val="4D9E5C73"/>
    <w:rsid w:val="4EA71845"/>
    <w:rsid w:val="4EE07C66"/>
    <w:rsid w:val="4F3700F2"/>
    <w:rsid w:val="4F4405DB"/>
    <w:rsid w:val="4FC60E49"/>
    <w:rsid w:val="4FD44DC6"/>
    <w:rsid w:val="50B07D90"/>
    <w:rsid w:val="50CF59BD"/>
    <w:rsid w:val="519E7FF6"/>
    <w:rsid w:val="51DD1687"/>
    <w:rsid w:val="51E11F6A"/>
    <w:rsid w:val="5220244C"/>
    <w:rsid w:val="5264702A"/>
    <w:rsid w:val="52C6444D"/>
    <w:rsid w:val="532B2603"/>
    <w:rsid w:val="53736A63"/>
    <w:rsid w:val="53B52502"/>
    <w:rsid w:val="5522237F"/>
    <w:rsid w:val="552504BE"/>
    <w:rsid w:val="56574EF1"/>
    <w:rsid w:val="5806097D"/>
    <w:rsid w:val="58AD14B9"/>
    <w:rsid w:val="59433B74"/>
    <w:rsid w:val="597E4543"/>
    <w:rsid w:val="59800F2D"/>
    <w:rsid w:val="59E051FD"/>
    <w:rsid w:val="5BD90156"/>
    <w:rsid w:val="5C090A3C"/>
    <w:rsid w:val="5C6E2434"/>
    <w:rsid w:val="5D3D6D9F"/>
    <w:rsid w:val="5D4A130C"/>
    <w:rsid w:val="5DB3462E"/>
    <w:rsid w:val="5E010F3E"/>
    <w:rsid w:val="5E2D7187"/>
    <w:rsid w:val="5E6927A3"/>
    <w:rsid w:val="5E713415"/>
    <w:rsid w:val="5EB97DCB"/>
    <w:rsid w:val="5EC62C14"/>
    <w:rsid w:val="5ED52E57"/>
    <w:rsid w:val="5F3005FC"/>
    <w:rsid w:val="5F387A7C"/>
    <w:rsid w:val="5F846034"/>
    <w:rsid w:val="609A4358"/>
    <w:rsid w:val="611063C8"/>
    <w:rsid w:val="617866B8"/>
    <w:rsid w:val="61B50D1E"/>
    <w:rsid w:val="625A6286"/>
    <w:rsid w:val="632919C3"/>
    <w:rsid w:val="63332842"/>
    <w:rsid w:val="637F3391"/>
    <w:rsid w:val="64671697"/>
    <w:rsid w:val="65493C57"/>
    <w:rsid w:val="65B705C0"/>
    <w:rsid w:val="660B53B0"/>
    <w:rsid w:val="66673753"/>
    <w:rsid w:val="66B6356E"/>
    <w:rsid w:val="66CA526B"/>
    <w:rsid w:val="66F26570"/>
    <w:rsid w:val="682F7047"/>
    <w:rsid w:val="68AE5A1C"/>
    <w:rsid w:val="691B590A"/>
    <w:rsid w:val="6A5C12D9"/>
    <w:rsid w:val="6A6B7365"/>
    <w:rsid w:val="6A793EE8"/>
    <w:rsid w:val="6AE0505D"/>
    <w:rsid w:val="6B006FFB"/>
    <w:rsid w:val="6B8F5AB0"/>
    <w:rsid w:val="6BB107A8"/>
    <w:rsid w:val="6CC664D5"/>
    <w:rsid w:val="6D0E4E2B"/>
    <w:rsid w:val="6DAA3701"/>
    <w:rsid w:val="6DC24EEE"/>
    <w:rsid w:val="6E352F58"/>
    <w:rsid w:val="6ED8604B"/>
    <w:rsid w:val="6EFB5F66"/>
    <w:rsid w:val="6F441EB0"/>
    <w:rsid w:val="6F9E3748"/>
    <w:rsid w:val="6FAA7DC7"/>
    <w:rsid w:val="6FB95E7D"/>
    <w:rsid w:val="707F0E75"/>
    <w:rsid w:val="70827D2B"/>
    <w:rsid w:val="70AA3502"/>
    <w:rsid w:val="70CC53D1"/>
    <w:rsid w:val="70FE0348"/>
    <w:rsid w:val="712E52F8"/>
    <w:rsid w:val="71566079"/>
    <w:rsid w:val="71BB4C59"/>
    <w:rsid w:val="71C07AE9"/>
    <w:rsid w:val="725A4EF6"/>
    <w:rsid w:val="72EC0317"/>
    <w:rsid w:val="73124222"/>
    <w:rsid w:val="732469F1"/>
    <w:rsid w:val="733D0B73"/>
    <w:rsid w:val="73591E51"/>
    <w:rsid w:val="73F76F74"/>
    <w:rsid w:val="74213FF1"/>
    <w:rsid w:val="74A92964"/>
    <w:rsid w:val="74E514C2"/>
    <w:rsid w:val="752C0E9F"/>
    <w:rsid w:val="7599096E"/>
    <w:rsid w:val="763B583E"/>
    <w:rsid w:val="76CE66B2"/>
    <w:rsid w:val="76F955B1"/>
    <w:rsid w:val="770252B3"/>
    <w:rsid w:val="772B58B2"/>
    <w:rsid w:val="774424D0"/>
    <w:rsid w:val="774F5EC3"/>
    <w:rsid w:val="780A22F7"/>
    <w:rsid w:val="78C338C8"/>
    <w:rsid w:val="78CB2A38"/>
    <w:rsid w:val="79221A26"/>
    <w:rsid w:val="79330A4E"/>
    <w:rsid w:val="79B131FF"/>
    <w:rsid w:val="79BF33E8"/>
    <w:rsid w:val="79D02741"/>
    <w:rsid w:val="7A7E5289"/>
    <w:rsid w:val="7AFA4FDF"/>
    <w:rsid w:val="7C9C2DAE"/>
    <w:rsid w:val="7D1F193A"/>
    <w:rsid w:val="7D256023"/>
    <w:rsid w:val="7D40198C"/>
    <w:rsid w:val="7D550AB6"/>
    <w:rsid w:val="7DD65E4C"/>
    <w:rsid w:val="7DDB1BD7"/>
    <w:rsid w:val="7E186464"/>
    <w:rsid w:val="7E6D0245"/>
    <w:rsid w:val="7FA46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2pt"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25"/>
    <w:autoRedefine/>
    <w:qFormat/>
    <w:uiPriority w:val="9"/>
    <w:pPr>
      <w:spacing w:line="360" w:lineRule="auto"/>
      <w:outlineLvl w:val="0"/>
    </w:pPr>
    <w:rPr>
      <w:rFonts w:eastAsia="黑体"/>
      <w:kern w:val="44"/>
      <w:sz w:val="28"/>
      <w:szCs w:val="28"/>
    </w:rPr>
  </w:style>
  <w:style w:type="paragraph" w:styleId="3">
    <w:name w:val="heading 2"/>
    <w:basedOn w:val="1"/>
    <w:next w:val="1"/>
    <w:link w:val="122"/>
    <w:autoRedefine/>
    <w:qFormat/>
    <w:uiPriority w:val="0"/>
    <w:pPr>
      <w:keepNext/>
      <w:keepLines/>
      <w:adjustRightInd w:val="0"/>
      <w:snapToGrid w:val="0"/>
      <w:spacing w:line="360" w:lineRule="auto"/>
      <w:ind w:firstLine="480" w:firstLineChars="200"/>
      <w:jc w:val="left"/>
      <w:textAlignment w:val="baseline"/>
      <w:outlineLvl w:val="1"/>
    </w:pPr>
    <w:rPr>
      <w:rFonts w:eastAsia="黑体"/>
      <w:kern w:val="0"/>
      <w:sz w:val="24"/>
    </w:rPr>
  </w:style>
  <w:style w:type="paragraph" w:styleId="4">
    <w:name w:val="heading 3"/>
    <w:basedOn w:val="1"/>
    <w:next w:val="1"/>
    <w:link w:val="91"/>
    <w:autoRedefine/>
    <w:qFormat/>
    <w:uiPriority w:val="0"/>
    <w:pPr>
      <w:keepNext/>
      <w:keepLines/>
      <w:spacing w:line="480" w:lineRule="atLeast"/>
      <w:ind w:firstLine="480"/>
      <w:outlineLvl w:val="2"/>
    </w:pPr>
    <w:rPr>
      <w:rFonts w:ascii="黑体" w:eastAsia="黑体"/>
      <w:sz w:val="24"/>
    </w:rPr>
  </w:style>
  <w:style w:type="paragraph" w:styleId="5">
    <w:name w:val="heading 4"/>
    <w:basedOn w:val="1"/>
    <w:next w:val="6"/>
    <w:link w:val="147"/>
    <w:autoRedefine/>
    <w:qFormat/>
    <w:uiPriority w:val="0"/>
    <w:pPr>
      <w:keepNext/>
      <w:keepLines/>
      <w:spacing w:line="480" w:lineRule="atLeast"/>
      <w:ind w:firstLine="482"/>
      <w:outlineLvl w:val="3"/>
    </w:pPr>
    <w:rPr>
      <w:sz w:val="24"/>
    </w:rPr>
  </w:style>
  <w:style w:type="paragraph" w:styleId="7">
    <w:name w:val="heading 5"/>
    <w:basedOn w:val="8"/>
    <w:next w:val="6"/>
    <w:link w:val="98"/>
    <w:autoRedefine/>
    <w:qFormat/>
    <w:uiPriority w:val="0"/>
    <w:pPr>
      <w:keepNext/>
      <w:keepLines/>
      <w:spacing w:before="280" w:after="290" w:line="376" w:lineRule="auto"/>
      <w:outlineLvl w:val="4"/>
    </w:pPr>
    <w:rPr>
      <w:b/>
      <w:sz w:val="28"/>
    </w:rPr>
  </w:style>
  <w:style w:type="paragraph" w:styleId="9">
    <w:name w:val="heading 6"/>
    <w:basedOn w:val="1"/>
    <w:next w:val="1"/>
    <w:link w:val="69"/>
    <w:autoRedefine/>
    <w:qFormat/>
    <w:uiPriority w:val="0"/>
    <w:pPr>
      <w:keepNext/>
      <w:keepLines/>
      <w:spacing w:before="240" w:after="64" w:line="360" w:lineRule="auto"/>
      <w:ind w:firstLine="200" w:firstLineChars="200"/>
      <w:jc w:val="left"/>
      <w:outlineLvl w:val="5"/>
    </w:pPr>
    <w:rPr>
      <w:rFonts w:eastAsia="仿宋_GB2312"/>
      <w:bCs/>
      <w:sz w:val="24"/>
      <w:szCs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4"/>
    <w:autoRedefine/>
    <w:qFormat/>
    <w:uiPriority w:val="0"/>
    <w:pPr>
      <w:ind w:firstLine="420"/>
    </w:pPr>
  </w:style>
  <w:style w:type="paragraph" w:customStyle="1" w:styleId="8">
    <w:name w:val="中文报告书样式"/>
    <w:basedOn w:val="1"/>
    <w:link w:val="94"/>
    <w:autoRedefine/>
    <w:qFormat/>
    <w:uiPriority w:val="0"/>
    <w:pPr>
      <w:adjustRightInd w:val="0"/>
      <w:snapToGrid w:val="0"/>
      <w:spacing w:line="360" w:lineRule="auto"/>
      <w:ind w:firstLine="480" w:firstLineChars="200"/>
      <w:textAlignment w:val="baseline"/>
    </w:pPr>
    <w:rPr>
      <w:kern w:val="24"/>
      <w:sz w:val="24"/>
    </w:rPr>
  </w:style>
  <w:style w:type="paragraph" w:styleId="10">
    <w:name w:val="toc 7"/>
    <w:basedOn w:val="1"/>
    <w:next w:val="1"/>
    <w:autoRedefine/>
    <w:semiHidden/>
    <w:qFormat/>
    <w:uiPriority w:val="0"/>
    <w:pPr>
      <w:ind w:left="1260"/>
      <w:jc w:val="left"/>
    </w:pPr>
    <w:rPr>
      <w:sz w:val="18"/>
    </w:rPr>
  </w:style>
  <w:style w:type="paragraph" w:styleId="11">
    <w:name w:val="Note Heading"/>
    <w:basedOn w:val="1"/>
    <w:next w:val="1"/>
    <w:link w:val="83"/>
    <w:autoRedefine/>
    <w:qFormat/>
    <w:uiPriority w:val="0"/>
    <w:pPr>
      <w:jc w:val="center"/>
    </w:pPr>
    <w:rPr>
      <w:rFonts w:ascii="宋体"/>
    </w:rPr>
  </w:style>
  <w:style w:type="paragraph" w:styleId="12">
    <w:name w:val="List Number"/>
    <w:basedOn w:val="1"/>
    <w:autoRedefine/>
    <w:qFormat/>
    <w:uiPriority w:val="0"/>
    <w:pPr>
      <w:contextualSpacing/>
    </w:pPr>
    <w:rPr>
      <w:szCs w:val="24"/>
    </w:rPr>
  </w:style>
  <w:style w:type="paragraph" w:styleId="13">
    <w:name w:val="caption"/>
    <w:basedOn w:val="1"/>
    <w:next w:val="1"/>
    <w:link w:val="102"/>
    <w:autoRedefine/>
    <w:qFormat/>
    <w:uiPriority w:val="0"/>
    <w:pPr>
      <w:spacing w:before="120" w:beforeLines="50"/>
      <w:jc w:val="center"/>
    </w:pPr>
    <w:rPr>
      <w:rFonts w:eastAsia="仿宋"/>
      <w:sz w:val="28"/>
      <w:szCs w:val="28"/>
    </w:rPr>
  </w:style>
  <w:style w:type="paragraph" w:styleId="14">
    <w:name w:val="Document Map"/>
    <w:basedOn w:val="1"/>
    <w:link w:val="49"/>
    <w:autoRedefine/>
    <w:qFormat/>
    <w:uiPriority w:val="0"/>
    <w:pPr>
      <w:shd w:val="clear" w:color="auto" w:fill="000080"/>
    </w:pPr>
  </w:style>
  <w:style w:type="paragraph" w:styleId="15">
    <w:name w:val="annotation text"/>
    <w:basedOn w:val="1"/>
    <w:link w:val="58"/>
    <w:autoRedefine/>
    <w:qFormat/>
    <w:uiPriority w:val="0"/>
    <w:pPr>
      <w:jc w:val="left"/>
    </w:pPr>
  </w:style>
  <w:style w:type="paragraph" w:styleId="16">
    <w:name w:val="Body Text 3"/>
    <w:basedOn w:val="1"/>
    <w:link w:val="113"/>
    <w:autoRedefine/>
    <w:qFormat/>
    <w:uiPriority w:val="0"/>
    <w:pPr>
      <w:jc w:val="center"/>
    </w:pPr>
    <w:rPr>
      <w:rFonts w:ascii="黑体" w:hAnsi="宋体" w:eastAsia="黑体"/>
      <w:kern w:val="0"/>
      <w:sz w:val="72"/>
      <w:szCs w:val="18"/>
    </w:rPr>
  </w:style>
  <w:style w:type="paragraph" w:styleId="17">
    <w:name w:val="Body Text"/>
    <w:basedOn w:val="1"/>
    <w:link w:val="109"/>
    <w:autoRedefine/>
    <w:qFormat/>
    <w:uiPriority w:val="0"/>
    <w:pPr>
      <w:adjustRightInd w:val="0"/>
      <w:snapToGrid w:val="0"/>
      <w:spacing w:line="360" w:lineRule="auto"/>
    </w:pPr>
    <w:rPr>
      <w:sz w:val="24"/>
    </w:rPr>
  </w:style>
  <w:style w:type="paragraph" w:styleId="18">
    <w:name w:val="Body Text Indent"/>
    <w:basedOn w:val="1"/>
    <w:next w:val="19"/>
    <w:link w:val="112"/>
    <w:autoRedefine/>
    <w:qFormat/>
    <w:uiPriority w:val="0"/>
    <w:pPr>
      <w:adjustRightInd w:val="0"/>
      <w:spacing w:line="440" w:lineRule="atLeast"/>
      <w:ind w:firstLine="480"/>
      <w:jc w:val="left"/>
      <w:textAlignment w:val="baseline"/>
    </w:pPr>
    <w:rPr>
      <w:kern w:val="0"/>
      <w:sz w:val="24"/>
    </w:rPr>
  </w:style>
  <w:style w:type="paragraph" w:styleId="19">
    <w:name w:val="Body Text Indent 2"/>
    <w:basedOn w:val="1"/>
    <w:link w:val="68"/>
    <w:autoRedefine/>
    <w:qFormat/>
    <w:uiPriority w:val="0"/>
    <w:pPr>
      <w:spacing w:line="440" w:lineRule="atLeast"/>
      <w:ind w:firstLine="480"/>
    </w:pPr>
    <w:rPr>
      <w:rFonts w:ascii="宋体" w:hAnsi="宋体"/>
      <w:sz w:val="24"/>
    </w:rPr>
  </w:style>
  <w:style w:type="paragraph" w:styleId="20">
    <w:name w:val="toc 5"/>
    <w:basedOn w:val="1"/>
    <w:next w:val="1"/>
    <w:autoRedefine/>
    <w:semiHidden/>
    <w:qFormat/>
    <w:uiPriority w:val="0"/>
    <w:pPr>
      <w:ind w:left="840"/>
      <w:jc w:val="left"/>
    </w:pPr>
    <w:rPr>
      <w:sz w:val="18"/>
    </w:rPr>
  </w:style>
  <w:style w:type="paragraph" w:styleId="21">
    <w:name w:val="toc 3"/>
    <w:basedOn w:val="1"/>
    <w:next w:val="1"/>
    <w:autoRedefine/>
    <w:semiHidden/>
    <w:qFormat/>
    <w:uiPriority w:val="0"/>
    <w:pPr>
      <w:ind w:left="420"/>
      <w:jc w:val="left"/>
    </w:pPr>
    <w:rPr>
      <w:i/>
      <w:sz w:val="20"/>
    </w:rPr>
  </w:style>
  <w:style w:type="paragraph" w:styleId="22">
    <w:name w:val="Plain Text"/>
    <w:basedOn w:val="1"/>
    <w:link w:val="56"/>
    <w:autoRedefine/>
    <w:qFormat/>
    <w:uiPriority w:val="0"/>
    <w:pPr>
      <w:snapToGrid w:val="0"/>
      <w:spacing w:line="360" w:lineRule="auto"/>
      <w:jc w:val="center"/>
    </w:pPr>
    <w:rPr>
      <w:rFonts w:ascii="仿宋" w:hAnsi="仿宋" w:eastAsia="仿宋"/>
      <w:color w:val="000000"/>
      <w:sz w:val="30"/>
      <w:szCs w:val="30"/>
    </w:rPr>
  </w:style>
  <w:style w:type="paragraph" w:styleId="23">
    <w:name w:val="toc 8"/>
    <w:basedOn w:val="1"/>
    <w:next w:val="1"/>
    <w:autoRedefine/>
    <w:semiHidden/>
    <w:qFormat/>
    <w:uiPriority w:val="0"/>
    <w:pPr>
      <w:ind w:left="1470"/>
      <w:jc w:val="left"/>
    </w:pPr>
    <w:rPr>
      <w:sz w:val="18"/>
    </w:rPr>
  </w:style>
  <w:style w:type="paragraph" w:styleId="24">
    <w:name w:val="Date"/>
    <w:basedOn w:val="1"/>
    <w:next w:val="1"/>
    <w:link w:val="124"/>
    <w:autoRedefine/>
    <w:qFormat/>
    <w:uiPriority w:val="0"/>
    <w:rPr>
      <w:sz w:val="24"/>
    </w:rPr>
  </w:style>
  <w:style w:type="paragraph" w:styleId="25">
    <w:name w:val="Balloon Text"/>
    <w:basedOn w:val="1"/>
    <w:link w:val="89"/>
    <w:autoRedefine/>
    <w:qFormat/>
    <w:uiPriority w:val="0"/>
    <w:rPr>
      <w:sz w:val="18"/>
      <w:szCs w:val="18"/>
    </w:rPr>
  </w:style>
  <w:style w:type="paragraph" w:styleId="26">
    <w:name w:val="footer"/>
    <w:basedOn w:val="1"/>
    <w:link w:val="67"/>
    <w:autoRedefine/>
    <w:qFormat/>
    <w:uiPriority w:val="0"/>
    <w:pPr>
      <w:tabs>
        <w:tab w:val="center" w:pos="4153"/>
        <w:tab w:val="right" w:pos="8306"/>
      </w:tabs>
      <w:snapToGrid w:val="0"/>
      <w:jc w:val="left"/>
    </w:pPr>
    <w:rPr>
      <w:sz w:val="18"/>
    </w:rPr>
  </w:style>
  <w:style w:type="paragraph" w:styleId="27">
    <w:name w:val="header"/>
    <w:basedOn w:val="1"/>
    <w:link w:val="129"/>
    <w:autoRedefine/>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tabs>
        <w:tab w:val="right" w:leader="dot" w:pos="8296"/>
      </w:tabs>
      <w:spacing w:before="120" w:after="120"/>
      <w:jc w:val="left"/>
    </w:pPr>
    <w:rPr>
      <w:rFonts w:ascii="楷体_GB2312" w:eastAsia="楷体_GB2312"/>
      <w:b/>
      <w:caps/>
      <w:sz w:val="24"/>
    </w:rPr>
  </w:style>
  <w:style w:type="paragraph" w:styleId="29">
    <w:name w:val="toc 4"/>
    <w:basedOn w:val="1"/>
    <w:next w:val="1"/>
    <w:autoRedefine/>
    <w:semiHidden/>
    <w:qFormat/>
    <w:uiPriority w:val="0"/>
    <w:pPr>
      <w:ind w:left="630"/>
      <w:jc w:val="left"/>
    </w:pPr>
    <w:rPr>
      <w:sz w:val="18"/>
    </w:rPr>
  </w:style>
  <w:style w:type="paragraph" w:styleId="30">
    <w:name w:val="Subtitle"/>
    <w:basedOn w:val="1"/>
    <w:next w:val="1"/>
    <w:link w:val="64"/>
    <w:autoRedefine/>
    <w:qFormat/>
    <w:uiPriority w:val="0"/>
    <w:pPr>
      <w:widowControl/>
      <w:spacing w:line="360" w:lineRule="auto"/>
      <w:jc w:val="left"/>
      <w:outlineLvl w:val="1"/>
    </w:pPr>
    <w:rPr>
      <w:rFonts w:ascii="Cambria" w:hAnsi="Cambria"/>
      <w:b/>
      <w:bCs/>
      <w:kern w:val="28"/>
      <w:sz w:val="24"/>
      <w:szCs w:val="32"/>
      <w:lang w:val="nl-NL"/>
    </w:rPr>
  </w:style>
  <w:style w:type="paragraph" w:styleId="31">
    <w:name w:val="List"/>
    <w:basedOn w:val="1"/>
    <w:autoRedefine/>
    <w:qFormat/>
    <w:uiPriority w:val="0"/>
    <w:pPr>
      <w:ind w:left="200" w:hanging="200" w:hangingChars="200"/>
      <w:contextualSpacing/>
    </w:pPr>
  </w:style>
  <w:style w:type="paragraph" w:styleId="32">
    <w:name w:val="toc 6"/>
    <w:basedOn w:val="1"/>
    <w:next w:val="1"/>
    <w:autoRedefine/>
    <w:semiHidden/>
    <w:qFormat/>
    <w:uiPriority w:val="0"/>
    <w:pPr>
      <w:ind w:left="1050"/>
      <w:jc w:val="left"/>
    </w:pPr>
    <w:rPr>
      <w:sz w:val="18"/>
    </w:rPr>
  </w:style>
  <w:style w:type="paragraph" w:styleId="33">
    <w:name w:val="Body Text Indent 3"/>
    <w:basedOn w:val="1"/>
    <w:link w:val="120"/>
    <w:autoRedefine/>
    <w:qFormat/>
    <w:uiPriority w:val="0"/>
    <w:pPr>
      <w:spacing w:after="120"/>
      <w:ind w:left="420" w:leftChars="200"/>
    </w:pPr>
    <w:rPr>
      <w:sz w:val="16"/>
      <w:szCs w:val="16"/>
    </w:rPr>
  </w:style>
  <w:style w:type="paragraph" w:styleId="34">
    <w:name w:val="toc 2"/>
    <w:basedOn w:val="1"/>
    <w:next w:val="1"/>
    <w:autoRedefine/>
    <w:qFormat/>
    <w:uiPriority w:val="39"/>
    <w:pPr>
      <w:tabs>
        <w:tab w:val="right" w:leader="dot" w:pos="8296"/>
      </w:tabs>
      <w:spacing w:line="312" w:lineRule="auto"/>
      <w:ind w:left="210"/>
      <w:jc w:val="left"/>
    </w:pPr>
    <w:rPr>
      <w:rFonts w:ascii="楷体_GB2312" w:eastAsia="楷体_GB2312"/>
      <w:smallCaps/>
      <w:sz w:val="24"/>
    </w:rPr>
  </w:style>
  <w:style w:type="paragraph" w:styleId="35">
    <w:name w:val="toc 9"/>
    <w:basedOn w:val="1"/>
    <w:next w:val="1"/>
    <w:autoRedefine/>
    <w:semiHidden/>
    <w:qFormat/>
    <w:uiPriority w:val="0"/>
    <w:pPr>
      <w:ind w:left="1680"/>
      <w:jc w:val="left"/>
    </w:pPr>
    <w:rPr>
      <w:sz w:val="18"/>
    </w:rPr>
  </w:style>
  <w:style w:type="paragraph" w:styleId="36">
    <w:name w:val="Body Text 2"/>
    <w:basedOn w:val="1"/>
    <w:link w:val="66"/>
    <w:autoRedefine/>
    <w:qFormat/>
    <w:uiPriority w:val="0"/>
    <w:pPr>
      <w:spacing w:after="120" w:line="480" w:lineRule="auto"/>
    </w:pPr>
  </w:style>
  <w:style w:type="paragraph" w:styleId="37">
    <w:name w:val="HTML Preformatted"/>
    <w:basedOn w:val="1"/>
    <w:link w:val="7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8">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9">
    <w:name w:val="annotation subject"/>
    <w:basedOn w:val="15"/>
    <w:next w:val="15"/>
    <w:link w:val="73"/>
    <w:autoRedefine/>
    <w:qFormat/>
    <w:uiPriority w:val="0"/>
    <w:rPr>
      <w:b/>
      <w:bCs/>
    </w:rPr>
  </w:style>
  <w:style w:type="paragraph" w:styleId="40">
    <w:name w:val="Body Text First Indent 2"/>
    <w:basedOn w:val="18"/>
    <w:next w:val="1"/>
    <w:unhideWhenUsed/>
    <w:qFormat/>
    <w:uiPriority w:val="99"/>
    <w:pPr>
      <w:ind w:firstLine="420" w:firstLineChars="200"/>
    </w:pPr>
  </w:style>
  <w:style w:type="table" w:styleId="42">
    <w:name w:val="Table Grid"/>
    <w:basedOn w:val="41"/>
    <w:autoRedefine/>
    <w:qFormat/>
    <w:uiPriority w:val="59"/>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autoRedefine/>
    <w:qFormat/>
    <w:uiPriority w:val="22"/>
    <w:rPr>
      <w:b/>
      <w:bCs/>
    </w:rPr>
  </w:style>
  <w:style w:type="character" w:styleId="45">
    <w:name w:val="page number"/>
    <w:basedOn w:val="43"/>
    <w:autoRedefine/>
    <w:qFormat/>
    <w:uiPriority w:val="0"/>
  </w:style>
  <w:style w:type="character" w:styleId="46">
    <w:name w:val="FollowedHyperlink"/>
    <w:autoRedefine/>
    <w:qFormat/>
    <w:uiPriority w:val="0"/>
    <w:rPr>
      <w:color w:val="800080"/>
      <w:u w:val="single"/>
    </w:rPr>
  </w:style>
  <w:style w:type="character" w:styleId="47">
    <w:name w:val="Hyperlink"/>
    <w:autoRedefine/>
    <w:qFormat/>
    <w:uiPriority w:val="99"/>
    <w:rPr>
      <w:color w:val="0000FF"/>
      <w:u w:val="single"/>
    </w:rPr>
  </w:style>
  <w:style w:type="character" w:styleId="48">
    <w:name w:val="annotation reference"/>
    <w:autoRedefine/>
    <w:qFormat/>
    <w:uiPriority w:val="0"/>
    <w:rPr>
      <w:sz w:val="21"/>
      <w:szCs w:val="21"/>
    </w:rPr>
  </w:style>
  <w:style w:type="character" w:customStyle="1" w:styleId="49">
    <w:name w:val="文档结构图 字符"/>
    <w:link w:val="14"/>
    <w:autoRedefine/>
    <w:qFormat/>
    <w:uiPriority w:val="0"/>
    <w:rPr>
      <w:kern w:val="2"/>
      <w:sz w:val="21"/>
      <w:shd w:val="clear" w:color="auto" w:fill="000080"/>
    </w:rPr>
  </w:style>
  <w:style w:type="character" w:customStyle="1" w:styleId="50">
    <w:name w:val="正文-z Char"/>
    <w:link w:val="51"/>
    <w:autoRedefine/>
    <w:qFormat/>
    <w:uiPriority w:val="0"/>
    <w:rPr>
      <w:kern w:val="2"/>
      <w:sz w:val="24"/>
      <w:szCs w:val="22"/>
    </w:rPr>
  </w:style>
  <w:style w:type="paragraph" w:customStyle="1" w:styleId="51">
    <w:name w:val="正文-z"/>
    <w:basedOn w:val="1"/>
    <w:link w:val="50"/>
    <w:autoRedefine/>
    <w:qFormat/>
    <w:uiPriority w:val="0"/>
    <w:pPr>
      <w:widowControl/>
      <w:spacing w:line="360" w:lineRule="auto"/>
      <w:ind w:firstLine="480" w:firstLineChars="200"/>
    </w:pPr>
    <w:rPr>
      <w:sz w:val="24"/>
      <w:szCs w:val="22"/>
    </w:rPr>
  </w:style>
  <w:style w:type="character" w:customStyle="1" w:styleId="52">
    <w:name w:val="正文段落 Char Char"/>
    <w:link w:val="53"/>
    <w:autoRedefine/>
    <w:qFormat/>
    <w:uiPriority w:val="0"/>
    <w:rPr>
      <w:rFonts w:eastAsia="仿宋_GB2312"/>
      <w:sz w:val="28"/>
      <w:szCs w:val="28"/>
    </w:rPr>
  </w:style>
  <w:style w:type="paragraph" w:customStyle="1" w:styleId="53">
    <w:name w:val="正文段落"/>
    <w:basedOn w:val="1"/>
    <w:link w:val="52"/>
    <w:autoRedefine/>
    <w:qFormat/>
    <w:uiPriority w:val="0"/>
    <w:pPr>
      <w:ind w:firstLine="954"/>
    </w:pPr>
    <w:rPr>
      <w:rFonts w:eastAsia="仿宋_GB2312"/>
      <w:kern w:val="0"/>
      <w:sz w:val="28"/>
      <w:szCs w:val="28"/>
    </w:rPr>
  </w:style>
  <w:style w:type="character" w:customStyle="1" w:styleId="54">
    <w:name w:val="！！报告表 Char"/>
    <w:link w:val="55"/>
    <w:autoRedefine/>
    <w:qFormat/>
    <w:uiPriority w:val="0"/>
    <w:rPr>
      <w:sz w:val="24"/>
      <w:szCs w:val="24"/>
    </w:rPr>
  </w:style>
  <w:style w:type="paragraph" w:customStyle="1" w:styleId="55">
    <w:name w:val="！！报告表"/>
    <w:basedOn w:val="1"/>
    <w:link w:val="54"/>
    <w:autoRedefine/>
    <w:qFormat/>
    <w:uiPriority w:val="0"/>
    <w:pPr>
      <w:adjustRightInd w:val="0"/>
      <w:snapToGrid w:val="0"/>
      <w:spacing w:line="360" w:lineRule="auto"/>
      <w:ind w:firstLine="200" w:firstLineChars="200"/>
    </w:pPr>
    <w:rPr>
      <w:kern w:val="0"/>
      <w:sz w:val="24"/>
      <w:szCs w:val="24"/>
    </w:rPr>
  </w:style>
  <w:style w:type="character" w:customStyle="1" w:styleId="56">
    <w:name w:val="纯文本 字符"/>
    <w:link w:val="22"/>
    <w:autoRedefine/>
    <w:qFormat/>
    <w:uiPriority w:val="0"/>
    <w:rPr>
      <w:rFonts w:ascii="仿宋" w:hAnsi="仿宋" w:eastAsia="仿宋"/>
      <w:color w:val="000000"/>
      <w:kern w:val="2"/>
      <w:sz w:val="30"/>
      <w:szCs w:val="30"/>
    </w:rPr>
  </w:style>
  <w:style w:type="character" w:customStyle="1" w:styleId="57">
    <w:name w:val="纯文本 Char1"/>
    <w:autoRedefine/>
    <w:qFormat/>
    <w:uiPriority w:val="0"/>
    <w:rPr>
      <w:rFonts w:ascii="宋体" w:hAnsi="Courier New"/>
      <w:kern w:val="2"/>
      <w:sz w:val="21"/>
    </w:rPr>
  </w:style>
  <w:style w:type="character" w:customStyle="1" w:styleId="58">
    <w:name w:val="批注文字 字符"/>
    <w:link w:val="15"/>
    <w:autoRedefine/>
    <w:qFormat/>
    <w:locked/>
    <w:uiPriority w:val="0"/>
    <w:rPr>
      <w:rFonts w:eastAsia="宋体"/>
      <w:kern w:val="2"/>
      <w:sz w:val="21"/>
      <w:lang w:val="en-US" w:eastAsia="zh-CN" w:bidi="ar-SA"/>
    </w:rPr>
  </w:style>
  <w:style w:type="character" w:customStyle="1" w:styleId="59">
    <w:name w:val="showtreebodycontent1"/>
    <w:autoRedefine/>
    <w:qFormat/>
    <w:uiPriority w:val="0"/>
    <w:rPr>
      <w:sz w:val="21"/>
      <w:szCs w:val="21"/>
    </w:rPr>
  </w:style>
  <w:style w:type="character" w:customStyle="1" w:styleId="60">
    <w:name w:val="预案正文 Char Char"/>
    <w:link w:val="61"/>
    <w:autoRedefine/>
    <w:qFormat/>
    <w:uiPriority w:val="0"/>
    <w:rPr>
      <w:rFonts w:eastAsia="仿宋_GB2312"/>
      <w:kern w:val="2"/>
      <w:sz w:val="28"/>
      <w:szCs w:val="24"/>
    </w:rPr>
  </w:style>
  <w:style w:type="paragraph" w:customStyle="1" w:styleId="61">
    <w:name w:val="预案正文"/>
    <w:basedOn w:val="1"/>
    <w:link w:val="60"/>
    <w:autoRedefine/>
    <w:qFormat/>
    <w:uiPriority w:val="0"/>
    <w:pPr>
      <w:spacing w:line="360" w:lineRule="auto"/>
      <w:ind w:firstLine="200" w:firstLineChars="200"/>
    </w:pPr>
    <w:rPr>
      <w:rFonts w:eastAsia="仿宋_GB2312"/>
      <w:sz w:val="28"/>
      <w:szCs w:val="24"/>
    </w:rPr>
  </w:style>
  <w:style w:type="character" w:customStyle="1" w:styleId="62">
    <w:name w:val="表标2-z Char"/>
    <w:link w:val="63"/>
    <w:autoRedefine/>
    <w:qFormat/>
    <w:uiPriority w:val="7"/>
    <w:rPr>
      <w:b/>
      <w:bCs/>
      <w:kern w:val="44"/>
      <w:sz w:val="28"/>
      <w:szCs w:val="44"/>
    </w:rPr>
  </w:style>
  <w:style w:type="paragraph" w:customStyle="1" w:styleId="63">
    <w:name w:val="表标2-z"/>
    <w:basedOn w:val="2"/>
    <w:link w:val="62"/>
    <w:autoRedefine/>
    <w:qFormat/>
    <w:uiPriority w:val="7"/>
    <w:pPr>
      <w:widowControl/>
      <w:spacing w:line="240" w:lineRule="auto"/>
      <w:jc w:val="left"/>
      <w:outlineLvl w:val="1"/>
    </w:pPr>
    <w:rPr>
      <w:rFonts w:eastAsia="宋体"/>
      <w:b/>
      <w:bCs/>
      <w:szCs w:val="44"/>
    </w:rPr>
  </w:style>
  <w:style w:type="character" w:customStyle="1" w:styleId="64">
    <w:name w:val="副标题 字符"/>
    <w:link w:val="30"/>
    <w:autoRedefine/>
    <w:qFormat/>
    <w:uiPriority w:val="0"/>
    <w:rPr>
      <w:rFonts w:ascii="Cambria" w:hAnsi="Cambria"/>
      <w:b/>
      <w:bCs/>
      <w:kern w:val="28"/>
      <w:sz w:val="24"/>
      <w:szCs w:val="32"/>
      <w:lang w:val="nl-NL"/>
    </w:rPr>
  </w:style>
  <w:style w:type="character" w:customStyle="1" w:styleId="65">
    <w:name w:val="ht1"/>
    <w:autoRedefine/>
    <w:qFormat/>
    <w:uiPriority w:val="0"/>
    <w:rPr>
      <w:rFonts w:ascii="黑体" w:eastAsia="黑体"/>
      <w:b/>
      <w:bCs/>
    </w:rPr>
  </w:style>
  <w:style w:type="character" w:customStyle="1" w:styleId="66">
    <w:name w:val="正文文本 2 字符"/>
    <w:link w:val="36"/>
    <w:autoRedefine/>
    <w:qFormat/>
    <w:uiPriority w:val="0"/>
    <w:rPr>
      <w:kern w:val="2"/>
      <w:sz w:val="21"/>
    </w:rPr>
  </w:style>
  <w:style w:type="character" w:customStyle="1" w:styleId="67">
    <w:name w:val="页脚 字符"/>
    <w:link w:val="26"/>
    <w:autoRedefine/>
    <w:qFormat/>
    <w:uiPriority w:val="0"/>
    <w:rPr>
      <w:kern w:val="2"/>
      <w:sz w:val="18"/>
    </w:rPr>
  </w:style>
  <w:style w:type="character" w:customStyle="1" w:styleId="68">
    <w:name w:val="正文文本缩进 2 字符"/>
    <w:link w:val="19"/>
    <w:autoRedefine/>
    <w:qFormat/>
    <w:uiPriority w:val="0"/>
    <w:rPr>
      <w:rFonts w:ascii="宋体" w:hAnsi="宋体"/>
      <w:kern w:val="2"/>
      <w:sz w:val="24"/>
    </w:rPr>
  </w:style>
  <w:style w:type="character" w:customStyle="1" w:styleId="69">
    <w:name w:val="标题 6 字符"/>
    <w:link w:val="9"/>
    <w:autoRedefine/>
    <w:qFormat/>
    <w:uiPriority w:val="0"/>
    <w:rPr>
      <w:rFonts w:eastAsia="仿宋_GB2312"/>
      <w:bCs/>
      <w:kern w:val="2"/>
      <w:sz w:val="24"/>
      <w:szCs w:val="24"/>
    </w:rPr>
  </w:style>
  <w:style w:type="character" w:customStyle="1" w:styleId="70">
    <w:name w:val="HTML 预设格式 字符"/>
    <w:link w:val="37"/>
    <w:autoRedefine/>
    <w:qFormat/>
    <w:uiPriority w:val="0"/>
    <w:rPr>
      <w:rFonts w:ascii="Arial" w:hAnsi="Arial" w:cs="Arial"/>
      <w:sz w:val="24"/>
      <w:szCs w:val="24"/>
    </w:rPr>
  </w:style>
  <w:style w:type="character" w:customStyle="1" w:styleId="71">
    <w:name w:val="报告书 Char"/>
    <w:link w:val="72"/>
    <w:autoRedefine/>
    <w:qFormat/>
    <w:uiPriority w:val="0"/>
    <w:rPr>
      <w:rFonts w:ascii="宋体" w:eastAsia="宋体"/>
      <w:kern w:val="24"/>
      <w:sz w:val="24"/>
      <w:lang w:val="en-US" w:eastAsia="zh-CN" w:bidi="ar-SA"/>
    </w:rPr>
  </w:style>
  <w:style w:type="paragraph" w:customStyle="1" w:styleId="72">
    <w:name w:val="报告书"/>
    <w:basedOn w:val="1"/>
    <w:link w:val="71"/>
    <w:autoRedefine/>
    <w:qFormat/>
    <w:uiPriority w:val="0"/>
    <w:pPr>
      <w:adjustRightInd w:val="0"/>
      <w:snapToGrid w:val="0"/>
      <w:spacing w:line="440" w:lineRule="atLeast"/>
      <w:ind w:firstLine="482"/>
      <w:textAlignment w:val="baseline"/>
    </w:pPr>
    <w:rPr>
      <w:rFonts w:ascii="宋体"/>
      <w:kern w:val="24"/>
      <w:sz w:val="24"/>
    </w:rPr>
  </w:style>
  <w:style w:type="character" w:customStyle="1" w:styleId="73">
    <w:name w:val="批注主题 字符"/>
    <w:link w:val="39"/>
    <w:autoRedefine/>
    <w:qFormat/>
    <w:uiPriority w:val="0"/>
    <w:rPr>
      <w:rFonts w:eastAsia="宋体"/>
      <w:b/>
      <w:bCs/>
      <w:kern w:val="2"/>
      <w:sz w:val="21"/>
      <w:lang w:val="en-US" w:eastAsia="zh-CN" w:bidi="ar-SA"/>
    </w:rPr>
  </w:style>
  <w:style w:type="character" w:customStyle="1" w:styleId="74">
    <w:name w:val="表格标题 Char"/>
    <w:autoRedefine/>
    <w:qFormat/>
    <w:uiPriority w:val="0"/>
    <w:rPr>
      <w:rFonts w:ascii="Arial" w:hAnsi="Arial" w:eastAsia="黑体" w:cs="宋体"/>
      <w:kern w:val="2"/>
      <w:sz w:val="24"/>
      <w:lang w:val="en-US" w:eastAsia="zh-CN" w:bidi="ar-SA"/>
    </w:rPr>
  </w:style>
  <w:style w:type="character" w:customStyle="1" w:styleId="75">
    <w:name w:val="题注 Char"/>
    <w:autoRedefine/>
    <w:qFormat/>
    <w:uiPriority w:val="0"/>
    <w:rPr>
      <w:kern w:val="2"/>
      <w:sz w:val="24"/>
    </w:rPr>
  </w:style>
  <w:style w:type="character" w:customStyle="1" w:styleId="76">
    <w:name w:val="Char Char1"/>
    <w:autoRedefine/>
    <w:qFormat/>
    <w:uiPriority w:val="0"/>
    <w:rPr>
      <w:rFonts w:hint="default" w:ascii="Arial" w:hAnsi="Arial" w:eastAsia="黑体" w:cs="Arial"/>
      <w:b/>
      <w:bCs/>
      <w:sz w:val="32"/>
      <w:szCs w:val="32"/>
      <w:lang w:val="en-US" w:eastAsia="zh-CN" w:bidi="ar-SA"/>
    </w:rPr>
  </w:style>
  <w:style w:type="character" w:customStyle="1" w:styleId="77">
    <w:name w:val="批注主题 Char1"/>
    <w:autoRedefine/>
    <w:semiHidden/>
    <w:qFormat/>
    <w:uiPriority w:val="99"/>
    <w:rPr>
      <w:b/>
      <w:bCs/>
    </w:rPr>
  </w:style>
  <w:style w:type="character" w:customStyle="1" w:styleId="78">
    <w:name w:val="评价正文 Char Char"/>
    <w:link w:val="79"/>
    <w:autoRedefine/>
    <w:qFormat/>
    <w:uiPriority w:val="0"/>
    <w:rPr>
      <w:rFonts w:ascii="宋体" w:hAnsi="宋体" w:eastAsia="仿宋_GB2312"/>
      <w:sz w:val="24"/>
      <w:szCs w:val="24"/>
      <w:lang w:val="en-US" w:eastAsia="zh-CN" w:bidi="ar-SA"/>
    </w:rPr>
  </w:style>
  <w:style w:type="paragraph" w:customStyle="1" w:styleId="79">
    <w:name w:val="评价正文"/>
    <w:link w:val="78"/>
    <w:autoRedefine/>
    <w:qFormat/>
    <w:uiPriority w:val="0"/>
    <w:pPr>
      <w:widowControl w:val="0"/>
      <w:spacing w:line="360" w:lineRule="auto"/>
      <w:ind w:firstLine="200" w:firstLineChars="200"/>
      <w:jc w:val="both"/>
    </w:pPr>
    <w:rPr>
      <w:rFonts w:ascii="宋体" w:hAnsi="宋体" w:eastAsia="仿宋_GB2312" w:cs="Times New Roman"/>
      <w:sz w:val="24"/>
      <w:szCs w:val="24"/>
      <w:lang w:val="en-US" w:eastAsia="zh-CN" w:bidi="ar-SA"/>
    </w:rPr>
  </w:style>
  <w:style w:type="character" w:customStyle="1" w:styleId="80">
    <w:name w:val="报告书表格 Char Char"/>
    <w:autoRedefine/>
    <w:qFormat/>
    <w:uiPriority w:val="0"/>
    <w:rPr>
      <w:sz w:val="21"/>
      <w:lang w:bidi="ar-SA"/>
    </w:rPr>
  </w:style>
  <w:style w:type="character" w:customStyle="1" w:styleId="81">
    <w:name w:val="正文格式 Char"/>
    <w:link w:val="82"/>
    <w:autoRedefine/>
    <w:qFormat/>
    <w:uiPriority w:val="0"/>
    <w:rPr>
      <w:rFonts w:ascii="宋体" w:hAnsi="宋体"/>
      <w:sz w:val="24"/>
      <w:szCs w:val="24"/>
    </w:rPr>
  </w:style>
  <w:style w:type="paragraph" w:customStyle="1" w:styleId="82">
    <w:name w:val="正文格式"/>
    <w:basedOn w:val="1"/>
    <w:link w:val="81"/>
    <w:autoRedefine/>
    <w:qFormat/>
    <w:uiPriority w:val="0"/>
    <w:pPr>
      <w:spacing w:line="360" w:lineRule="auto"/>
      <w:ind w:firstLine="482"/>
    </w:pPr>
    <w:rPr>
      <w:rFonts w:ascii="宋体" w:hAnsi="宋体"/>
      <w:kern w:val="0"/>
      <w:sz w:val="24"/>
      <w:szCs w:val="24"/>
    </w:rPr>
  </w:style>
  <w:style w:type="character" w:customStyle="1" w:styleId="83">
    <w:name w:val="注释标题 字符"/>
    <w:link w:val="11"/>
    <w:autoRedefine/>
    <w:qFormat/>
    <w:uiPriority w:val="0"/>
    <w:rPr>
      <w:rFonts w:ascii="宋体"/>
      <w:kern w:val="2"/>
      <w:sz w:val="21"/>
    </w:rPr>
  </w:style>
  <w:style w:type="character" w:customStyle="1" w:styleId="84">
    <w:name w:val="正文缩进 字符"/>
    <w:link w:val="6"/>
    <w:autoRedefine/>
    <w:qFormat/>
    <w:uiPriority w:val="0"/>
    <w:rPr>
      <w:kern w:val="2"/>
      <w:sz w:val="21"/>
    </w:rPr>
  </w:style>
  <w:style w:type="character" w:customStyle="1" w:styleId="85">
    <w:name w:val="apple-converted-space"/>
    <w:autoRedefine/>
    <w:qFormat/>
    <w:uiPriority w:val="0"/>
  </w:style>
  <w:style w:type="character" w:customStyle="1" w:styleId="86">
    <w:name w:val="样式 报告书正文 + 首行缩进:  2 字符 Char"/>
    <w:link w:val="87"/>
    <w:autoRedefine/>
    <w:qFormat/>
    <w:uiPriority w:val="0"/>
    <w:rPr>
      <w:rFonts w:eastAsia="宋体" w:cs="宋体"/>
      <w:kern w:val="2"/>
      <w:sz w:val="24"/>
      <w:lang w:val="en-US" w:eastAsia="zh-CN" w:bidi="ar-SA"/>
    </w:rPr>
  </w:style>
  <w:style w:type="paragraph" w:customStyle="1" w:styleId="87">
    <w:name w:val="样式 报告书正文 + 首行缩进:  2 字符"/>
    <w:basedOn w:val="1"/>
    <w:link w:val="86"/>
    <w:autoRedefine/>
    <w:qFormat/>
    <w:uiPriority w:val="0"/>
    <w:pPr>
      <w:spacing w:line="360" w:lineRule="auto"/>
      <w:ind w:firstLine="480" w:firstLineChars="200"/>
    </w:pPr>
    <w:rPr>
      <w:rFonts w:cs="宋体"/>
      <w:sz w:val="24"/>
    </w:rPr>
  </w:style>
  <w:style w:type="character" w:customStyle="1" w:styleId="88">
    <w:name w:val="节标题 Char1"/>
    <w:autoRedefine/>
    <w:qFormat/>
    <w:uiPriority w:val="0"/>
    <w:rPr>
      <w:rFonts w:eastAsia="黑体"/>
      <w:sz w:val="24"/>
      <w:lang w:val="en-US" w:eastAsia="zh-CN" w:bidi="ar-SA"/>
    </w:rPr>
  </w:style>
  <w:style w:type="character" w:customStyle="1" w:styleId="89">
    <w:name w:val="批注框文本 字符"/>
    <w:link w:val="25"/>
    <w:autoRedefine/>
    <w:qFormat/>
    <w:uiPriority w:val="0"/>
    <w:rPr>
      <w:kern w:val="2"/>
      <w:sz w:val="18"/>
      <w:szCs w:val="18"/>
    </w:rPr>
  </w:style>
  <w:style w:type="character" w:customStyle="1" w:styleId="90">
    <w:name w:val="kt1"/>
    <w:basedOn w:val="43"/>
    <w:autoRedefine/>
    <w:qFormat/>
    <w:uiPriority w:val="0"/>
  </w:style>
  <w:style w:type="character" w:customStyle="1" w:styleId="91">
    <w:name w:val="标题 3 字符"/>
    <w:link w:val="4"/>
    <w:autoRedefine/>
    <w:qFormat/>
    <w:uiPriority w:val="0"/>
    <w:rPr>
      <w:rFonts w:ascii="黑体" w:eastAsia="黑体"/>
      <w:kern w:val="2"/>
      <w:sz w:val="24"/>
    </w:rPr>
  </w:style>
  <w:style w:type="character" w:customStyle="1" w:styleId="92">
    <w:name w:val="表-z Char"/>
    <w:link w:val="93"/>
    <w:autoRedefine/>
    <w:qFormat/>
    <w:uiPriority w:val="4"/>
    <w:rPr>
      <w:kern w:val="2"/>
      <w:sz w:val="21"/>
      <w:szCs w:val="21"/>
    </w:rPr>
  </w:style>
  <w:style w:type="paragraph" w:customStyle="1" w:styleId="93">
    <w:name w:val="表-z"/>
    <w:basedOn w:val="1"/>
    <w:link w:val="92"/>
    <w:autoRedefine/>
    <w:qFormat/>
    <w:uiPriority w:val="4"/>
    <w:pPr>
      <w:widowControl/>
      <w:jc w:val="center"/>
    </w:pPr>
    <w:rPr>
      <w:szCs w:val="21"/>
    </w:rPr>
  </w:style>
  <w:style w:type="character" w:customStyle="1" w:styleId="94">
    <w:name w:val="中文报告书样式 Char1"/>
    <w:link w:val="8"/>
    <w:autoRedefine/>
    <w:qFormat/>
    <w:uiPriority w:val="0"/>
    <w:rPr>
      <w:rFonts w:eastAsia="宋体"/>
      <w:kern w:val="24"/>
      <w:sz w:val="24"/>
      <w:lang w:val="en-US" w:eastAsia="zh-CN" w:bidi="ar-SA"/>
    </w:rPr>
  </w:style>
  <w:style w:type="character" w:customStyle="1" w:styleId="95">
    <w:name w:val="王治民正文 Char"/>
    <w:link w:val="96"/>
    <w:autoRedefine/>
    <w:qFormat/>
    <w:uiPriority w:val="0"/>
    <w:rPr>
      <w:rFonts w:eastAsia="宋体"/>
      <w:kern w:val="2"/>
      <w:sz w:val="24"/>
      <w:szCs w:val="24"/>
      <w:lang w:val="en-US" w:eastAsia="zh-CN" w:bidi="ar-SA"/>
    </w:rPr>
  </w:style>
  <w:style w:type="paragraph" w:customStyle="1" w:styleId="96">
    <w:name w:val="王治民正文"/>
    <w:basedOn w:val="1"/>
    <w:link w:val="95"/>
    <w:autoRedefine/>
    <w:qFormat/>
    <w:uiPriority w:val="0"/>
    <w:pPr>
      <w:spacing w:line="360" w:lineRule="auto"/>
      <w:ind w:firstLine="200" w:firstLineChars="200"/>
    </w:pPr>
    <w:rPr>
      <w:sz w:val="24"/>
      <w:szCs w:val="24"/>
    </w:rPr>
  </w:style>
  <w:style w:type="character" w:customStyle="1" w:styleId="97">
    <w:name w:val="标题 2 Char2"/>
    <w:autoRedefine/>
    <w:qFormat/>
    <w:uiPriority w:val="0"/>
    <w:rPr>
      <w:rFonts w:eastAsia="黑体"/>
      <w:sz w:val="24"/>
      <w:lang w:val="en-US" w:eastAsia="zh-CN" w:bidi="ar-SA"/>
    </w:rPr>
  </w:style>
  <w:style w:type="character" w:customStyle="1" w:styleId="98">
    <w:name w:val="标题 5 字符"/>
    <w:link w:val="7"/>
    <w:autoRedefine/>
    <w:qFormat/>
    <w:uiPriority w:val="0"/>
    <w:rPr>
      <w:b/>
      <w:kern w:val="24"/>
      <w:sz w:val="28"/>
    </w:rPr>
  </w:style>
  <w:style w:type="character" w:customStyle="1" w:styleId="99">
    <w:name w:val="zhengwen"/>
    <w:basedOn w:val="43"/>
    <w:autoRedefine/>
    <w:qFormat/>
    <w:uiPriority w:val="0"/>
  </w:style>
  <w:style w:type="character" w:customStyle="1" w:styleId="100">
    <w:name w:val="报告书表格 Char"/>
    <w:link w:val="101"/>
    <w:autoRedefine/>
    <w:qFormat/>
    <w:uiPriority w:val="0"/>
    <w:rPr>
      <w:sz w:val="21"/>
    </w:rPr>
  </w:style>
  <w:style w:type="paragraph" w:customStyle="1" w:styleId="101">
    <w:name w:val="报告书表格"/>
    <w:basedOn w:val="1"/>
    <w:link w:val="100"/>
    <w:autoRedefine/>
    <w:qFormat/>
    <w:uiPriority w:val="0"/>
    <w:pPr>
      <w:adjustRightInd w:val="0"/>
      <w:snapToGrid w:val="0"/>
      <w:spacing w:line="240" w:lineRule="atLeast"/>
      <w:jc w:val="center"/>
      <w:textAlignment w:val="baseline"/>
    </w:pPr>
    <w:rPr>
      <w:kern w:val="0"/>
    </w:rPr>
  </w:style>
  <w:style w:type="character" w:customStyle="1" w:styleId="102">
    <w:name w:val="题注 字符"/>
    <w:link w:val="13"/>
    <w:autoRedefine/>
    <w:qFormat/>
    <w:uiPriority w:val="0"/>
    <w:rPr>
      <w:rFonts w:eastAsia="仿宋"/>
      <w:kern w:val="2"/>
      <w:sz w:val="28"/>
      <w:szCs w:val="28"/>
    </w:rPr>
  </w:style>
  <w:style w:type="character" w:customStyle="1" w:styleId="103">
    <w:name w:val="中文报告书 Char"/>
    <w:autoRedefine/>
    <w:qFormat/>
    <w:uiPriority w:val="0"/>
    <w:rPr>
      <w:rFonts w:eastAsia="宋体"/>
      <w:sz w:val="24"/>
      <w:lang w:val="en-US" w:eastAsia="zh-CN" w:bidi="ar-SA"/>
    </w:rPr>
  </w:style>
  <w:style w:type="character" w:customStyle="1" w:styleId="104">
    <w:name w:val="Font Style44"/>
    <w:autoRedefine/>
    <w:qFormat/>
    <w:uiPriority w:val="0"/>
    <w:rPr>
      <w:rFonts w:ascii="仿宋_GB2312" w:hAnsi="仿宋_GB2312" w:eastAsia="仿宋_GB2312" w:cs="黑体"/>
      <w:spacing w:val="20"/>
      <w:kern w:val="2"/>
      <w:sz w:val="28"/>
      <w:szCs w:val="26"/>
      <w:lang w:val="en-US" w:eastAsia="zh-CN" w:bidi="ar-SA"/>
    </w:rPr>
  </w:style>
  <w:style w:type="character" w:customStyle="1" w:styleId="105">
    <w:name w:val="1-正文 Char"/>
    <w:link w:val="106"/>
    <w:autoRedefine/>
    <w:qFormat/>
    <w:uiPriority w:val="0"/>
    <w:rPr>
      <w:rFonts w:ascii="宋体" w:hAnsi="宋体" w:cs="宋体"/>
      <w:kern w:val="2"/>
      <w:sz w:val="24"/>
      <w:szCs w:val="24"/>
    </w:rPr>
  </w:style>
  <w:style w:type="paragraph" w:customStyle="1" w:styleId="106">
    <w:name w:val="1-正文"/>
    <w:basedOn w:val="1"/>
    <w:link w:val="105"/>
    <w:autoRedefine/>
    <w:qFormat/>
    <w:uiPriority w:val="0"/>
    <w:pPr>
      <w:spacing w:line="360" w:lineRule="auto"/>
      <w:ind w:firstLine="480" w:firstLineChars="200"/>
      <w:jc w:val="left"/>
    </w:pPr>
    <w:rPr>
      <w:rFonts w:ascii="宋体" w:hAnsi="宋体"/>
      <w:sz w:val="24"/>
      <w:szCs w:val="24"/>
    </w:rPr>
  </w:style>
  <w:style w:type="character" w:customStyle="1" w:styleId="107">
    <w:name w:val="表标4-z Char"/>
    <w:link w:val="108"/>
    <w:autoRedefine/>
    <w:qFormat/>
    <w:uiPriority w:val="9"/>
    <w:rPr>
      <w:b/>
      <w:kern w:val="2"/>
      <w:sz w:val="24"/>
      <w:szCs w:val="22"/>
    </w:rPr>
  </w:style>
  <w:style w:type="paragraph" w:customStyle="1" w:styleId="108">
    <w:name w:val="表标4-z"/>
    <w:basedOn w:val="51"/>
    <w:next w:val="51"/>
    <w:link w:val="107"/>
    <w:autoRedefine/>
    <w:qFormat/>
    <w:uiPriority w:val="9"/>
    <w:pPr>
      <w:ind w:firstLine="200"/>
      <w:jc w:val="left"/>
      <w:outlineLvl w:val="3"/>
    </w:pPr>
    <w:rPr>
      <w:b/>
    </w:rPr>
  </w:style>
  <w:style w:type="character" w:customStyle="1" w:styleId="109">
    <w:name w:val="正文文本 字符"/>
    <w:link w:val="17"/>
    <w:autoRedefine/>
    <w:qFormat/>
    <w:uiPriority w:val="0"/>
    <w:rPr>
      <w:kern w:val="2"/>
      <w:sz w:val="24"/>
    </w:rPr>
  </w:style>
  <w:style w:type="character" w:customStyle="1" w:styleId="110">
    <w:name w:val="bb1"/>
    <w:autoRedefine/>
    <w:qFormat/>
    <w:uiPriority w:val="0"/>
    <w:rPr>
      <w:sz w:val="21"/>
      <w:szCs w:val="21"/>
      <w:u w:val="none"/>
    </w:rPr>
  </w:style>
  <w:style w:type="character" w:customStyle="1" w:styleId="111">
    <w:name w:val="正文文本缩进 Char1"/>
    <w:autoRedefine/>
    <w:semiHidden/>
    <w:qFormat/>
    <w:uiPriority w:val="99"/>
  </w:style>
  <w:style w:type="character" w:customStyle="1" w:styleId="112">
    <w:name w:val="正文文本缩进 字符"/>
    <w:link w:val="18"/>
    <w:autoRedefine/>
    <w:qFormat/>
    <w:uiPriority w:val="0"/>
    <w:rPr>
      <w:sz w:val="24"/>
    </w:rPr>
  </w:style>
  <w:style w:type="character" w:customStyle="1" w:styleId="113">
    <w:name w:val="正文文本 3 字符"/>
    <w:link w:val="16"/>
    <w:autoRedefine/>
    <w:qFormat/>
    <w:uiPriority w:val="0"/>
    <w:rPr>
      <w:rFonts w:ascii="黑体" w:hAnsi="宋体" w:eastAsia="黑体"/>
      <w:sz w:val="72"/>
      <w:szCs w:val="18"/>
    </w:rPr>
  </w:style>
  <w:style w:type="character" w:customStyle="1" w:styleId="114">
    <w:name w:val="timu1"/>
    <w:autoRedefine/>
    <w:qFormat/>
    <w:uiPriority w:val="0"/>
    <w:rPr>
      <w:sz w:val="24"/>
      <w:szCs w:val="24"/>
    </w:rPr>
  </w:style>
  <w:style w:type="character" w:customStyle="1" w:styleId="115">
    <w:name w:val="正文段落 Char Char Char"/>
    <w:autoRedefine/>
    <w:qFormat/>
    <w:uiPriority w:val="0"/>
    <w:rPr>
      <w:rFonts w:ascii="仿宋_GB2312" w:hAnsi="仿宋_GB2312" w:eastAsia="仿宋_GB2312"/>
      <w:kern w:val="2"/>
      <w:sz w:val="28"/>
      <w:szCs w:val="28"/>
      <w:lang w:val="en-US" w:eastAsia="zh-CN" w:bidi="ar-SA"/>
    </w:rPr>
  </w:style>
  <w:style w:type="character" w:customStyle="1" w:styleId="116">
    <w:name w:val="正文文本 Char1"/>
    <w:autoRedefine/>
    <w:semiHidden/>
    <w:qFormat/>
    <w:uiPriority w:val="99"/>
  </w:style>
  <w:style w:type="character" w:customStyle="1" w:styleId="117">
    <w:name w:val="表头[858D7CFB-ED40-4347-BF05-701D383B685F]"/>
    <w:link w:val="118"/>
    <w:autoRedefine/>
    <w:qFormat/>
    <w:uiPriority w:val="0"/>
    <w:rPr>
      <w:rFonts w:ascii="宋体" w:hAnsi="宋体"/>
      <w:sz w:val="24"/>
      <w:lang w:val="en-US" w:eastAsia="zh-CN" w:bidi="ar-SA"/>
    </w:rPr>
  </w:style>
  <w:style w:type="paragraph" w:customStyle="1" w:styleId="118">
    <w:name w:val="表头"/>
    <w:link w:val="117"/>
    <w:autoRedefine/>
    <w:qFormat/>
    <w:uiPriority w:val="0"/>
    <w:pPr>
      <w:snapToGrid w:val="0"/>
      <w:jc w:val="center"/>
    </w:pPr>
    <w:rPr>
      <w:rFonts w:ascii="宋体" w:hAnsi="宋体" w:eastAsia="宋体" w:cs="Times New Roman"/>
      <w:sz w:val="24"/>
      <w:lang w:val="en-US" w:eastAsia="zh-CN" w:bidi="ar-SA"/>
    </w:rPr>
  </w:style>
  <w:style w:type="character" w:customStyle="1" w:styleId="119">
    <w:name w:val="文档结构图 Char1"/>
    <w:autoRedefine/>
    <w:semiHidden/>
    <w:qFormat/>
    <w:uiPriority w:val="99"/>
    <w:rPr>
      <w:rFonts w:ascii="Microsoft YaHei UI" w:eastAsia="Microsoft YaHei UI"/>
      <w:sz w:val="18"/>
      <w:szCs w:val="18"/>
    </w:rPr>
  </w:style>
  <w:style w:type="character" w:customStyle="1" w:styleId="120">
    <w:name w:val="正文文本缩进 3 字符"/>
    <w:link w:val="33"/>
    <w:autoRedefine/>
    <w:qFormat/>
    <w:uiPriority w:val="0"/>
    <w:rPr>
      <w:kern w:val="2"/>
      <w:sz w:val="16"/>
      <w:szCs w:val="16"/>
    </w:rPr>
  </w:style>
  <w:style w:type="character" w:customStyle="1" w:styleId="121">
    <w:name w:val="副标题 Char1"/>
    <w:autoRedefine/>
    <w:qFormat/>
    <w:uiPriority w:val="11"/>
    <w:rPr>
      <w:rFonts w:ascii="Calibri Light" w:hAnsi="Calibri Light" w:eastAsia="宋体" w:cs="Times New Roman"/>
      <w:b/>
      <w:bCs/>
      <w:kern w:val="28"/>
      <w:sz w:val="32"/>
      <w:szCs w:val="32"/>
    </w:rPr>
  </w:style>
  <w:style w:type="character" w:customStyle="1" w:styleId="122">
    <w:name w:val="标题 2 字符"/>
    <w:link w:val="3"/>
    <w:autoRedefine/>
    <w:qFormat/>
    <w:uiPriority w:val="0"/>
    <w:rPr>
      <w:rFonts w:eastAsia="黑体"/>
      <w:sz w:val="24"/>
      <w:lang w:val="en-US" w:eastAsia="zh-CN" w:bidi="ar-SA"/>
    </w:rPr>
  </w:style>
  <w:style w:type="character" w:customStyle="1" w:styleId="123">
    <w:name w:val="中文报告书样式 Char"/>
    <w:autoRedefine/>
    <w:qFormat/>
    <w:uiPriority w:val="0"/>
    <w:rPr>
      <w:rFonts w:eastAsia="宋体"/>
      <w:kern w:val="24"/>
      <w:sz w:val="24"/>
      <w:lang w:val="en-US" w:eastAsia="zh-CN" w:bidi="ar-SA"/>
    </w:rPr>
  </w:style>
  <w:style w:type="character" w:customStyle="1" w:styleId="124">
    <w:name w:val="日期 字符"/>
    <w:link w:val="24"/>
    <w:autoRedefine/>
    <w:qFormat/>
    <w:uiPriority w:val="0"/>
    <w:rPr>
      <w:kern w:val="2"/>
      <w:sz w:val="24"/>
    </w:rPr>
  </w:style>
  <w:style w:type="character" w:customStyle="1" w:styleId="125">
    <w:name w:val="标题 1 字符"/>
    <w:link w:val="2"/>
    <w:autoRedefine/>
    <w:qFormat/>
    <w:uiPriority w:val="9"/>
    <w:rPr>
      <w:rFonts w:eastAsia="黑体"/>
      <w:kern w:val="44"/>
      <w:sz w:val="28"/>
      <w:szCs w:val="28"/>
    </w:rPr>
  </w:style>
  <w:style w:type="character" w:customStyle="1" w:styleId="126">
    <w:name w:val="标题 2 Char"/>
    <w:autoRedefine/>
    <w:qFormat/>
    <w:uiPriority w:val="0"/>
    <w:rPr>
      <w:rFonts w:ascii="Arial" w:hAnsi="Arial" w:eastAsia="黑体"/>
      <w:sz w:val="24"/>
      <w:lang w:val="en-US" w:eastAsia="zh-CN" w:bidi="ar-SA"/>
    </w:rPr>
  </w:style>
  <w:style w:type="character" w:customStyle="1" w:styleId="127">
    <w:name w:val="表标1-z Char"/>
    <w:link w:val="128"/>
    <w:autoRedefine/>
    <w:qFormat/>
    <w:uiPriority w:val="6"/>
    <w:rPr>
      <w:b/>
      <w:kern w:val="2"/>
      <w:sz w:val="28"/>
      <w:szCs w:val="28"/>
    </w:rPr>
  </w:style>
  <w:style w:type="paragraph" w:customStyle="1" w:styleId="128">
    <w:name w:val="表标1-z"/>
    <w:basedOn w:val="1"/>
    <w:link w:val="127"/>
    <w:autoRedefine/>
    <w:qFormat/>
    <w:uiPriority w:val="6"/>
    <w:pPr>
      <w:keepNext/>
      <w:pageBreakBefore/>
      <w:widowControl/>
      <w:spacing w:line="360" w:lineRule="auto"/>
      <w:ind w:firstLine="50" w:firstLineChars="50"/>
      <w:jc w:val="left"/>
      <w:outlineLvl w:val="0"/>
    </w:pPr>
    <w:rPr>
      <w:b/>
      <w:sz w:val="28"/>
      <w:szCs w:val="28"/>
    </w:rPr>
  </w:style>
  <w:style w:type="character" w:customStyle="1" w:styleId="129">
    <w:name w:val="页眉 字符"/>
    <w:link w:val="27"/>
    <w:autoRedefine/>
    <w:qFormat/>
    <w:uiPriority w:val="0"/>
    <w:rPr>
      <w:kern w:val="2"/>
      <w:sz w:val="18"/>
      <w:szCs w:val="18"/>
    </w:rPr>
  </w:style>
  <w:style w:type="character" w:customStyle="1" w:styleId="130">
    <w:name w:val="表标3-z Char"/>
    <w:link w:val="131"/>
    <w:autoRedefine/>
    <w:qFormat/>
    <w:uiPriority w:val="8"/>
    <w:rPr>
      <w:b/>
      <w:kern w:val="2"/>
      <w:sz w:val="24"/>
      <w:szCs w:val="22"/>
    </w:rPr>
  </w:style>
  <w:style w:type="paragraph" w:customStyle="1" w:styleId="131">
    <w:name w:val="表标3-z"/>
    <w:basedOn w:val="51"/>
    <w:next w:val="51"/>
    <w:link w:val="130"/>
    <w:autoRedefine/>
    <w:qFormat/>
    <w:uiPriority w:val="8"/>
    <w:pPr>
      <w:ind w:firstLine="200"/>
      <w:jc w:val="left"/>
      <w:outlineLvl w:val="2"/>
    </w:pPr>
    <w:rPr>
      <w:b/>
    </w:rPr>
  </w:style>
  <w:style w:type="character" w:customStyle="1" w:styleId="132">
    <w:name w:val="表格 Char"/>
    <w:link w:val="133"/>
    <w:autoRedefine/>
    <w:qFormat/>
    <w:uiPriority w:val="0"/>
    <w:rPr>
      <w:sz w:val="21"/>
    </w:rPr>
  </w:style>
  <w:style w:type="paragraph" w:customStyle="1" w:styleId="133">
    <w:name w:val="表格"/>
    <w:basedOn w:val="1"/>
    <w:link w:val="132"/>
    <w:autoRedefine/>
    <w:qFormat/>
    <w:uiPriority w:val="0"/>
    <w:pPr>
      <w:adjustRightInd w:val="0"/>
      <w:snapToGrid w:val="0"/>
      <w:spacing w:before="120"/>
      <w:jc w:val="center"/>
      <w:textAlignment w:val="baseline"/>
    </w:pPr>
    <w:rPr>
      <w:kern w:val="0"/>
    </w:rPr>
  </w:style>
  <w:style w:type="character" w:customStyle="1" w:styleId="134">
    <w:name w:val="headline-content2"/>
    <w:basedOn w:val="43"/>
    <w:autoRedefine/>
    <w:qFormat/>
    <w:uiPriority w:val="0"/>
  </w:style>
  <w:style w:type="character" w:customStyle="1" w:styleId="135">
    <w:name w:val="段 Char"/>
    <w:link w:val="136"/>
    <w:autoRedefine/>
    <w:qFormat/>
    <w:uiPriority w:val="0"/>
    <w:rPr>
      <w:rFonts w:ascii="宋体"/>
      <w:sz w:val="21"/>
    </w:rPr>
  </w:style>
  <w:style w:type="paragraph" w:customStyle="1" w:styleId="136">
    <w:name w:val="段"/>
    <w:basedOn w:val="1"/>
    <w:link w:val="135"/>
    <w:autoRedefine/>
    <w:qFormat/>
    <w:uiPriority w:val="0"/>
    <w:pPr>
      <w:autoSpaceDE w:val="0"/>
      <w:autoSpaceDN w:val="0"/>
      <w:ind w:firstLine="200" w:firstLineChars="200"/>
    </w:pPr>
    <w:rPr>
      <w:rFonts w:ascii="宋体"/>
      <w:kern w:val="0"/>
    </w:rPr>
  </w:style>
  <w:style w:type="character" w:customStyle="1" w:styleId="137">
    <w:name w:val="批注框文本 Char1"/>
    <w:autoRedefine/>
    <w:semiHidden/>
    <w:qFormat/>
    <w:uiPriority w:val="99"/>
    <w:rPr>
      <w:sz w:val="18"/>
      <w:szCs w:val="18"/>
    </w:rPr>
  </w:style>
  <w:style w:type="character" w:customStyle="1" w:styleId="138">
    <w:name w:val="批注文字 Char1"/>
    <w:autoRedefine/>
    <w:semiHidden/>
    <w:qFormat/>
    <w:uiPriority w:val="99"/>
  </w:style>
  <w:style w:type="character" w:customStyle="1" w:styleId="139">
    <w:name w:val="description"/>
    <w:basedOn w:val="43"/>
    <w:autoRedefine/>
    <w:qFormat/>
    <w:uiPriority w:val="0"/>
  </w:style>
  <w:style w:type="character" w:customStyle="1" w:styleId="140">
    <w:name w:val="报告表正文 Char"/>
    <w:link w:val="141"/>
    <w:autoRedefine/>
    <w:qFormat/>
    <w:uiPriority w:val="0"/>
    <w:rPr>
      <w:kern w:val="2"/>
      <w:sz w:val="24"/>
    </w:rPr>
  </w:style>
  <w:style w:type="paragraph" w:customStyle="1" w:styleId="141">
    <w:name w:val="报告表正文"/>
    <w:basedOn w:val="1"/>
    <w:link w:val="140"/>
    <w:autoRedefine/>
    <w:qFormat/>
    <w:uiPriority w:val="0"/>
    <w:pPr>
      <w:adjustRightInd w:val="0"/>
      <w:snapToGrid w:val="0"/>
      <w:spacing w:line="440" w:lineRule="exact"/>
      <w:ind w:firstLine="200" w:firstLineChars="200"/>
      <w:textAlignment w:val="center"/>
    </w:pPr>
    <w:rPr>
      <w:sz w:val="24"/>
    </w:rPr>
  </w:style>
  <w:style w:type="character" w:customStyle="1" w:styleId="142">
    <w:name w:val="gjz1"/>
    <w:autoRedefine/>
    <w:qFormat/>
    <w:uiPriority w:val="0"/>
    <w:rPr>
      <w:sz w:val="18"/>
      <w:szCs w:val="18"/>
    </w:rPr>
  </w:style>
  <w:style w:type="character" w:customStyle="1" w:styleId="143">
    <w:name w:val="纯文本 Char2"/>
    <w:autoRedefine/>
    <w:semiHidden/>
    <w:qFormat/>
    <w:uiPriority w:val="99"/>
    <w:rPr>
      <w:rFonts w:ascii="宋体" w:hAnsi="Courier New" w:eastAsia="宋体" w:cs="Courier New"/>
      <w:szCs w:val="21"/>
    </w:rPr>
  </w:style>
  <w:style w:type="character" w:customStyle="1" w:styleId="144">
    <w:name w:val="正文文本缩进 3 Char1"/>
    <w:autoRedefine/>
    <w:semiHidden/>
    <w:qFormat/>
    <w:uiPriority w:val="99"/>
    <w:rPr>
      <w:sz w:val="16"/>
      <w:szCs w:val="16"/>
    </w:rPr>
  </w:style>
  <w:style w:type="character" w:customStyle="1" w:styleId="145">
    <w:name w:val="正文01 Char"/>
    <w:link w:val="146"/>
    <w:autoRedefine/>
    <w:qFormat/>
    <w:uiPriority w:val="0"/>
    <w:rPr>
      <w:rFonts w:ascii="宋体" w:hAnsi="PMingLiU"/>
      <w:kern w:val="2"/>
      <w:sz w:val="24"/>
      <w:szCs w:val="24"/>
    </w:rPr>
  </w:style>
  <w:style w:type="paragraph" w:customStyle="1" w:styleId="146">
    <w:name w:val="正文01"/>
    <w:basedOn w:val="1"/>
    <w:link w:val="145"/>
    <w:autoRedefine/>
    <w:qFormat/>
    <w:uiPriority w:val="0"/>
    <w:pPr>
      <w:adjustRightInd w:val="0"/>
      <w:snapToGrid w:val="0"/>
      <w:spacing w:before="60" w:line="460" w:lineRule="exact"/>
      <w:ind w:firstLine="200" w:firstLineChars="200"/>
    </w:pPr>
    <w:rPr>
      <w:rFonts w:ascii="宋体" w:hAnsi="PMingLiU"/>
      <w:sz w:val="24"/>
      <w:szCs w:val="24"/>
    </w:rPr>
  </w:style>
  <w:style w:type="character" w:customStyle="1" w:styleId="147">
    <w:name w:val="标题 4 字符"/>
    <w:link w:val="5"/>
    <w:autoRedefine/>
    <w:qFormat/>
    <w:uiPriority w:val="0"/>
    <w:rPr>
      <w:rFonts w:eastAsia="宋体"/>
      <w:kern w:val="2"/>
      <w:sz w:val="24"/>
      <w:lang w:val="en-US" w:eastAsia="zh-CN" w:bidi="ar-SA"/>
    </w:rPr>
  </w:style>
  <w:style w:type="paragraph" w:customStyle="1" w:styleId="148">
    <w:name w:val="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49">
    <w:name w:val="表格文字"/>
    <w:basedOn w:val="17"/>
    <w:autoRedefine/>
    <w:qFormat/>
    <w:uiPriority w:val="0"/>
    <w:pPr>
      <w:adjustRightInd/>
      <w:snapToGrid/>
      <w:spacing w:line="300" w:lineRule="exact"/>
    </w:pPr>
    <w:rPr>
      <w:rFonts w:ascii="仿宋_GB2312" w:eastAsia="仿宋_GB2312"/>
      <w:sz w:val="21"/>
      <w:szCs w:val="21"/>
    </w:rPr>
  </w:style>
  <w:style w:type="paragraph" w:customStyle="1" w:styleId="150">
    <w:name w:val="xl59"/>
    <w:basedOn w:val="1"/>
    <w:autoRedefine/>
    <w:qFormat/>
    <w:uiPriority w:val="0"/>
    <w:pPr>
      <w:widowControl/>
      <w:pBdr>
        <w:left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1">
    <w:name w:val="xl40"/>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2">
    <w:name w:val="xl26"/>
    <w:basedOn w:val="1"/>
    <w:autoRedefine/>
    <w:qFormat/>
    <w:uiPriority w:val="0"/>
    <w:pPr>
      <w:widowControl/>
      <w:pBdr>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3">
    <w:name w:val="xl67"/>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4">
    <w:name w:val="xl55"/>
    <w:basedOn w:val="1"/>
    <w:autoRedefine/>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5">
    <w:name w:val="样式1"/>
    <w:basedOn w:val="1"/>
    <w:autoRedefine/>
    <w:qFormat/>
    <w:uiPriority w:val="0"/>
    <w:pPr>
      <w:ind w:firstLine="954" w:firstLineChars="200"/>
    </w:pPr>
    <w:rPr>
      <w:kern w:val="0"/>
      <w:sz w:val="20"/>
    </w:rPr>
  </w:style>
  <w:style w:type="paragraph" w:customStyle="1" w:styleId="156">
    <w:name w:val="Char Char Char Char Char Char1 Char"/>
    <w:basedOn w:val="1"/>
    <w:autoRedefine/>
    <w:qFormat/>
    <w:uiPriority w:val="0"/>
    <w:pPr>
      <w:spacing w:line="360" w:lineRule="auto"/>
      <w:ind w:firstLine="200" w:firstLineChars="200"/>
    </w:pPr>
    <w:rPr>
      <w:rFonts w:ascii="宋体" w:hAnsi="宋体" w:cs="宋体"/>
      <w:sz w:val="24"/>
      <w:szCs w:val="24"/>
    </w:rPr>
  </w:style>
  <w:style w:type="paragraph" w:customStyle="1" w:styleId="157">
    <w:name w:val="xl30"/>
    <w:basedOn w:val="1"/>
    <w:autoRedefine/>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8">
    <w:name w:val="xl2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9">
    <w:name w:val="p0"/>
    <w:basedOn w:val="1"/>
    <w:autoRedefine/>
    <w:qFormat/>
    <w:uiPriority w:val="0"/>
    <w:pPr>
      <w:widowControl/>
    </w:pPr>
    <w:rPr>
      <w:kern w:val="0"/>
      <w:sz w:val="28"/>
      <w:szCs w:val="28"/>
    </w:rPr>
  </w:style>
  <w:style w:type="paragraph" w:customStyle="1" w:styleId="160">
    <w:name w:val="xl74"/>
    <w:basedOn w:val="1"/>
    <w:autoRedefine/>
    <w:qFormat/>
    <w:uiPriority w:val="0"/>
    <w:pPr>
      <w:widowControl/>
      <w:pBdr>
        <w:top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1">
    <w:name w:val="默认段落字体 Para Char Char Char Char"/>
    <w:basedOn w:val="1"/>
    <w:autoRedefine/>
    <w:qFormat/>
    <w:uiPriority w:val="0"/>
    <w:rPr>
      <w:szCs w:val="24"/>
    </w:rPr>
  </w:style>
  <w:style w:type="paragraph" w:customStyle="1" w:styleId="162">
    <w:name w:val="_Style 5"/>
    <w:basedOn w:val="1"/>
    <w:autoRedefine/>
    <w:qFormat/>
    <w:uiPriority w:val="0"/>
    <w:pPr>
      <w:spacing w:line="360" w:lineRule="auto"/>
    </w:pPr>
    <w:rPr>
      <w:sz w:val="24"/>
      <w:szCs w:val="24"/>
    </w:rPr>
  </w:style>
  <w:style w:type="paragraph" w:customStyle="1" w:styleId="163">
    <w:name w:val="Char Char4 Char Char"/>
    <w:basedOn w:val="1"/>
    <w:autoRedefine/>
    <w:qFormat/>
    <w:uiPriority w:val="0"/>
    <w:pPr>
      <w:widowControl/>
      <w:snapToGrid w:val="0"/>
      <w:spacing w:line="600" w:lineRule="atLeast"/>
    </w:pPr>
    <w:rPr>
      <w:sz w:val="28"/>
      <w:lang w:eastAsia="en-US"/>
    </w:rPr>
  </w:style>
  <w:style w:type="paragraph" w:customStyle="1" w:styleId="164">
    <w:name w:val="Char"/>
    <w:basedOn w:val="1"/>
    <w:autoRedefine/>
    <w:qFormat/>
    <w:uiPriority w:val="0"/>
    <w:pPr>
      <w:spacing w:line="360" w:lineRule="auto"/>
      <w:ind w:firstLine="200" w:firstLineChars="200"/>
    </w:pPr>
    <w:rPr>
      <w:rFonts w:ascii="宋体" w:hAnsi="宋体" w:eastAsia="仿宋_GB2312" w:cs="宋体"/>
      <w:kern w:val="0"/>
      <w:sz w:val="24"/>
      <w:szCs w:val="24"/>
    </w:rPr>
  </w:style>
  <w:style w:type="paragraph" w:customStyle="1" w:styleId="165">
    <w:name w:val="xl57"/>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66">
    <w:name w:val="xl43"/>
    <w:basedOn w:val="1"/>
    <w:autoRedefine/>
    <w:qFormat/>
    <w:uiPriority w:val="0"/>
    <w:pPr>
      <w:widowControl/>
      <w:pBdr>
        <w:top w:val="double" w:color="auto" w:sz="6"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7">
    <w:name w:val="xl49"/>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8">
    <w:name w:val="xl70"/>
    <w:basedOn w:val="1"/>
    <w:autoRedefine/>
    <w:qFormat/>
    <w:uiPriority w:val="0"/>
    <w:pPr>
      <w:widowControl/>
      <w:pBdr>
        <w:left w:val="single" w:color="auto" w:sz="4" w:space="0"/>
        <w:bottom w:val="double" w:color="auto" w:sz="6"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169">
    <w:name w:val="中 文 论 文"/>
    <w:basedOn w:val="1"/>
    <w:autoRedefine/>
    <w:qFormat/>
    <w:uiPriority w:val="0"/>
    <w:pPr>
      <w:adjustRightInd w:val="0"/>
      <w:spacing w:line="480" w:lineRule="atLeast"/>
      <w:ind w:firstLine="510"/>
      <w:jc w:val="left"/>
      <w:textAlignment w:val="baseline"/>
    </w:pPr>
    <w:rPr>
      <w:rFonts w:eastAsia="仿宋_GB2312"/>
      <w:kern w:val="0"/>
      <w:sz w:val="28"/>
    </w:rPr>
  </w:style>
  <w:style w:type="paragraph" w:customStyle="1" w:styleId="170">
    <w:name w:val="Char Char Char 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71">
    <w:name w:val="列出段落2"/>
    <w:basedOn w:val="1"/>
    <w:autoRedefine/>
    <w:qFormat/>
    <w:uiPriority w:val="0"/>
    <w:pPr>
      <w:ind w:left="720"/>
    </w:pPr>
    <w:rPr>
      <w:sz w:val="24"/>
      <w:szCs w:val="24"/>
    </w:rPr>
  </w:style>
  <w:style w:type="paragraph" w:customStyle="1" w:styleId="172">
    <w:name w:val="xl50"/>
    <w:basedOn w:val="1"/>
    <w:autoRedefine/>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73">
    <w:name w:val="Char Char Char Char Char1 Char Char Char Char Char Char Char Char Char1 Char Char Char Char Char Char Char Char Char Char Char Char Char"/>
    <w:basedOn w:val="14"/>
    <w:autoRedefine/>
    <w:qFormat/>
    <w:uiPriority w:val="0"/>
    <w:rPr>
      <w:rFonts w:ascii="Tahoma" w:hAnsi="Tahoma"/>
      <w:sz w:val="24"/>
      <w:szCs w:val="24"/>
    </w:rPr>
  </w:style>
  <w:style w:type="paragraph" w:customStyle="1" w:styleId="174">
    <w:name w:val="font6"/>
    <w:basedOn w:val="1"/>
    <w:autoRedefine/>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75">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76">
    <w:name w:val="预案-正文缩进"/>
    <w:basedOn w:val="1"/>
    <w:autoRedefine/>
    <w:qFormat/>
    <w:uiPriority w:val="0"/>
    <w:pPr>
      <w:adjustRightInd w:val="0"/>
      <w:spacing w:line="346" w:lineRule="atLeast"/>
      <w:ind w:firstLine="200" w:firstLineChars="200"/>
      <w:textAlignment w:val="baseline"/>
    </w:pPr>
    <w:rPr>
      <w:kern w:val="0"/>
      <w:sz w:val="24"/>
    </w:rPr>
  </w:style>
  <w:style w:type="paragraph" w:customStyle="1" w:styleId="177">
    <w:name w:val="xl37"/>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78">
    <w:name w:val="xl42"/>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79">
    <w:name w:val="font5"/>
    <w:basedOn w:val="1"/>
    <w:autoRedefine/>
    <w:qFormat/>
    <w:uiPriority w:val="0"/>
    <w:pPr>
      <w:widowControl/>
      <w:spacing w:before="100" w:beforeAutospacing="1" w:after="100" w:afterAutospacing="1"/>
      <w:jc w:val="left"/>
    </w:pPr>
    <w:rPr>
      <w:rFonts w:eastAsia="Arial Unicode MS"/>
      <w:kern w:val="0"/>
      <w:sz w:val="18"/>
      <w:szCs w:val="18"/>
    </w:rPr>
  </w:style>
  <w:style w:type="paragraph" w:customStyle="1" w:styleId="180">
    <w:name w:val="表内-z"/>
    <w:basedOn w:val="1"/>
    <w:autoRedefine/>
    <w:qFormat/>
    <w:uiPriority w:val="3"/>
    <w:pPr>
      <w:widowControl/>
      <w:adjustRightInd w:val="0"/>
      <w:jc w:val="center"/>
      <w:textAlignment w:val="baseline"/>
    </w:pPr>
    <w:rPr>
      <w:szCs w:val="21"/>
      <w:lang w:val="zh-CN"/>
    </w:rPr>
  </w:style>
  <w:style w:type="paragraph" w:customStyle="1" w:styleId="181">
    <w:name w:val="Char3"/>
    <w:basedOn w:val="1"/>
    <w:autoRedefine/>
    <w:qFormat/>
    <w:uiPriority w:val="0"/>
    <w:pPr>
      <w:spacing w:line="360" w:lineRule="auto"/>
      <w:ind w:firstLine="200" w:firstLineChars="200"/>
    </w:pPr>
    <w:rPr>
      <w:rFonts w:ascii="宋体" w:hAnsi="宋体" w:cs="宋体"/>
      <w:sz w:val="24"/>
      <w:szCs w:val="24"/>
    </w:rPr>
  </w:style>
  <w:style w:type="paragraph" w:customStyle="1" w:styleId="182">
    <w:name w:val="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83">
    <w:name w:val="Default Text"/>
    <w:basedOn w:val="1"/>
    <w:autoRedefine/>
    <w:qFormat/>
    <w:uiPriority w:val="0"/>
    <w:pPr>
      <w:widowControl/>
      <w:tabs>
        <w:tab w:val="left" w:pos="2268"/>
      </w:tabs>
      <w:jc w:val="left"/>
    </w:pPr>
    <w:rPr>
      <w:kern w:val="0"/>
      <w:sz w:val="24"/>
      <w:lang w:eastAsia="en-US"/>
    </w:rPr>
  </w:style>
  <w:style w:type="paragraph" w:customStyle="1" w:styleId="184">
    <w:name w:val="xl51"/>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85">
    <w:name w:val="xl41"/>
    <w:basedOn w:val="1"/>
    <w:autoRedefine/>
    <w:qFormat/>
    <w:uiPriority w:val="0"/>
    <w:pPr>
      <w:widowControl/>
      <w:pBdr>
        <w:top w:val="single" w:color="auto" w:sz="4" w:space="0"/>
        <w:left w:val="single" w:color="auto" w:sz="4" w:space="0"/>
        <w:bottom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86">
    <w:name w:val="Char1 Char Char Char1 Char Char Char Char Char Char Char Char Char Char Char Char"/>
    <w:basedOn w:val="14"/>
    <w:autoRedefine/>
    <w:qFormat/>
    <w:uiPriority w:val="0"/>
    <w:pPr>
      <w:adjustRightInd w:val="0"/>
      <w:spacing w:line="436" w:lineRule="exact"/>
      <w:ind w:left="357"/>
      <w:jc w:val="left"/>
      <w:outlineLvl w:val="3"/>
    </w:pPr>
    <w:rPr>
      <w:rFonts w:ascii="Tahoma" w:hAnsi="Tahoma"/>
      <w:b/>
      <w:sz w:val="24"/>
      <w:szCs w:val="24"/>
    </w:rPr>
  </w:style>
  <w:style w:type="paragraph" w:customStyle="1" w:styleId="187">
    <w:name w:val="xl64"/>
    <w:basedOn w:val="1"/>
    <w:autoRedefine/>
    <w:qFormat/>
    <w:uiPriority w:val="0"/>
    <w:pPr>
      <w:widowControl/>
      <w:pBdr>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styleId="188">
    <w:name w:val="List Paragraph"/>
    <w:basedOn w:val="1"/>
    <w:autoRedefine/>
    <w:qFormat/>
    <w:uiPriority w:val="34"/>
    <w:pPr>
      <w:ind w:firstLine="420" w:firstLineChars="200"/>
    </w:pPr>
    <w:rPr>
      <w:rFonts w:ascii="Calibri" w:hAnsi="Calibri"/>
      <w:szCs w:val="22"/>
    </w:rPr>
  </w:style>
  <w:style w:type="paragraph" w:customStyle="1" w:styleId="189">
    <w:name w:val="普通 (Web)"/>
    <w:basedOn w:val="1"/>
    <w:autoRedefine/>
    <w:qFormat/>
    <w:uiPriority w:val="0"/>
    <w:pPr>
      <w:widowControl/>
      <w:spacing w:before="100" w:after="100"/>
      <w:jc w:val="left"/>
    </w:pPr>
    <w:rPr>
      <w:rFonts w:ascii="Arial Unicode MS" w:hAnsi="Arial Unicode MS" w:eastAsia="Arial Unicode MS"/>
      <w:color w:val="000000"/>
      <w:kern w:val="0"/>
      <w:sz w:val="24"/>
    </w:rPr>
  </w:style>
  <w:style w:type="paragraph" w:customStyle="1" w:styleId="190">
    <w:name w:val="默认段落字体 Para Char Char Char 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91">
    <w:name w:val="xl33"/>
    <w:basedOn w:val="1"/>
    <w:autoRedefine/>
    <w:qFormat/>
    <w:uiPriority w:val="0"/>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9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3">
    <w:name w:val="xl34"/>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4">
    <w:name w:val="标题4"/>
    <w:basedOn w:val="4"/>
    <w:next w:val="17"/>
    <w:autoRedefine/>
    <w:qFormat/>
    <w:uiPriority w:val="0"/>
    <w:pPr>
      <w:adjustRightInd w:val="0"/>
      <w:spacing w:line="480" w:lineRule="exact"/>
      <w:ind w:left="480" w:leftChars="200" w:firstLine="0"/>
      <w:jc w:val="left"/>
      <w:textAlignment w:val="baseline"/>
      <w:outlineLvl w:val="3"/>
    </w:pPr>
    <w:rPr>
      <w:rFonts w:hAnsi="Arial"/>
      <w:bCs/>
      <w:kern w:val="0"/>
      <w:szCs w:val="32"/>
    </w:rPr>
  </w:style>
  <w:style w:type="paragraph" w:customStyle="1" w:styleId="195">
    <w:name w:val="xl2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6">
    <w:name w:val="xl61"/>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97">
    <w:name w:val="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98">
    <w:name w:val="表头使用"/>
    <w:basedOn w:val="1"/>
    <w:autoRedefine/>
    <w:qFormat/>
    <w:uiPriority w:val="0"/>
    <w:pPr>
      <w:jc w:val="center"/>
    </w:pPr>
    <w:rPr>
      <w:rFonts w:eastAsia="仿宋_GB2312" w:cs="仿宋_GB2312"/>
      <w:b/>
      <w:bCs/>
      <w:kern w:val="0"/>
      <w:sz w:val="24"/>
      <w:szCs w:val="24"/>
    </w:rPr>
  </w:style>
  <w:style w:type="paragraph" w:customStyle="1" w:styleId="199">
    <w:name w:val="xl65"/>
    <w:basedOn w:val="1"/>
    <w:autoRedefine/>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0">
    <w:name w:val="xl47"/>
    <w:basedOn w:val="1"/>
    <w:autoRedefine/>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1">
    <w:name w:val="xl52"/>
    <w:basedOn w:val="1"/>
    <w:autoRedefine/>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2">
    <w:name w:val="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203">
    <w:name w:val="Char Char Char Char1"/>
    <w:basedOn w:val="1"/>
    <w:autoRedefine/>
    <w:qFormat/>
    <w:uiPriority w:val="0"/>
    <w:pPr>
      <w:spacing w:line="360" w:lineRule="auto"/>
      <w:ind w:firstLine="200" w:firstLineChars="200"/>
    </w:pPr>
    <w:rPr>
      <w:rFonts w:ascii="宋体" w:hAnsi="宋体" w:cs="宋体"/>
      <w:sz w:val="24"/>
      <w:szCs w:val="24"/>
    </w:rPr>
  </w:style>
  <w:style w:type="paragraph" w:customStyle="1" w:styleId="204">
    <w:name w:val="ZW Char Char Char"/>
    <w:basedOn w:val="1"/>
    <w:autoRedefine/>
    <w:qFormat/>
    <w:uiPriority w:val="0"/>
    <w:pPr>
      <w:spacing w:beforeLines="20"/>
      <w:ind w:firstLine="200" w:firstLineChars="200"/>
    </w:pPr>
    <w:rPr>
      <w:sz w:val="24"/>
      <w:szCs w:val="24"/>
    </w:rPr>
  </w:style>
  <w:style w:type="paragraph" w:customStyle="1" w:styleId="205">
    <w:name w:val="Char Char Char Char Char Char1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206">
    <w:name w:val="_Style 24"/>
    <w:basedOn w:val="4"/>
    <w:autoRedefine/>
    <w:qFormat/>
    <w:uiPriority w:val="0"/>
    <w:pPr>
      <w:framePr w:wrap="around" w:vAnchor="margin" w:hAnchor="text" w:yAlign="top"/>
      <w:tabs>
        <w:tab w:val="left" w:pos="360"/>
        <w:tab w:val="left" w:pos="900"/>
      </w:tabs>
      <w:snapToGrid w:val="0"/>
      <w:spacing w:before="120" w:after="120" w:line="360" w:lineRule="auto"/>
      <w:ind w:left="542" w:leftChars="-12" w:firstLine="200" w:firstLineChars="200"/>
    </w:pPr>
    <w:rPr>
      <w:rFonts w:ascii="Times New Roman"/>
      <w:b/>
      <w:snapToGrid w:val="0"/>
      <w:sz w:val="32"/>
    </w:rPr>
  </w:style>
  <w:style w:type="paragraph" w:customStyle="1" w:styleId="207">
    <w:name w:val="xl60"/>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8">
    <w:name w:val="declear1"/>
    <w:basedOn w:val="1"/>
    <w:autoRedefine/>
    <w:qFormat/>
    <w:uiPriority w:val="0"/>
    <w:pPr>
      <w:widowControl/>
      <w:spacing w:after="30" w:line="240" w:lineRule="atLeast"/>
      <w:jc w:val="left"/>
    </w:pPr>
    <w:rPr>
      <w:rFonts w:ascii="宋体" w:hAnsi="宋体" w:cs="宋体"/>
      <w:vanish/>
      <w:color w:val="999999"/>
      <w:kern w:val="0"/>
      <w:sz w:val="18"/>
      <w:szCs w:val="18"/>
    </w:rPr>
  </w:style>
  <w:style w:type="paragraph" w:customStyle="1" w:styleId="209">
    <w:name w:val="xl62"/>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0">
    <w:name w:val="xl6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211">
    <w:name w:val="xl39"/>
    <w:basedOn w:val="1"/>
    <w:autoRedefine/>
    <w:qFormat/>
    <w:uiPriority w:val="0"/>
    <w:pPr>
      <w:widowControl/>
      <w:pBdr>
        <w:top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2">
    <w:name w:val="xl73"/>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宋体" w:hAnsi="宋体" w:cs="Arial Unicode MS"/>
      <w:kern w:val="0"/>
      <w:sz w:val="18"/>
      <w:szCs w:val="18"/>
    </w:rPr>
  </w:style>
  <w:style w:type="paragraph" w:customStyle="1" w:styleId="213">
    <w:name w:val="xl63"/>
    <w:basedOn w:val="1"/>
    <w:autoRedefine/>
    <w:qFormat/>
    <w:uiPriority w:val="0"/>
    <w:pPr>
      <w:widowControl/>
      <w:pBdr>
        <w:top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4">
    <w:name w:val="xl45"/>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5">
    <w:name w:val="表格正文"/>
    <w:basedOn w:val="1"/>
    <w:autoRedefine/>
    <w:qFormat/>
    <w:uiPriority w:val="0"/>
    <w:pPr>
      <w:spacing w:line="360" w:lineRule="exact"/>
      <w:jc w:val="center"/>
    </w:pPr>
    <w:rPr>
      <w:szCs w:val="24"/>
    </w:rPr>
  </w:style>
  <w:style w:type="paragraph" w:customStyle="1" w:styleId="216">
    <w:name w:val="xl71"/>
    <w:basedOn w:val="1"/>
    <w:autoRedefine/>
    <w:qFormat/>
    <w:uiPriority w:val="0"/>
    <w:pPr>
      <w:widowControl/>
      <w:pBdr>
        <w:left w:val="single" w:color="auto" w:sz="4"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7">
    <w:name w:val="3"/>
    <w:basedOn w:val="1"/>
    <w:next w:val="22"/>
    <w:autoRedefine/>
    <w:qFormat/>
    <w:uiPriority w:val="0"/>
    <w:rPr>
      <w:rFonts w:ascii="宋体" w:hAnsi="Courier New" w:cs="宋体"/>
      <w:szCs w:val="21"/>
    </w:rPr>
  </w:style>
  <w:style w:type="paragraph" w:customStyle="1" w:styleId="218">
    <w:name w:val="中文报告书"/>
    <w:basedOn w:val="1"/>
    <w:autoRedefine/>
    <w:qFormat/>
    <w:uiPriority w:val="0"/>
    <w:pPr>
      <w:adjustRightInd w:val="0"/>
      <w:spacing w:after="80" w:line="420" w:lineRule="atLeast"/>
      <w:jc w:val="left"/>
      <w:textAlignment w:val="baseline"/>
    </w:pPr>
    <w:rPr>
      <w:kern w:val="0"/>
      <w:sz w:val="24"/>
    </w:rPr>
  </w:style>
  <w:style w:type="paragraph" w:customStyle="1" w:styleId="219">
    <w:name w:val="xl58"/>
    <w:basedOn w:val="1"/>
    <w:autoRedefine/>
    <w:qFormat/>
    <w:uiPriority w:val="0"/>
    <w:pPr>
      <w:widowControl/>
      <w:pBdr>
        <w:top w:val="double" w:color="auto" w:sz="6"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20">
    <w:name w:val="xl36"/>
    <w:basedOn w:val="1"/>
    <w:autoRedefine/>
    <w:qFormat/>
    <w:uiPriority w:val="0"/>
    <w:pPr>
      <w:widowControl/>
      <w:pBdr>
        <w:top w:val="double" w:color="auto" w:sz="6"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21">
    <w:name w:val="表格内容"/>
    <w:basedOn w:val="1"/>
    <w:autoRedefine/>
    <w:qFormat/>
    <w:uiPriority w:val="0"/>
    <w:pPr>
      <w:adjustRightInd w:val="0"/>
      <w:jc w:val="center"/>
      <w:textAlignment w:val="baseline"/>
    </w:pPr>
    <w:rPr>
      <w:rFonts w:ascii="宋体"/>
      <w:kern w:val="0"/>
      <w:sz w:val="28"/>
      <w:szCs w:val="28"/>
    </w:rPr>
  </w:style>
  <w:style w:type="paragraph" w:customStyle="1" w:styleId="222">
    <w:name w:val="样式 样式 中文报告书 + 宋体 + Times New Roman"/>
    <w:basedOn w:val="1"/>
    <w:autoRedefine/>
    <w:qFormat/>
    <w:uiPriority w:val="0"/>
    <w:pPr>
      <w:adjustRightInd w:val="0"/>
      <w:spacing w:line="360" w:lineRule="auto"/>
      <w:ind w:firstLine="480" w:firstLineChars="200"/>
      <w:jc w:val="left"/>
      <w:textAlignment w:val="baseline"/>
    </w:pPr>
    <w:rPr>
      <w:kern w:val="0"/>
      <w:sz w:val="24"/>
    </w:rPr>
  </w:style>
  <w:style w:type="paragraph" w:customStyle="1" w:styleId="223">
    <w:name w:val="中心文件"/>
    <w:basedOn w:val="218"/>
    <w:autoRedefine/>
    <w:qFormat/>
    <w:uiPriority w:val="0"/>
    <w:pPr>
      <w:spacing w:after="0" w:line="480" w:lineRule="atLeast"/>
    </w:pPr>
    <w:rPr>
      <w:rFonts w:eastAsia="仿宋_GB2312"/>
      <w:sz w:val="28"/>
    </w:rPr>
  </w:style>
  <w:style w:type="paragraph" w:customStyle="1" w:styleId="224">
    <w:name w:val="BIG BOLD"/>
    <w:basedOn w:val="1"/>
    <w:autoRedefine/>
    <w:qFormat/>
    <w:uiPriority w:val="0"/>
    <w:pPr>
      <w:tabs>
        <w:tab w:val="left" w:leader="underscore" w:pos="1134"/>
      </w:tabs>
      <w:adjustRightInd w:val="0"/>
      <w:snapToGrid w:val="0"/>
      <w:spacing w:line="300" w:lineRule="auto"/>
    </w:pPr>
    <w:rPr>
      <w:b/>
    </w:rPr>
  </w:style>
  <w:style w:type="paragraph" w:customStyle="1" w:styleId="225">
    <w:name w:val="正文999"/>
    <w:basedOn w:val="1"/>
    <w:autoRedefine/>
    <w:qFormat/>
    <w:uiPriority w:val="0"/>
    <w:pPr>
      <w:spacing w:line="360" w:lineRule="auto"/>
      <w:ind w:firstLine="480" w:firstLineChars="200"/>
    </w:pPr>
    <w:rPr>
      <w:rFonts w:ascii="宋体" w:hAnsi="宋体"/>
      <w:sz w:val="24"/>
      <w:szCs w:val="24"/>
    </w:rPr>
  </w:style>
  <w:style w:type="paragraph" w:customStyle="1" w:styleId="226">
    <w:name w:val="段落文字"/>
    <w:basedOn w:val="1"/>
    <w:autoRedefine/>
    <w:qFormat/>
    <w:uiPriority w:val="0"/>
    <w:pPr>
      <w:ind w:firstLine="554" w:firstLineChars="200"/>
    </w:pPr>
    <w:rPr>
      <w:rFonts w:ascii="仿宋_GB2312" w:hAnsi="仿宋_GB2312" w:eastAsia="仿宋_GB2312"/>
      <w:kern w:val="0"/>
      <w:sz w:val="28"/>
      <w:szCs w:val="28"/>
    </w:rPr>
  </w:style>
  <w:style w:type="paragraph" w:customStyle="1" w:styleId="227">
    <w:name w:val="样式 样式 (中文) 仿宋_GB2312 四号 + 首行缩进:  2 字符"/>
    <w:basedOn w:val="1"/>
    <w:autoRedefine/>
    <w:qFormat/>
    <w:uiPriority w:val="0"/>
    <w:pPr>
      <w:snapToGrid w:val="0"/>
      <w:ind w:firstLine="200" w:firstLineChars="200"/>
      <w:textAlignment w:val="baseline"/>
    </w:pPr>
    <w:rPr>
      <w:rFonts w:eastAsia="仿宋" w:cs="宋体"/>
      <w:color w:val="000000"/>
      <w:kern w:val="0"/>
      <w:sz w:val="28"/>
      <w:u w:color="000000"/>
    </w:rPr>
  </w:style>
  <w:style w:type="paragraph" w:customStyle="1" w:styleId="228">
    <w:name w:val="题注-z"/>
    <w:basedOn w:val="13"/>
    <w:autoRedefine/>
    <w:qFormat/>
    <w:uiPriority w:val="5"/>
    <w:pPr>
      <w:widowControl/>
      <w:tabs>
        <w:tab w:val="left" w:pos="7380"/>
      </w:tabs>
      <w:adjustRightInd w:val="0"/>
      <w:snapToGrid w:val="0"/>
    </w:pPr>
    <w:rPr>
      <w:b/>
      <w:color w:val="000000"/>
      <w:kern w:val="32"/>
      <w:sz w:val="21"/>
      <w:szCs w:val="22"/>
      <w:lang w:val="de-DE"/>
    </w:rPr>
  </w:style>
  <w:style w:type="paragraph" w:customStyle="1" w:styleId="229">
    <w:name w:val="列出段落1"/>
    <w:basedOn w:val="1"/>
    <w:autoRedefine/>
    <w:qFormat/>
    <w:uiPriority w:val="34"/>
    <w:pPr>
      <w:ind w:left="720"/>
    </w:pPr>
    <w:rPr>
      <w:sz w:val="24"/>
      <w:szCs w:val="24"/>
    </w:rPr>
  </w:style>
  <w:style w:type="paragraph" w:customStyle="1" w:styleId="230">
    <w:name w:val="xl66"/>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31">
    <w:name w:val="Char1"/>
    <w:basedOn w:val="1"/>
    <w:autoRedefine/>
    <w:qFormat/>
    <w:uiPriority w:val="0"/>
    <w:pPr>
      <w:spacing w:line="360" w:lineRule="auto"/>
      <w:ind w:firstLine="200" w:firstLineChars="200"/>
    </w:pPr>
    <w:rPr>
      <w:rFonts w:ascii="宋体" w:hAnsi="宋体" w:cs="宋体"/>
      <w:sz w:val="24"/>
      <w:szCs w:val="24"/>
    </w:rPr>
  </w:style>
  <w:style w:type="paragraph" w:customStyle="1" w:styleId="232">
    <w:name w:val="表"/>
    <w:basedOn w:val="1"/>
    <w:autoRedefine/>
    <w:qFormat/>
    <w:uiPriority w:val="0"/>
    <w:pPr>
      <w:adjustRightInd w:val="0"/>
      <w:snapToGrid w:val="0"/>
      <w:spacing w:line="360" w:lineRule="auto"/>
    </w:pPr>
    <w:rPr>
      <w:rFonts w:eastAsia="仿宋_GB2312"/>
      <w:bCs/>
      <w:color w:val="000000"/>
      <w:szCs w:val="24"/>
    </w:rPr>
  </w:style>
  <w:style w:type="paragraph" w:customStyle="1" w:styleId="233">
    <w:name w:val="xl35"/>
    <w:basedOn w:val="1"/>
    <w:autoRedefine/>
    <w:qFormat/>
    <w:uiPriority w:val="0"/>
    <w:pPr>
      <w:widowControl/>
      <w:pBdr>
        <w:top w:val="double" w:color="auto" w:sz="6"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34">
    <w:name w:val="标注"/>
    <w:basedOn w:val="221"/>
    <w:autoRedefine/>
    <w:qFormat/>
    <w:uiPriority w:val="0"/>
    <w:pPr>
      <w:spacing w:line="360" w:lineRule="auto"/>
      <w:ind w:firstLine="425"/>
      <w:jc w:val="left"/>
    </w:pPr>
    <w:rPr>
      <w:sz w:val="24"/>
      <w:szCs w:val="24"/>
    </w:rPr>
  </w:style>
  <w:style w:type="paragraph" w:customStyle="1" w:styleId="235">
    <w:name w:val="xl27"/>
    <w:basedOn w:val="1"/>
    <w:autoRedefine/>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36">
    <w:name w:val="默认段落字体 Para Char"/>
    <w:basedOn w:val="1"/>
    <w:autoRedefine/>
    <w:qFormat/>
    <w:uiPriority w:val="0"/>
    <w:pPr>
      <w:spacing w:line="360" w:lineRule="auto"/>
      <w:ind w:firstLine="200" w:firstLineChars="200"/>
    </w:pPr>
    <w:rPr>
      <w:rFonts w:ascii="宋体" w:hAnsi="宋体" w:cs="宋体"/>
      <w:sz w:val="24"/>
      <w:szCs w:val="24"/>
    </w:rPr>
  </w:style>
  <w:style w:type="paragraph" w:customStyle="1" w:styleId="237">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38">
    <w:name w:val="标准公文"/>
    <w:autoRedefine/>
    <w:qFormat/>
    <w:uiPriority w:val="0"/>
    <w:pPr>
      <w:spacing w:line="610" w:lineRule="atLeast"/>
      <w:ind w:firstLine="658"/>
      <w:jc w:val="both"/>
    </w:pPr>
    <w:rPr>
      <w:rFonts w:ascii="Times New Roman" w:hAnsi="Times New Roman" w:eastAsia="仿宋_GB2312" w:cs="Times New Roman"/>
      <w:sz w:val="32"/>
      <w:lang w:val="en-US" w:eastAsia="zh-CN" w:bidi="ar-SA"/>
    </w:rPr>
  </w:style>
  <w:style w:type="paragraph" w:customStyle="1" w:styleId="239">
    <w:name w:val="表后正-z"/>
    <w:basedOn w:val="1"/>
    <w:autoRedefine/>
    <w:qFormat/>
    <w:uiPriority w:val="1"/>
    <w:pPr>
      <w:widowControl/>
      <w:spacing w:beforeLines="50" w:line="360" w:lineRule="auto"/>
      <w:ind w:firstLine="200" w:firstLineChars="200"/>
    </w:pPr>
    <w:rPr>
      <w:sz w:val="24"/>
      <w:szCs w:val="22"/>
    </w:rPr>
  </w:style>
  <w:style w:type="paragraph" w:customStyle="1" w:styleId="240">
    <w:name w:val="其 它 文 件"/>
    <w:basedOn w:val="1"/>
    <w:autoRedefine/>
    <w:qFormat/>
    <w:uiPriority w:val="0"/>
    <w:pPr>
      <w:spacing w:after="80" w:line="440" w:lineRule="atLeast"/>
    </w:pPr>
    <w:rPr>
      <w:rFonts w:eastAsia="楷体"/>
      <w:sz w:val="28"/>
    </w:rPr>
  </w:style>
  <w:style w:type="paragraph" w:customStyle="1" w:styleId="241">
    <w:name w:val="修订1"/>
    <w:autoRedefine/>
    <w:unhideWhenUsed/>
    <w:qFormat/>
    <w:uiPriority w:val="99"/>
    <w:rPr>
      <w:rFonts w:ascii="Times New Roman" w:hAnsi="Times New Roman" w:eastAsia="宋体" w:cs="Times New Roman"/>
      <w:kern w:val="2"/>
      <w:sz w:val="21"/>
      <w:lang w:val="en-US" w:eastAsia="zh-CN" w:bidi="ar-SA"/>
    </w:rPr>
  </w:style>
  <w:style w:type="paragraph" w:customStyle="1" w:styleId="242">
    <w:name w:val="xl46"/>
    <w:basedOn w:val="1"/>
    <w:autoRedefine/>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4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44">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45">
    <w:name w:val="xl38"/>
    <w:basedOn w:val="1"/>
    <w:autoRedefine/>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46">
    <w:name w:val="默认段落字体 Para Char Char Char Char Char Char Char Char Char Char Char Char Char"/>
    <w:basedOn w:val="1"/>
    <w:autoRedefine/>
    <w:qFormat/>
    <w:uiPriority w:val="0"/>
    <w:rPr>
      <w:szCs w:val="24"/>
    </w:rPr>
  </w:style>
  <w:style w:type="paragraph" w:customStyle="1" w:styleId="247">
    <w:name w:val="xl44"/>
    <w:basedOn w:val="1"/>
    <w:autoRedefine/>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48">
    <w:name w:val="列出段落3"/>
    <w:basedOn w:val="1"/>
    <w:autoRedefine/>
    <w:qFormat/>
    <w:uiPriority w:val="0"/>
    <w:pPr>
      <w:ind w:firstLine="420" w:firstLineChars="200"/>
    </w:pPr>
    <w:rPr>
      <w:szCs w:val="24"/>
    </w:rPr>
  </w:style>
  <w:style w:type="paragraph" w:customStyle="1" w:styleId="249">
    <w:name w:val="Char Char Char1"/>
    <w:basedOn w:val="1"/>
    <w:autoRedefine/>
    <w:qFormat/>
    <w:uiPriority w:val="0"/>
    <w:rPr>
      <w:sz w:val="24"/>
      <w:szCs w:val="24"/>
    </w:rPr>
  </w:style>
  <w:style w:type="paragraph" w:customStyle="1" w:styleId="250">
    <w:name w:val="1"/>
    <w:basedOn w:val="1"/>
    <w:next w:val="6"/>
    <w:autoRedefine/>
    <w:qFormat/>
    <w:uiPriority w:val="0"/>
    <w:pPr>
      <w:ind w:firstLine="420"/>
    </w:pPr>
  </w:style>
  <w:style w:type="paragraph" w:customStyle="1" w:styleId="251">
    <w:name w:val="xl54"/>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52">
    <w:name w:val="正文文本缩进 21"/>
    <w:basedOn w:val="1"/>
    <w:autoRedefine/>
    <w:qFormat/>
    <w:uiPriority w:val="0"/>
    <w:pPr>
      <w:spacing w:after="120" w:line="480" w:lineRule="auto"/>
      <w:ind w:left="420" w:leftChars="200"/>
    </w:pPr>
    <w:rPr>
      <w:kern w:val="0"/>
      <w:sz w:val="28"/>
      <w:szCs w:val="24"/>
    </w:rPr>
  </w:style>
  <w:style w:type="paragraph" w:customStyle="1" w:styleId="253">
    <w:name w:val="标题2"/>
    <w:basedOn w:val="1"/>
    <w:autoRedefine/>
    <w:qFormat/>
    <w:uiPriority w:val="0"/>
    <w:pPr>
      <w:tabs>
        <w:tab w:val="left" w:pos="432"/>
      </w:tabs>
      <w:ind w:left="425" w:hanging="425"/>
    </w:pPr>
    <w:rPr>
      <w:rFonts w:ascii="仿宋_GB2312" w:hAnsi="仿宋_GB2312" w:eastAsia="仿宋_GB2312"/>
      <w:sz w:val="28"/>
    </w:rPr>
  </w:style>
  <w:style w:type="paragraph" w:customStyle="1" w:styleId="254">
    <w:name w:val="纯文本1"/>
    <w:basedOn w:val="1"/>
    <w:autoRedefine/>
    <w:qFormat/>
    <w:uiPriority w:val="0"/>
    <w:rPr>
      <w:rFonts w:ascii="宋体" w:hAnsi="Courier New"/>
      <w:kern w:val="0"/>
      <w:sz w:val="28"/>
    </w:rPr>
  </w:style>
  <w:style w:type="paragraph" w:customStyle="1" w:styleId="255">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6">
    <w:name w:val="xl6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57">
    <w:name w:val="图表"/>
    <w:basedOn w:val="1"/>
    <w:autoRedefine/>
    <w:qFormat/>
    <w:uiPriority w:val="0"/>
    <w:pPr>
      <w:jc w:val="center"/>
    </w:pPr>
    <w:rPr>
      <w:color w:val="000000"/>
      <w:szCs w:val="24"/>
    </w:rPr>
  </w:style>
  <w:style w:type="paragraph" w:customStyle="1" w:styleId="258">
    <w:name w:val="表格（大）"/>
    <w:basedOn w:val="1"/>
    <w:autoRedefine/>
    <w:qFormat/>
    <w:uiPriority w:val="0"/>
    <w:pPr>
      <w:spacing w:line="300" w:lineRule="auto"/>
    </w:pPr>
    <w:rPr>
      <w:kern w:val="0"/>
      <w:szCs w:val="21"/>
    </w:rPr>
  </w:style>
  <w:style w:type="paragraph" w:customStyle="1" w:styleId="259">
    <w:name w:val="xl53"/>
    <w:basedOn w:val="1"/>
    <w:autoRedefine/>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60">
    <w:name w:val="图-z"/>
    <w:basedOn w:val="1"/>
    <w:next w:val="1"/>
    <w:autoRedefine/>
    <w:qFormat/>
    <w:uiPriority w:val="2"/>
    <w:pPr>
      <w:widowControl/>
      <w:tabs>
        <w:tab w:val="left" w:pos="7380"/>
      </w:tabs>
      <w:adjustRightInd w:val="0"/>
      <w:snapToGrid w:val="0"/>
      <w:spacing w:afterLines="50"/>
      <w:jc w:val="center"/>
    </w:pPr>
    <w:rPr>
      <w:b/>
      <w:color w:val="000000"/>
      <w:kern w:val="32"/>
      <w:szCs w:val="22"/>
      <w:lang w:val="de-DE"/>
    </w:rPr>
  </w:style>
  <w:style w:type="paragraph" w:customStyle="1" w:styleId="261">
    <w:name w:val="表内正文居中"/>
    <w:autoRedefine/>
    <w:qFormat/>
    <w:uiPriority w:val="0"/>
    <w:pPr>
      <w:ind w:left="180"/>
      <w:jc w:val="center"/>
    </w:pPr>
    <w:rPr>
      <w:rFonts w:ascii="Times New Roman" w:hAnsi="Times New Roman" w:eastAsia="宋体" w:cs="Times New Roman"/>
      <w:snapToGrid w:val="0"/>
      <w:kern w:val="44"/>
      <w:sz w:val="21"/>
      <w:szCs w:val="21"/>
      <w:lang w:val="en-US" w:eastAsia="zh-CN" w:bidi="ar-SA"/>
    </w:rPr>
  </w:style>
  <w:style w:type="paragraph" w:customStyle="1" w:styleId="262">
    <w:name w:val="表头标题格式"/>
    <w:basedOn w:val="1"/>
    <w:autoRedefine/>
    <w:qFormat/>
    <w:uiPriority w:val="0"/>
    <w:pPr>
      <w:adjustRightInd w:val="0"/>
      <w:spacing w:line="360" w:lineRule="auto"/>
      <w:jc w:val="center"/>
    </w:pPr>
    <w:rPr>
      <w:rFonts w:ascii="宋体" w:eastAsia="仿宋_GB2312" w:cs="宋体"/>
      <w:kern w:val="0"/>
      <w:sz w:val="24"/>
      <w:szCs w:val="24"/>
    </w:rPr>
  </w:style>
  <w:style w:type="paragraph" w:customStyle="1" w:styleId="263">
    <w:name w:val="xl48"/>
    <w:basedOn w:val="1"/>
    <w:autoRedefine/>
    <w:qFormat/>
    <w:uiPriority w:val="0"/>
    <w:pPr>
      <w:widowControl/>
      <w:pBdr>
        <w:top w:val="single" w:color="auto" w:sz="8"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64">
    <w:name w:val="其 它 文 件 样 式"/>
    <w:basedOn w:val="1"/>
    <w:autoRedefine/>
    <w:qFormat/>
    <w:uiPriority w:val="0"/>
    <w:pPr>
      <w:adjustRightInd w:val="0"/>
      <w:spacing w:line="400" w:lineRule="atLeast"/>
      <w:ind w:firstLine="567"/>
      <w:jc w:val="left"/>
      <w:textAlignment w:val="baseline"/>
    </w:pPr>
    <w:rPr>
      <w:rFonts w:eastAsia="楷体"/>
      <w:spacing w:val="10"/>
      <w:kern w:val="28"/>
      <w:sz w:val="28"/>
    </w:rPr>
  </w:style>
  <w:style w:type="paragraph" w:customStyle="1" w:styleId="265">
    <w:name w:val="xl72"/>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66">
    <w:name w:val="font7"/>
    <w:basedOn w:val="1"/>
    <w:autoRedefine/>
    <w:qFormat/>
    <w:uiPriority w:val="0"/>
    <w:pPr>
      <w:widowControl/>
      <w:spacing w:before="100" w:beforeAutospacing="1" w:after="100" w:afterAutospacing="1"/>
      <w:jc w:val="left"/>
    </w:pPr>
    <w:rPr>
      <w:rFonts w:eastAsia="Arial Unicode MS"/>
      <w:kern w:val="0"/>
      <w:sz w:val="18"/>
      <w:szCs w:val="18"/>
    </w:rPr>
  </w:style>
  <w:style w:type="paragraph" w:customStyle="1" w:styleId="267">
    <w:name w:val="2"/>
    <w:basedOn w:val="1"/>
    <w:next w:val="18"/>
    <w:autoRedefine/>
    <w:qFormat/>
    <w:uiPriority w:val="0"/>
    <w:pPr>
      <w:adjustRightInd w:val="0"/>
      <w:spacing w:line="440" w:lineRule="atLeast"/>
      <w:ind w:firstLine="480"/>
      <w:jc w:val="left"/>
      <w:textAlignment w:val="baseline"/>
    </w:pPr>
    <w:rPr>
      <w:kern w:val="0"/>
      <w:sz w:val="24"/>
    </w:rPr>
  </w:style>
  <w:style w:type="paragraph" w:customStyle="1" w:styleId="268">
    <w:name w:val="xl56"/>
    <w:basedOn w:val="1"/>
    <w:autoRedefine/>
    <w:qFormat/>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269">
    <w:name w:val="表头-z"/>
    <w:basedOn w:val="1"/>
    <w:next w:val="1"/>
    <w:autoRedefine/>
    <w:qFormat/>
    <w:uiPriority w:val="2"/>
    <w:pPr>
      <w:widowControl/>
      <w:tabs>
        <w:tab w:val="left" w:pos="7380"/>
      </w:tabs>
      <w:adjustRightInd w:val="0"/>
      <w:snapToGrid w:val="0"/>
      <w:spacing w:beforeLines="50"/>
      <w:jc w:val="center"/>
    </w:pPr>
    <w:rPr>
      <w:b/>
      <w:color w:val="000000"/>
      <w:kern w:val="32"/>
      <w:szCs w:val="22"/>
      <w:lang w:val="de-DE"/>
    </w:rPr>
  </w:style>
  <w:style w:type="paragraph" w:customStyle="1" w:styleId="270">
    <w:name w:val="xl32"/>
    <w:basedOn w:val="1"/>
    <w:autoRedefine/>
    <w:qFormat/>
    <w:uiPriority w:val="0"/>
    <w:pPr>
      <w:widowControl/>
      <w:pBdr>
        <w:top w:val="single" w:color="auto" w:sz="4" w:space="0"/>
        <w:lef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71">
    <w:name w:val="表样式"/>
    <w:basedOn w:val="1"/>
    <w:autoRedefine/>
    <w:qFormat/>
    <w:uiPriority w:val="0"/>
    <w:pPr>
      <w:jc w:val="center"/>
    </w:pPr>
    <w:rPr>
      <w:rFonts w:ascii="仿宋_GB2312" w:eastAsia="黑体"/>
      <w:kern w:val="0"/>
    </w:rPr>
  </w:style>
  <w:style w:type="paragraph" w:customStyle="1" w:styleId="272">
    <w:name w:val="p18"/>
    <w:basedOn w:val="1"/>
    <w:autoRedefine/>
    <w:qFormat/>
    <w:uiPriority w:val="0"/>
    <w:pPr>
      <w:widowControl/>
    </w:pPr>
    <w:rPr>
      <w:kern w:val="0"/>
      <w:szCs w:val="21"/>
    </w:rPr>
  </w:style>
  <w:style w:type="paragraph" w:customStyle="1" w:styleId="273">
    <w:name w:val="xl24"/>
    <w:basedOn w:val="1"/>
    <w:autoRedefine/>
    <w:qFormat/>
    <w:uiPriority w:val="0"/>
    <w:pPr>
      <w:widowControl/>
      <w:pBdr>
        <w:top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table" w:customStyle="1" w:styleId="274">
    <w:name w:val="网格型1"/>
    <w:basedOn w:val="41"/>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5">
    <w:name w:val="标题 1 Char1"/>
    <w:qFormat/>
    <w:uiPriority w:val="9"/>
    <w:rPr>
      <w:rFonts w:ascii="黑体" w:hAnsi="黑体" w:eastAsia="黑体" w:cs="Times New Roman"/>
      <w:bCs/>
      <w:kern w:val="44"/>
      <w:sz w:val="30"/>
      <w:szCs w:val="44"/>
    </w:rPr>
  </w:style>
  <w:style w:type="table" w:customStyle="1" w:styleId="276">
    <w:name w:val="网格型22"/>
    <w:basedOn w:val="41"/>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
    <w:name w:val="网格型5"/>
    <w:basedOn w:val="4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
    <w:name w:val="网格型51"/>
    <w:basedOn w:val="41"/>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
    <w:name w:val="网格型2"/>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网格型3"/>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
    <w:name w:val="网格型4"/>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2">
    <w:name w:val="Table Text"/>
    <w:basedOn w:val="1"/>
    <w:semiHidden/>
    <w:qFormat/>
    <w:uiPriority w:val="0"/>
    <w:rPr>
      <w:rFonts w:ascii="仿宋" w:hAnsi="仿宋" w:eastAsia="仿宋" w:cs="仿宋"/>
      <w:sz w:val="20"/>
      <w:lang w:eastAsia="en-US"/>
    </w:rPr>
  </w:style>
  <w:style w:type="table" w:customStyle="1" w:styleId="283">
    <w:name w:val="Table Normal"/>
    <w:semiHidden/>
    <w:unhideWhenUsed/>
    <w:qFormat/>
    <w:uiPriority w:val="0"/>
    <w:tblPr>
      <w:tblCellMar>
        <w:top w:w="0" w:type="dxa"/>
        <w:left w:w="0" w:type="dxa"/>
        <w:bottom w:w="0" w:type="dxa"/>
        <w:right w:w="0" w:type="dxa"/>
      </w:tblCellMar>
    </w:tblPr>
  </w:style>
  <w:style w:type="table" w:customStyle="1" w:styleId="284">
    <w:name w:val="网格型53"/>
    <w:basedOn w:val="41"/>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
    <w:name w:val="网格型6"/>
    <w:basedOn w:val="41"/>
    <w:qFormat/>
    <w:uiPriority w:val="0"/>
    <w:rPr>
      <w:rFonts w:hint="eastAsia" w:ascii="等线" w:hAnsi="等线" w:eastAsia="等线" w:cs="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286">
    <w:name w:val="网格型7"/>
    <w:basedOn w:val="41"/>
    <w:qFormat/>
    <w:uiPriority w:val="0"/>
    <w:rPr>
      <w:rFonts w:hint="eastAsia" w:ascii="等线" w:hAnsi="等线" w:eastAsia="等线" w:cs="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287">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288">
    <w:name w:val="网格型8"/>
    <w:basedOn w:val="41"/>
    <w:qFormat/>
    <w:uiPriority w:val="0"/>
    <w:rPr>
      <w:rFonts w:hint="eastAsia" w:ascii="等线" w:hAnsi="等线" w:eastAsia="等线" w:cs="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289">
    <w:name w:val="网格型9"/>
    <w:basedOn w:val="41"/>
    <w:qFormat/>
    <w:uiPriority w:val="0"/>
    <w:rPr>
      <w:rFonts w:hint="eastAsia" w:ascii="等线" w:hAnsi="等线" w:eastAsia="等线" w:cs="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EIA</Company>
  <Pages>62</Pages>
  <Words>5309</Words>
  <Characters>6102</Characters>
  <Lines>230</Lines>
  <Paragraphs>64</Paragraphs>
  <TotalTime>9</TotalTime>
  <ScaleCrop>false</ScaleCrop>
  <LinksUpToDate>false</LinksUpToDate>
  <CharactersWithSpaces>6164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2024-04-24T10:01:00Z</dcterms:created>
  <dc:creator>WZ</dc:creator>
  <cp:lastModifiedBy>WPS_545190386</cp:lastModifiedBy>
  <cp:lastPrinted>2017-10-12T09:56:00Z</cp:lastPrinted>
  <dcterms:modified xsi:type="dcterms:W3CDTF">2024-11-20T01:06:01Z</dcterms:modified>
  <dc:title>1、前言</dc:title>
  <cp:revision>278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7A43108A923D4697997F39125A9DD920_13</vt:lpwstr>
  </property>
</Properties>
</file>